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Boutique Platform — Architecture &amp; DevOps Overview</w:t>
      </w:r>
    </w:p>
    <w:p>
      <w:pPr>
        <w:spacing w:after="240"/>
      </w:pPr>
      <w:r>
        <w:rPr>
          <w:color w:val="777777"/>
        </w:rPr>
        <w:t xml:space="preserve">Sep 28, 2026 · Vinayak Nishad</w:t>
      </w:r>
    </w:p>
    <w:p>
      <w:pPr>
        <w:pStyle w:val="Heading1"/>
      </w:pPr>
      <w:r>
        <w:t xml:space="preserve">1. The three repositories</w:t>
      </w:r>
    </w:p>
    <w:p>
      <w:pPr>
        <w:spacing w:after="160"/>
      </w:pPr>
      <w:r>
        <w:t xml:space="preserve">Boutique is an online men's formal-wear shop (brand Lux Atelier) on Azure Kubernetes Service, split into three Azure DevOps repos. Infra builds the ground, app builds the images, gitops deploys them.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847975"/>
            <wp:effectExtent t="0" r="0" b="0" l="0"/>
            <wp:docPr id="1" name="3 repos · what each owns · run order" descr="3 repos · what each owns · run order" title="3 repos · what each owns · run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3 repos · what each owns · run order</w:t>
      </w:r>
    </w:p>
    <w:p>
      <w:pPr>
        <w:spacing w:after="160"/>
      </w:pPr>
      <w:r>
        <w:t xml:space="preserve">Everything is created by pipelines, never by clicking in the portal. Only dev runs by default; qa, staging and prod are opt-in at queue time.</w:t>
      </w:r>
    </w:p>
    <w:p>
      <w:r>
        <w:br w:type="page"/>
      </w:r>
    </w:p>
    <w:p>
      <w:pPr>
        <w:pStyle w:val="Heading1"/>
      </w:pPr>
      <w:r>
        <w:t xml:space="preserve">2. Application architecture</w:t>
      </w:r>
    </w:p>
    <w:p>
      <w:pPr>
        <w:spacing w:after="160"/>
      </w:pPr>
      <w:r>
        <w:t xml:space="preserve">The browser only talks to one host. App Gateway sends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/</w:t>
      </w:r>
      <w:r>
        <w:t xml:space="preserve"> to the React site and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/api</w:t>
      </w:r>
      <w:r>
        <w:t xml:space="preserve"> to the gateway, which proxies to six Node.js services. Each service checks the JWT itself.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905250"/>
            <wp:effectExtent t="0" r="0" b="0" l="0"/>
            <wp:docPr id="2" name="application architecture · 8 services · 4 databases" descr="application architecture · 8 services · 4 databases" title="application architecture · 8 services · 4 databa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application architecture · 8 services · 4 databases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Internal call (direct, </w:t>
            </w:r>
            <w:r>
              <w:rPr>
                <w:rFonts w:ascii="Consolas" w:cs="Consolas" w:eastAsia="Consolas" w:hAnsi="Consolas"/>
                <w:b/>
                <w:bCs/>
                <w:color w:val="444444"/>
                <w:sz w:val="19"/>
                <w:szCs w:val="19"/>
              </w:rPr>
              <w:t xml:space="preserve">x-internal-token</w:t>
            </w:r>
            <w:r>
              <w:rPr>
                <w:b/>
                <w:bCs/>
                <w:sz w:val="19"/>
                <w:szCs w:val="19"/>
              </w:rPr>
              <w:t xml:space="preserve">)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Why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orders → product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price and stock at order time, commit stock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 → orders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order owner and total, mark paid or refunded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 → orders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only buyers with a delivered order may review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 → user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reviewer display name</w:t>
            </w:r>
          </w:p>
        </w:tc>
      </w:tr>
      <w:tr>
        <w:trPr>
          <w:tblHeader w:val="off"/>
        </w:trPr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product → skin-tone</w:t>
            </w:r>
          </w:p>
        </w:tc>
        <w:tc>
          <w:tcPr>
            <w:tcW w:type="dxa" w:w="45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Style Advisor: selfie → skin tone → outfit colours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3. Database schema</w:t>
      </w:r>
    </w:p>
    <w:p>
      <w:pPr>
        <w:spacing w:after="160"/>
      </w:pPr>
      <w:r>
        <w:t xml:space="preserve">One PostgreSQL 16 server holds four logical databases, one per domain. A service never reads another service's tables; it asks that service over HTTP.</w:t>
      </w:r>
    </w:p>
    <w:p>
      <w:pPr>
        <w:spacing w:after="60" w:before="120"/>
        <w:jc w:val="center"/>
      </w:pPr>
      <w:r>
        <w:drawing>
          <wp:inline distT="0" distB="0" distL="0" distR="0">
            <wp:extent cx="5191125" cy="7810500"/>
            <wp:effectExtent t="0" r="0" b="0" l="0"/>
            <wp:docPr id="3" name="database schema · 4 databases · 11 tables" descr="database schema · 4 databases · 11 tables" title="database schema · 4 databases · 11 tab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database schema · 4 databases · 11 tables</w:t>
      </w:r>
    </w:p>
    <w:p>
      <w:pPr>
        <w:spacing w:after="160"/>
      </w:pPr>
      <w:r>
        <w:t xml:space="preserve">The schema lives in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boutique-app/database/init/20-init-schema.sql</w:t>
      </w:r>
      <w:r>
        <w:t xml:space="preserve">. In AKS,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postgres-init-job</w:t>
      </w:r>
      <w:r>
        <w:t xml:space="preserve"> runs the same SQL from a ConfigMap in boutique-gitops, so the two copies must be kept in sync. All primary keys are UUIDs (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gen_random_uuid()</w:t>
      </w:r>
      <w:r>
        <w:t xml:space="preserve">).</w:t>
      </w:r>
    </w:p>
    <w:p>
      <w:r>
        <w:br w:type="page"/>
      </w:r>
    </w:p>
    <w:p>
      <w:pPr>
        <w:pStyle w:val="Heading1"/>
      </w:pPr>
      <w:r>
        <w:t xml:space="preserve">4. Azure infrastructure</w:t>
      </w:r>
    </w:p>
    <w:p>
      <w:pPr>
        <w:spacing w:after="160"/>
      </w:pPr>
      <w:r>
        <w:t xml:space="preserve">Terraform in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boutique-infra</w:t>
      </w:r>
      <w:r>
        <w:t xml:space="preserve"> builds each environment as one resource group. Only App Gateway is public; AKS and PostgreSQL sit in private subnets.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086225"/>
            <wp:effectExtent t="0" r="0" b="0" l="0"/>
            <wp:docPr id="4" name="Azure resources in one environment · Terraform in boutique-infra" descr="Azure resources in one environment · Terraform in boutique-infra" title="Azure resources in one environment · Terraform in boutique-infr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8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Azure resources in one environment · Terraform in boutique-infra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6"/>
      </w:tblGrid>
      <w:tr>
        <w:trPr>
          <w:tblHeader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dev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qa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staging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prod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Prefix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bq-dev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bq-qa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bq-staging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boutique-prod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Region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UAE North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Central India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Central India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Central India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VNet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10.1.0.0/16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10.3.0.0/16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10.4.0.0/16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10.2.0.0/16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ACR SKU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Standard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Premium</w:t>
            </w:r>
          </w:p>
        </w:tc>
      </w:tr>
      <w:tr>
        <w:trPr>
          <w:tblHeader w:val="off"/>
        </w:trPr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Runs by default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yes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opt-in</w:t>
            </w:r>
          </w:p>
        </w:tc>
        <w:tc>
          <w:tcPr>
            <w:tcW w:type="dxa" w:w="18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opt-in</w:t>
            </w:r>
          </w:p>
        </w:tc>
        <w:tc>
          <w:tcPr>
            <w:tcW w:type="dxa" w:w="18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opt-in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Terraform state lives in storage account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boutiquetfstate2026v2</w:t>
      </w:r>
      <w:r>
        <w:t xml:space="preserve"> (container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tfstate</w:t>
      </w:r>
      <w:r>
        <w:t xml:space="preserve">), one blob per environment.</w:t>
      </w:r>
    </w:p>
    <w:p>
      <w:r>
        <w:br w:type="page"/>
      </w:r>
    </w:p>
    <w:p>
      <w:pPr>
        <w:pStyle w:val="Heading1"/>
      </w:pPr>
      <w:r>
        <w:t xml:space="preserve">5. Identity: OIDC and Workload Identity</w:t>
      </w:r>
    </w:p>
    <w:p>
      <w:pPr>
        <w:spacing w:after="160"/>
      </w:pPr>
      <w:r>
        <w:t xml:space="preserve">No client secret or password is stored anywhere for Azure access. Both flows trade a short-lived signed token for an Entra ID token, and Entra only accepts it if the issuer and subject match a federated credential.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2524125"/>
            <wp:effectExtent t="0" r="0" b="0" l="0"/>
            <wp:docPr id="5" name="OIDC for pipelines · workload identity for pods" descr="OIDC for pipelines · workload identity for pods" title="OIDC for pipelines · workload identity for pod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OIDC for pipelines · workload identity for pods</w:t>
      </w:r>
    </w:p>
    <w:p>
      <w:pPr>
        <w:spacing w:after="160"/>
      </w:pPr>
      <w:r>
        <w:t xml:space="preserve">App pods never call Key Vault; they only read the Kubernetes Secret that External Secrets writes.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Identity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Type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Can do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Service connection </w:t>
            </w:r>
            <w:r>
              <w:rPr>
                <w:rFonts w:ascii="Consolas" w:cs="Consolas" w:eastAsia="Consolas" w:hAnsi="Consolas"/>
                <w:color w:val="444444"/>
                <w:sz w:val="19"/>
                <w:szCs w:val="19"/>
              </w:rPr>
              <w:t xml:space="preserve">Azure Resource Group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federated (OIDC)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Terraform, </w:t>
            </w:r>
            <w:r>
              <w:rPr>
                <w:rFonts w:ascii="Consolas" w:cs="Consolas" w:eastAsia="Consolas" w:hAnsi="Consolas"/>
                <w:color w:val="444444"/>
                <w:sz w:val="19"/>
                <w:szCs w:val="19"/>
              </w:rPr>
              <w:t xml:space="preserve">az aks get-credentials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9"/>
                <w:szCs w:val="19"/>
              </w:rPr>
              <w:t xml:space="preserve">&lt;prefix&gt;-app-identity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user-assigned, workload identity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External Secrets reads Key Vault (Get, List)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9"/>
                <w:szCs w:val="19"/>
              </w:rPr>
              <w:t xml:space="preserve">&lt;prefix&gt;-cert-manager-identity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user-assigned, workload identity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no roles yet (kept for DNS-01)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AKS kubelet identity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created by AKS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444444"/>
                <w:sz w:val="19"/>
                <w:szCs w:val="19"/>
              </w:rPr>
              <w:t xml:space="preserve">AcrPull</w:t>
            </w:r>
            <w:r>
              <w:rPr>
                <w:sz w:val="19"/>
                <w:szCs w:val="19"/>
              </w:rPr>
              <w:t xml:space="preserve"> on its own environment's ACR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AGIC identity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AKS add-on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writes App Gateway routes (Contributor, Reader, Network Contributor)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6. CI/CD pipelines</w:t>
      </w:r>
    </w:p>
    <w:p>
      <w:pPr>
        <w:spacing w:after="160"/>
      </w:pPr>
      <w:r>
        <w:t xml:space="preserve">There are four YAML pipelines and one Release pipeline. A merge to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main</w:t>
      </w:r>
      <w:r>
        <w:t xml:space="preserve"> in boutique-app runs CI, and its build artifact triggers the Dev Release automatically.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4686300"/>
            <wp:effectExtent t="0" r="0" b="0" l="0"/>
            <wp:docPr id="6" name="all pipelines · stages left to right" descr="all pipelines · stages left to right" title="all pipelines · stages left to righ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all pipelines · stages left to right</w:t>
      </w:r>
    </w:p>
    <w:p>
      <w:pPr>
        <w:spacing w:after="160"/>
      </w:pPr>
      <w:r>
        <w:t xml:space="preserve">All of them run on Microsoft-hosted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ubuntu-latest</w:t>
      </w:r>
      <w:r>
        <w:t xml:space="preserve"> agents and log in with the same OIDC service connection. The Release pipeline is set up in the Azure DevOps UI (Pipelines → Releases), so it is not stored as YAML in any repo. Higher environments get images through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az acr import</w:t>
      </w:r>
      <w:r>
        <w:t xml:space="preserve">: images are promoted, never rebuilt.</w:t>
      </w:r>
    </w:p>
    <w:p>
      <w:r>
        <w:br w:type="page"/>
      </w:r>
    </w:p>
    <w:p>
      <w:pPr>
        <w:pStyle w:val="Heading1"/>
      </w:pPr>
      <w:r>
        <w:t xml:space="preserve">7. Deployment with boutique-gitops and Releases</w:t>
      </w:r>
    </w:p>
    <w:p>
      <w:pPr>
        <w:spacing w:after="160"/>
      </w:pPr>
      <w:r>
        <w:t xml:space="preserve">boutique-gitops holds the Helm chart and one values file per environment. Nothing watches the repo; a change goes live on the next Release run.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95650"/>
            <wp:effectExtent t="0" r="0" b="0" l="0"/>
            <wp:docPr id="7" name="boutique-gitops chart · Release deploy into AKS" descr="boutique-gitops chart · Release deploy into AKS" title="boutique-gitops chart · Release deploy into A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boutique-gitops chart · Release deploy into AKS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Rollback:</w:t>
      </w:r>
      <w:r>
        <w:t xml:space="preserve">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--rollback-on-failure</w:t>
      </w:r>
      <w:r>
        <w:t xml:space="preserve"> undoes an upgrade that is not healthy within 5 minutes;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helm rollback</w:t>
      </w:r>
      <w:r>
        <w:t xml:space="preserve"> works by hand.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Deployed today:</w:t>
      </w:r>
      <w:r>
        <w:t xml:space="preserve"> dev only. QA, staging and prod have Terraform and values files but no Release pipeline yet.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Network:</w:t>
      </w:r>
      <w:r>
        <w:t xml:space="preserve">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default-deny-all</w:t>
      </w:r>
      <w:r>
        <w:t xml:space="preserve">, then each service accepts traffic only from its callers (for example orders accepts gateway, payment and product).</w:t>
      </w:r>
    </w:p>
    <w:p>
      <w:r>
        <w:br w:type="page"/>
      </w:r>
    </w:p>
    <w:p>
      <w:pPr>
        <w:pStyle w:val="Heading1"/>
      </w:pPr>
      <w:r>
        <w:t xml:space="preserve">8. Monitoring and alerting</w:t>
      </w:r>
    </w:p>
    <w:p>
      <w:pPr>
        <w:spacing w:after="160"/>
      </w:pPr>
      <w:r>
        <w:t xml:space="preserve">The platform pipeline installs kube-prometheus-stack; the gitops chart adds the scrape targets, rules and dashboards, so monitoring is all code.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371850"/>
            <wp:effectExtent t="0" r="0" b="0" l="0"/>
            <wp:docPr id="8" name="monitoring · metrics to dashboards and pages" descr="monitoring · metrics to dashboards and pages" title="monitoring · metrics to dashboards and 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777777"/>
          <w:sz w:val="18"/>
          <w:szCs w:val="18"/>
        </w:rPr>
        <w:t xml:space="preserve">monitoring · metrics to dashboards and pages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rPr>
          <w:tblHeader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Alert group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Examples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Severity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Availability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InstanceDown, ServiceScaledToZero, HighErrorRate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PostgresDown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critical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Latency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p95 over 1s, skin-tone p95 over 15s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warning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Runtime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restart loops, event-loop lag, DB pool exhausted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warning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Database health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too many connections, deadlocks, long transactions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warning</w:t>
            </w:r>
          </w:p>
        </w:tc>
      </w:tr>
      <w:tr>
        <w:trPr>
          <w:tblHeader w:val="off"/>
        </w:trPr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Business</w:t>
            </w:r>
          </w:p>
        </w:tc>
        <w:tc>
          <w:tcPr>
            <w:tcW w:type="dxa" w:w="30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payment verification rate under 50%</w:t>
            </w:r>
          </w:p>
        </w:tc>
        <w:tc>
          <w:tcPr>
            <w:tcW w:type="dxa" w:w="3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warning</w:t>
            </w:r>
          </w:p>
        </w:tc>
      </w:tr>
    </w:tbl>
    <w:p>
      <w:pPr>
        <w:spacing w:after="120"/>
      </w:pPr>
    </w:p>
    <w:p>
      <w:pPr>
        <w:spacing w:after="160"/>
      </w:pPr>
      <w:r>
        <w:t xml:space="preserve">In this setup the default route is PagerDuty, so warnings page too, not just critical alerts. Dashboards: Microservices RED, SLOs &amp; Error Budget, Service Runtime, Infrastructure, PostgreSQL, Business KPIs.</w:t>
      </w:r>
    </w:p>
    <w:p>
      <w:r>
        <w:br w:type="page"/>
      </w:r>
    </w:p>
    <w:p>
      <w:pPr>
        <w:pStyle w:val="Heading1"/>
      </w:pPr>
      <w:r>
        <w:t xml:space="preserve">9. Summary: the story in one line per slide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Repos:</w:t>
      </w:r>
      <w:r>
        <w:t xml:space="preserve"> three repos split the work: code, cloud and deployment are changed and reviewed separately.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App:</w:t>
      </w:r>
      <w:r>
        <w:t xml:space="preserve"> a React site and 8 services behind one gateway, with prices computed on the server.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Data:</w:t>
      </w:r>
      <w:r>
        <w:t xml:space="preserve"> 4 databases, one per domain, linked only by ids and HTTP calls.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Azure:</w:t>
      </w:r>
      <w:r>
        <w:t xml:space="preserve"> everything is Terraform; only App Gateway is public, Postgres has no public endpoint.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Identity:</w:t>
      </w:r>
      <w:r>
        <w:t xml:space="preserve"> no stored secrets for Azure access; OIDC for pipelines, workload identity for pods.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Pipelines:</w:t>
      </w:r>
      <w:r>
        <w:t xml:space="preserve"> plan is saved and applied exactly; approvals sit on Azure DevOps environments; images are scanned with Trivy.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Deploy:</w:t>
      </w:r>
      <w:r>
        <w:t xml:space="preserve"> a merge to main builds, pushes and releases to dev automatically, with rollback on failure.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b/>
          <w:bCs/>
        </w:rPr>
        <w:t xml:space="preserve">Monitoring:</w:t>
      </w:r>
      <w:r>
        <w:t xml:space="preserve"> Prometheus scrapes every service, Grafana dashboards are code, and alerts page PagerDuty against a 99.5% SLO.</w:t>
      </w:r>
    </w:p>
    <w:p>
      <w:pPr>
        <w:spacing w:after="160"/>
      </w:pPr>
      <w:r>
        <w:t xml:space="preserve">Open gaps worth saying out loud: QA, staging and prod have no Release pipeline yet, Trivy and </w:t>
      </w:r>
      <w:r>
        <w:rPr>
          <w:rFonts w:ascii="Consolas" w:cs="Consolas" w:eastAsia="Consolas" w:hAnsi="Consolas"/>
          <w:color w:val="444444"/>
          <w:sz w:val="19"/>
          <w:szCs w:val="19"/>
        </w:rPr>
        <w:t xml:space="preserve">terraform fmt</w:t>
      </w:r>
      <w:r>
        <w:t xml:space="preserve"> never fail a build, and all environments share one set of pipeline variables.</w:t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12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5fd0d5f0b6b8c72291967543c95d31780dace709.png"/><Relationship Id="rId9" Type="http://schemas.openxmlformats.org/officeDocument/2006/relationships/image" Target="media/52211124bf16c2b8ee191841d1601726c7b78cc3.png"/><Relationship Id="rId10" Type="http://schemas.openxmlformats.org/officeDocument/2006/relationships/image" Target="media/50f476be155798b4a04b4bebefade2879db09ebd.png"/><Relationship Id="rId11" Type="http://schemas.openxmlformats.org/officeDocument/2006/relationships/image" Target="media/a0e72996260a67d19aabc4bb3239197db480afdf.png"/><Relationship Id="rId12" Type="http://schemas.openxmlformats.org/officeDocument/2006/relationships/image" Target="media/bee9cac391207eaab68e287f59885c7b9ec6bdf7.png"/><Relationship Id="rId13" Type="http://schemas.openxmlformats.org/officeDocument/2006/relationships/image" Target="media/4753823e07a5ff2657066138bfabc8f855bc71be.png"/><Relationship Id="rId14" Type="http://schemas.openxmlformats.org/officeDocument/2006/relationships/image" Target="media/8335f7ae400696f9cf88d3ea3850e2fd5c3d6ced.png"/><Relationship Id="rId15" Type="http://schemas.openxmlformats.org/officeDocument/2006/relationships/image" Target="media/a0c76ed1a5274b939bb65ca02fbf710ce32a9d6a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2026-09-28T07:26:02.109Z</dcterms:created>
  <dcterms:modified xsi:type="dcterms:W3CDTF">2026-09-28T07:26:02.109Z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