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Notebook Implementation Verification</w:t>
      </w:r>
    </w:p>
    <w:p>
      <w:pPr>
        <w:spacing w:after="120"/>
      </w:pPr>
      <w:r>
        <w:rPr>
          <w:color w:val="1F4E79"/>
          <w:sz w:val="25"/>
        </w:rPr>
        <w:t>Adversarial correctness check of the Gold notebooks against the master query + 107 variations + SOP0027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Verified: nb_eso1_gold_fact_sales_order_freight.py · nb_eso1_gold_fact_sales_commission.py · nb_semantic_model_eso1.py</w:t>
      </w:r>
    </w:p>
    <w:p>
      <w:pPr>
        <w:spacing w:after="20"/>
      </w:pPr>
      <w:r>
        <w:rPr>
          <w:color w:val="595F69"/>
          <w:sz w:val="18"/>
        </w:rPr>
        <w:t>Method: 5 parallel adversarial passes (joins/grain · column mappings · measures/logic · commission fact · change-closure), each reading the current notebook code and cross-checking full_metadata.json · 2026-07-22</w:t>
      </w:r>
    </w:p>
    <w:p>
      <w:pPr>
        <w:spacing w:before="260" w:after="80"/>
      </w:pPr>
      <w:r>
        <w:rPr>
          <w:b/>
          <w:color w:val="102A43"/>
          <w:sz w:val="32"/>
        </w:rPr>
        <w:t>Part 1 · Scope, method &amp; verdict</w:t>
      </w:r>
    </w:p>
    <w:p>
      <w:pPr>
        <w:spacing w:after="120"/>
      </w:pPr>
      <w:r>
        <w:rPr>
          <w:sz w:val="21"/>
        </w:rPr>
        <w:t>This is a correctness verification — not a coverage gap-analysis (that was done earlier). Five adversarial passes read the current notebook code and were tasked to find DEFECTS in the implementation: (1) join keys &amp; grain guards, (2) every column mapping vs the Silver metadata, (3) measure &amp; business logic + the DAX model, (4) the new commission fact vs SOP0027, (5) confirmation that the three recent changes closed their gaps. Where a pass surfaced a concrete bug it was verified against full_metadata.json and, if unambiguous, FIXED in this session (marked FIXED below).</w:t>
      </w:r>
    </w:p>
    <w:p>
      <w:pPr>
        <w:spacing w:before="40" w:after="160"/>
      </w:pPr>
      <w:r>
        <w:rPr>
          <w:b/>
          <w:color w:val="1E6B3A"/>
          <w:sz w:val="19"/>
        </w:rPr>
        <w:t xml:space="preserve">Verdict: the notebooks are correctly implemented. ~86 freight columns and all commission mappings verified with 0 mis-mappings; all join keys/types and grain guards confirmed; all DAX freight measures use the shipment dedup. </w:t>
      </w:r>
      <w:r>
        <w:rPr>
          <w:sz w:val="19"/>
        </w:rPr>
        <w:br/>
        <w:t>Five concrete defects were found and FIXED; two items are design decisions flagged for the data owner; the residual gaps are unchanged (H1 ShiftFactor + M1–M5, all previously documented and out of this pass's scope to resolve). Nothing has been run on Fabric yet — reconcile against Hubble per report before publishing.</w:t>
      </w:r>
    </w:p>
    <w:p>
      <w:pPr>
        <w:spacing w:before="160" w:after="60"/>
      </w:pPr>
      <w:r>
        <w:rPr>
          <w:b/>
          <w:color w:val="1F4E79"/>
          <w:sz w:val="24"/>
        </w:rPr>
        <w:t>Coverage tally (109 items = master + 107 variations + SOP0027)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Bucket</w:t>
            </w:r>
          </w:p>
        </w:tc>
        <w:tc>
          <w:tcPr>
            <w:tcW w:type="dxa" w:w="100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648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Fully served (correct)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sz w:val="17"/>
              </w:rPr>
              <w:t>95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7"/>
              </w:rPr>
              <w:t>served by the two facts + page slicers; correctness bugs in this set were FIXED this session</w:t>
            </w:r>
          </w:p>
        </w:tc>
      </w:tr>
      <w:tr>
        <w:tc>
          <w:tcPr>
            <w:tcW w:type="dxa" w:w="288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Residual data gap</w:t>
            </w:r>
          </w:p>
        </w:tc>
        <w:tc>
          <w:tcPr>
            <w:tcW w:type="dxa" w:w="10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type="dxa" w:w="648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M1 F4106×1 · M2 SDZON×1 · M3 SDHOLD×1 · M4 ocean-mode×3 · M5 weigh-ticket×2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Correctness-blocked by H1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7"/>
              </w:rPr>
              <w:t>columns exist but freight/amount ×1.0 not the real per-company ShiftFactor (SCP/CL/Leslie on SDAEXP; Baseline-Finance/DE-Orders/BP-Freight on FHNAMT)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2 · Defects found &amp; FIXED this session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4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0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Defect (where)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Fix applied</w:t>
            </w:r>
          </w:p>
        </w:tc>
      </w:tr>
      <w:tr>
        <w:tc>
          <w:tcPr>
            <w:tcW w:type="dxa" w:w="43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403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F42119 union nulls second_item_number — F42119 snake-names SDLITM as identifier_2nd_item, ≠ F4211 identifier_second_item (BOTH facts: freight ln.324, commission _line_context)</w:t>
            </w:r>
          </w:p>
        </w:tc>
        <w:tc>
          <w:tcPr>
            <w:tcW w:type="dxa" w:w="295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item2 is a heavy filter (item2&lt;&gt;'MISC BILLING', Ottowa whitelists); every history row silently lost second_item_number → dropped from those slicers</w:t>
            </w:r>
          </w:p>
        </w:tc>
        <w:tc>
          <w:tcPr>
            <w:tcW w:type="dxa" w:w="295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rename identifier_2nd_item→identifier_second_item before unionByName, in both facts. Verified only SDLITM mismatches among used columns (8 other F4211/F42119 name diffs are unused).</w:t>
            </w:r>
          </w:p>
        </w:tc>
      </w:tr>
      <w:tr>
        <w:tc>
          <w:tcPr>
            <w:tcW w:type="dxa" w:w="43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403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uom_str F41002 join missing UMRUM='TN' (freight, ln.358)</w:t>
            </w:r>
          </w:p>
        </w:tc>
        <w:tc>
          <w:tcPr>
            <w:tcW w:type="dxa" w:w="295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(item,uom) matched multiple F41002 rows → arbitrary/non-TN uom_structure + a pre-dedup fan-out masked by dropDuplicates</w:t>
            </w:r>
          </w:p>
        </w:tc>
        <w:tc>
          <w:tcPr>
            <w:tcW w:type="dxa" w:w="295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added .filter(trim(related_uom)=='TN') + dropDuplicates([item,uom]) — mirrors Hubble's UMRUM='TN' gate</w:t>
            </w:r>
          </w:p>
        </w:tc>
      </w:tr>
      <w:tr>
        <w:tc>
          <w:tcPr>
            <w:tcW w:type="dxa" w:w="43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403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Semantic model: stale is_deleted guidance + HIDE of non-existent audit columns (ln.194–210)</w:t>
            </w:r>
          </w:p>
        </w:tc>
        <w:tc>
          <w:tcPr>
            <w:tcW w:type="dxa" w:w="295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the fact stores NO is_deleted/record_hash/…; the final print told authors to add a model filter is_deleted=FALSE — which would break every visual</w:t>
            </w:r>
          </w:p>
        </w:tc>
        <w:tc>
          <w:tcPr>
            <w:tcW w:type="dxa" w:w="295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removed the audit columns from HIDE and rewrote the print — soft-deletes are already excluded in load_silver_table</w:t>
            </w:r>
          </w:p>
        </w:tc>
      </w:tr>
      <w:tr>
        <w:tc>
          <w:tcPr>
            <w:tcW w:type="dxa" w:w="43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403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Commission fact: sold-to ABAT1 band not reproducible (D3)</w:t>
            </w:r>
          </w:p>
        </w:tc>
        <w:tc>
          <w:tcPr>
            <w:tcW w:type="dxa" w:w="295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Hubble INNER-gates the sold-to F0101 on the ABAT1 band; the fact relaxed it to LEFT but didn't carry ABAT1, so PBI couldn't reproduce the exclusion</w:t>
            </w:r>
          </w:p>
        </w:tc>
        <w:tc>
          <w:tcPr>
            <w:tcW w:type="dxa" w:w="295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added sold_to_search_type (ABAT1) column (42 business cols now) — the band becomes a page slicer, consistent with the freight fact</w:t>
            </w:r>
          </w:p>
        </w:tc>
      </w:tr>
      <w:tr>
        <w:tc>
          <w:tcPr>
            <w:tcW w:type="dxa" w:w="43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403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Stale comments: freight ln.314 mislabels SDURAB as user_reserved_amount; commission select mislabels `company` as never-null</w:t>
            </w:r>
          </w:p>
        </w:tc>
        <w:tc>
          <w:tcPr>
            <w:tcW w:type="dxa" w:w="295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misleading to a future maintainer (could 'correct' the code to the wrong field)</w:t>
            </w:r>
          </w:p>
        </w:tc>
        <w:tc>
          <w:tcPr>
            <w:tcW w:type="dxa" w:w="2952"/>
            <w:shd w:val="clear" w:color="auto" w:fill="ECF5EE"/>
          </w:tcPr>
          <w:p>
            <w:pPr>
              <w:spacing w:after="20"/>
            </w:pPr>
            <w:r>
              <w:rPr>
                <w:sz w:val="15"/>
              </w:rPr>
              <w:t>comments corrected (code was already right: SDURAB=user_reserved_number; company comes from line context so can be null)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3 · Decisions flagged for the data owner (not auto-fixed)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1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61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&amp; why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2016"/>
            <w:shd w:val="clear" w:color="auto" w:fill="FBF3E3"/>
          </w:tcPr>
          <w:p>
            <w:pPr>
              <w:spacing w:after="20"/>
            </w:pPr>
            <w:r>
              <w:rPr>
                <w:sz w:val="16"/>
              </w:rPr>
              <w:t>D1 — commission fact population</w:t>
            </w:r>
          </w:p>
        </w:tc>
        <w:tc>
          <w:tcPr>
            <w:tcW w:type="dxa" w:w="5616"/>
            <w:shd w:val="clear" w:color="auto" w:fill="FBF3E3"/>
          </w:tcPr>
          <w:p>
            <w:pPr>
              <w:spacing w:after="20"/>
            </w:pPr>
            <w:r>
              <w:rPr>
                <w:sz w:val="16"/>
              </w:rPr>
              <w:t>The notebook is F42005-DRIVEN (one row per commission record) so it EXCLUDES sales lines with no commission. SOP0027 is F4211-driven with a LEFT F42005 (+ null-matching self-join), so it INCLUDES commission-less lines (blank commission). → SUM of the sales-line amounts (SDAEXP/SDECST/SDSOQS/SDPQOR) undercounts vs the raw report for non-commissioned lines; the commission amounts (SCTOTL/SCLRCS/SCCOMA) match exactly.</w:t>
            </w:r>
          </w:p>
        </w:tc>
        <w:tc>
          <w:tcPr>
            <w:tcW w:type="dxa" w:w="2736"/>
            <w:shd w:val="clear" w:color="auto" w:fill="FBF3E3"/>
          </w:tcPr>
          <w:p>
            <w:pPr>
              <w:spacing w:after="20"/>
            </w:pPr>
            <w:r>
              <w:rPr>
                <w:sz w:val="16"/>
              </w:rPr>
              <w:t>KEEP the commission-record grain — it is the fact's reason to exist (finer than the line; a line-grain fact would duplicate fact_sales_order_freight). Serve SOP0027's non-commissioned line context from fact_sales_order_freight (all F4211 lines + SDAEXP) related on the order-line key. Switch to F4211-driven ONLY if the report must show blank-commission rows in one table.</w:t>
            </w:r>
          </w:p>
        </w:tc>
      </w:tr>
      <w:tr>
        <w:tc>
          <w:tcPr>
            <w:tcW w:type="dxa" w:w="2016"/>
            <w:shd w:val="clear" w:color="auto" w:fill="FBF3E3"/>
          </w:tcPr>
          <w:p>
            <w:pPr>
              <w:spacing w:after="20"/>
            </w:pPr>
            <w:r>
              <w:rPr>
                <w:sz w:val="16"/>
              </w:rPr>
              <w:t>F4074 ALAST pick</w:t>
            </w:r>
          </w:p>
        </w:tc>
        <w:tc>
          <w:tcPr>
            <w:tcW w:type="dxa" w:w="5616"/>
            <w:shd w:val="clear" w:color="auto" w:fill="FBF3E3"/>
          </w:tcPr>
          <w:p>
            <w:pPr>
              <w:spacing w:after="20"/>
            </w:pPr>
            <w:r>
              <w:rPr>
                <w:sz w:val="16"/>
              </w:rPr>
              <w:t>The freight fact collapses F4074 to ONE row/line via row_number ordered by price_adjustment_type asc — so a line with several adjustments surfaces the alphabetically-first ALAST. A page filter on a specific ALAST could miss such a line.</w:t>
            </w:r>
          </w:p>
        </w:tc>
        <w:tc>
          <w:tcPr>
            <w:tcW w:type="dxa" w:w="2736"/>
            <w:shd w:val="clear" w:color="auto" w:fill="FBF3E3"/>
          </w:tcPr>
          <w:p>
            <w:pPr>
              <w:spacing w:after="20"/>
            </w:pPr>
            <w:r>
              <w:rPr>
                <w:sz w:val="16"/>
              </w:rPr>
              <w:t>Documented v2.1 tradeoff (one row/line to avoid fanning the fact out). Leave as-is unless a report needs multi-adjustment lines; if so, refine the pick's orderBy to prefer the report's ALAST set, or model F4074 as a bridge.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Confirmed correct (verified, no change needed)</w:t>
      </w:r>
    </w:p>
    <w:p>
      <w:pPr>
        <w:spacing w:before="160" w:after="60"/>
      </w:pPr>
      <w:r>
        <w:rPr>
          <w:b/>
          <w:color w:val="1F4E79"/>
          <w:sz w:val="24"/>
        </w:rPr>
        <w:t>Freight fact — joins, grain &amp; columns</w:t>
      </w:r>
    </w:p>
    <w:p>
      <w:pPr>
        <w:spacing w:after="120"/>
      </w:pPr>
      <w:r>
        <w:rPr>
          <w:sz w:val="21"/>
        </w:rPr>
        <w:t>All join keys match the Hubble join map and the intended INNER→LEFT relaxation (F4201 INNER; ship-to F0101 / F0116 / dest-point F0101 relaxed to LEFT; the rest LEFT). Grain guards all confirmed: b11d/b01d pre-collapsed to one row/key, F4074 one-row-per-line row_number pick, F0116 latest-effective pick, route/freight pre-aggregated to shipment grain, and the final dropDuplicates([sales_order_line_key]) guaranteeing one row/line. F42119 union guarded + schema-safe; restrict_orders semi-join alias handling correct. Column mappings: ~86 output columns cross-checked against full_metadata — 0 mis-mappings, including every role-played F0101 attribute (ship-to st / sold-to so / dest-point dp) pulled from the correct alias, and the intentional quirks (freight_handling_code_audit = SDFRTH; freight_city/state/zip from F4981) confirmed as designed.</w:t>
      </w:r>
    </w:p>
    <w:p>
      <w:pPr>
        <w:spacing w:before="160" w:after="60"/>
      </w:pPr>
      <w:r>
        <w:rPr>
          <w:b/>
          <w:color w:val="1F4E79"/>
          <w:sz w:val="24"/>
        </w:rPr>
        <w:t>Freight fact — measures &amp; the semantic model</w:t>
      </w:r>
    </w:p>
    <w:p>
      <w:pPr>
        <w:spacing w:after="120"/>
      </w:pPr>
      <w:r>
        <w:rPr>
          <w:sz w:val="21"/>
        </w:rPr>
        <w:t>Freight buckets (BFR / FSC+FSB / PFR / FSC split with trim applied), total_freight (unconditional SUM of all FHNAMT), next_status_num (trim→cast int), the F41002 fwd+reciprocal UoM cascade with TN=1.0 pass-through, quantity_shipped_tons / price_quantity_shipped, is_primary_shipment_line, and shift_factor_applied=1.0 lineage — all confirmed. Every freight-$ DAX measure (incl. the new Total Freight) uses SUMX(VALUES(shipment_number), CALCULATE(MAX(...))) so shipment-grain values never inflate.</w:t>
      </w:r>
    </w:p>
    <w:p>
      <w:pPr>
        <w:spacing w:before="160" w:after="60"/>
      </w:pPr>
      <w:r>
        <w:rPr>
          <w:b/>
          <w:color w:val="1F4E79"/>
          <w:sz w:val="24"/>
        </w:rPr>
        <w:t>Commission fact — vs SOP0027</w:t>
      </w:r>
    </w:p>
    <w:p>
      <w:pPr>
        <w:spacing w:after="120"/>
      </w:pPr>
      <w:r>
        <w:rPr>
          <w:sz w:val="21"/>
        </w:rPr>
        <w:t>Grain = one row per F42005 commission record (SCKCOO+SCDCTO+SCDOCO+SCLNID+SCCMLN); sales_commission_key + dropDuplicates enforce it. All 21 F42005 snake-names verified present; join keys correct; the 5 grain-identity columns come from the F42005 driver; the semi-join alias is applied after left_semi. No ×0.01 / ÷1000 scaling (Silver pre-decoded); is_primary_commission_line partitions on the sales line (not the commission line) for DAX dedup; F42005+F4211 CDC streams both map to the order scope. Every SOP0027 display column and measure maps to a fact column (incl. sales_reporting_code_05).</w:t>
      </w:r>
    </w:p>
    <w:p>
      <w:pPr>
        <w:spacing w:before="160" w:after="60"/>
      </w:pPr>
      <w:r>
        <w:rPr>
          <w:b/>
          <w:color w:val="1F4E79"/>
          <w:sz w:val="24"/>
        </w:rPr>
        <w:t>Recent changes — closed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11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67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448"/>
            <w:shd w:val="clear" w:color="auto" w:fill="ECF5EE"/>
          </w:tcPr>
          <w:p>
            <w:pPr>
              <w:spacing w:after="20"/>
            </w:pPr>
            <w:r>
              <w:rPr>
                <w:sz w:val="17"/>
              </w:rPr>
              <w:t>next_status_num (M6)</w:t>
            </w:r>
          </w:p>
        </w:tc>
        <w:tc>
          <w:tcPr>
            <w:tcW w:type="dxa" w:w="1152"/>
            <w:shd w:val="clear" w:color="auto" w:fill="ECF5EE"/>
          </w:tcPr>
          <w:p>
            <w:pPr>
              <w:spacing w:after="20"/>
            </w:pPr>
            <w:r>
              <w:rPr>
                <w:sz w:val="17"/>
              </w:rPr>
              <w:t>CLOSED</w:t>
            </w:r>
          </w:p>
        </w:tc>
        <w:tc>
          <w:tcPr>
            <w:tcW w:type="dxa" w:w="6768"/>
            <w:shd w:val="clear" w:color="auto" w:fill="ECF5EE"/>
          </w:tcPr>
          <w:p>
            <w:pPr>
              <w:spacing w:after="20"/>
            </w:pPr>
            <w:r>
              <w:rPr>
                <w:sz w:val="17"/>
              </w:rPr>
              <w:t>5 reports range-filter next-status (SBX &lt;620, SM Planning &lt;561, Cargill &lt;575, SOP0006 574–620, Multi-Shipments &lt;620) — the INT column resolves each</w:t>
            </w:r>
          </w:p>
        </w:tc>
      </w:tr>
      <w:tr>
        <w:tc>
          <w:tcPr>
            <w:tcW w:type="dxa" w:w="2448"/>
            <w:shd w:val="clear" w:color="auto" w:fill="ECF5EE"/>
          </w:tcPr>
          <w:p>
            <w:pPr>
              <w:spacing w:after="20"/>
            </w:pPr>
            <w:r>
              <w:rPr>
                <w:sz w:val="17"/>
              </w:rPr>
              <w:t>total_freight (H2)</w:t>
            </w:r>
          </w:p>
        </w:tc>
        <w:tc>
          <w:tcPr>
            <w:tcW w:type="dxa" w:w="1152"/>
            <w:shd w:val="clear" w:color="auto" w:fill="ECF5EE"/>
          </w:tcPr>
          <w:p>
            <w:pPr>
              <w:spacing w:after="20"/>
            </w:pPr>
            <w:r>
              <w:rPr>
                <w:sz w:val="17"/>
              </w:rPr>
              <w:t>CLOSED</w:t>
            </w:r>
          </w:p>
        </w:tc>
        <w:tc>
          <w:tcPr>
            <w:tcW w:type="dxa" w:w="6768"/>
            <w:shd w:val="clear" w:color="auto" w:fill="ECF5EE"/>
          </w:tcPr>
          <w:p>
            <w:pPr>
              <w:spacing w:after="20"/>
            </w:pPr>
            <w:r>
              <w:rPr>
                <w:sz w:val="17"/>
              </w:rPr>
              <w:t>Baseline-Finance / DE-Orders / BP-Freight each SUM the whole shipment's FHNAMT (no charge-code split) — total_freight serves it</w:t>
            </w:r>
          </w:p>
        </w:tc>
      </w:tr>
      <w:tr>
        <w:tc>
          <w:tcPr>
            <w:tcW w:type="dxa" w:w="2448"/>
            <w:shd w:val="clear" w:color="auto" w:fill="ECF5EE"/>
          </w:tcPr>
          <w:p>
            <w:pPr>
              <w:spacing w:after="20"/>
            </w:pPr>
            <w:r>
              <w:rPr>
                <w:sz w:val="17"/>
              </w:rPr>
              <w:t>fact_sales_commission</w:t>
            </w:r>
          </w:p>
        </w:tc>
        <w:tc>
          <w:tcPr>
            <w:tcW w:type="dxa" w:w="1152"/>
            <w:shd w:val="clear" w:color="auto" w:fill="ECF5EE"/>
          </w:tcPr>
          <w:p>
            <w:pPr>
              <w:spacing w:after="20"/>
            </w:pPr>
            <w:r>
              <w:rPr>
                <w:sz w:val="17"/>
              </w:rPr>
              <w:t>CLOSED</w:t>
            </w:r>
          </w:p>
        </w:tc>
        <w:tc>
          <w:tcPr>
            <w:tcW w:type="dxa" w:w="6768"/>
            <w:shd w:val="clear" w:color="auto" w:fill="ECF5EE"/>
          </w:tcPr>
          <w:p>
            <w:pPr>
              <w:spacing w:after="20"/>
            </w:pPr>
            <w:r>
              <w:rPr>
                <w:sz w:val="17"/>
              </w:rPr>
              <w:t>SOP0027's SCTOTL/SCLRCS/SCCOMA + SCSLSP/SCCPCT/SCCCTY now served by the dedicated fact (no longer out of scope)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5 · Residual gaps — unchanged, still open (out of this pass's scope to resolve)</w:t>
      </w:r>
    </w:p>
    <w:p>
      <w:pPr>
        <w:spacing w:after="120"/>
      </w:pPr>
      <w:r>
        <w:rPr>
          <w:sz w:val="21"/>
        </w:rPr>
        <w:t>These were identified in the earlier gap analysis and are design/scope items, not implementation defects. The notebooks correctly do NOT yet address them; each needs a data-owner scope decision or upstream sourcing.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45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Gap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Reports</w:t>
            </w:r>
          </w:p>
        </w:tc>
        <w:tc>
          <w:tcPr>
            <w:tcW w:type="dxa" w:w="360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/ needed change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H1 ShiftFactor = 1.0 vs real per-company factor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SCP · CL National · Leslie's Poolmart (SDAEXP); Baseline Finance · DE Orders · BP Freight (FHNAMT)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6"/>
              </w:rPr>
              <w:t>STILL OPEN — the #1 correctness item. Source the F0010 ShiftFactor or prove Silver's decode equals it; reconcile before trusting $.</w:t>
            </w:r>
          </w:p>
        </w:tc>
      </w:tr>
      <w:tr>
        <w:tc>
          <w:tcPr>
            <w:tcW w:type="dxa" w:w="345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M1 F4106 base/effective price (NOT EXISTS)</w:t>
            </w:r>
          </w:p>
        </w:tc>
        <w:tc>
          <w:tcPr>
            <w:tcW w:type="dxa" w:w="331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Orders with Zero Unit Price (Branch B)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STILL OPEN — precompute a has_effective_price flag; Branch A works today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M2 SDZON (zone_number)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Orders on Hold for Pricing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6"/>
              </w:rPr>
              <w:t>STILL OPEN — add 1 column</w:t>
            </w:r>
          </w:p>
        </w:tc>
      </w:tr>
      <w:tr>
        <w:tc>
          <w:tcPr>
            <w:tcW w:type="dxa" w:w="345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M3 SDHOLD (LINE hold; fact has header hold only)</w:t>
            </w:r>
          </w:p>
        </w:tc>
        <w:tc>
          <w:tcPr>
            <w:tcW w:type="dxa" w:w="331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Past 31 Days Shipment Report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STILL OPEN — add the line-hold column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M4 F4941.RSMOT ocean-mode + SUM(RSNCTR)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04a Export · AP Minerals · Luhe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6"/>
              </w:rPr>
              <w:t>STILL OPEN — add a shipment-mode column / routing container count, or use SDMOT as proxy</w:t>
            </w:r>
          </w:p>
        </w:tc>
      </w:tr>
      <w:tr>
        <w:tc>
          <w:tcPr>
            <w:tcW w:type="dxa" w:w="345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M5 F5549002 weigh-ticket weights</w:t>
            </w:r>
          </w:p>
        </w:tc>
        <w:tc>
          <w:tcPr>
            <w:tcW w:type="dxa" w:w="331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Ovintiv WTX MTD · Halliburton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STILL OPEN — source F5549002 if the gross/tare/max weights are required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6 · Sign-off</w:t>
      </w:r>
    </w:p>
    <w:p>
      <w:pPr>
        <w:spacing w:before="40" w:after="160"/>
      </w:pPr>
      <w:r>
        <w:rPr>
          <w:b/>
          <w:color w:val="1E6B3A"/>
          <w:sz w:val="19"/>
        </w:rPr>
        <w:t>The two fact notebooks and the semantic model are verified as correct implementations of the ESO1 queries, after the five fixes applied this session.</w:t>
      </w:r>
      <w:r>
        <w:rPr>
          <w:sz w:val="19"/>
        </w:rPr>
        <w:br/>
        <w:t>Joins, keys, grain, ~86+42 column mappings, measures and CDC logic all confirmed against the source SQL and full_metadata.json. Remaining work is (a) the D1 commission-population owner ruling, (b) the H1 ShiftFactor reconciliation, (c) the four small M1–M5 column/table adds if those reports are in scope, and (d) the one-off OVERWRITE=True full reload on Fabric to materialize the recent schema changes (next_status_num, total_freight, the second-item/uom_structure fixes, and the whole commission fact), then flip OVERWRITE→False. Reconcile each report against Hubble load-by-load — nothing here has been run on Fabric yet.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