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1: Customer Rate / Status-529 Lookups</w:t>
      </w:r>
    </w:p>
    <w:p>
      <w:pPr>
        <w:spacing w:after="120"/>
      </w:pPr>
      <w:r>
        <w:rPr>
          <w:color w:val="1F4E79"/>
          <w:sz w:val="25"/>
        </w:rPr>
        <w:t>Filter Capture variation reference · 9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1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Nine near-identical customer-rate lookups. Each pulls the loading rate (Address Rate = ABURAT, ship-to) for one customer’s orders sitting at next-status 529 with a last status in the 520–528 band. They differ only by the ship_to number, so they are the textbook reusable-page family.</w:t>
      </w:r>
    </w:p>
    <w:p>
      <w:pPr>
        <w:spacing w:before="40" w:after="160"/>
      </w:pPr>
      <w:r>
        <w:rPr>
          <w:b/>
          <w:color w:val="1F4E79"/>
          <w:sz w:val="19"/>
        </w:rPr>
        <w:t>Reusable page.</w:t>
      </w:r>
      <w:r>
        <w:rPr>
          <w:sz w:val="19"/>
        </w:rPr>
        <w:br/>
        <w:t>Fixed: next=529 · last BETWEEN 520 AND 528 · show the Address Rate measure.  Vary by: a ship_to slicer. One page covers all nine.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(9)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ADM Cedar Rapids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ship_to=20022727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ADM Clinton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ship_to=20010840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ADM Deerfield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ship_to=20010852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ADM Enderlin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ship_to=20010848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ADM Lloydminster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ship_to=10117212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ADM Windsor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ship_to=20010836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Chevron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ship_to=20011635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Ingredion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ship_to=20011316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Grain Processing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ship_to=20012646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Address Rate is the whole point.</w:t>
      </w:r>
      <w:r>
        <w:rPr>
          <w:sz w:val="19"/>
        </w:rPr>
        <w:br/>
        <w:t>This family exists to surface the ship-to loading rate (ABURAT), denormalized onto the fact as address_rate. There are no ⚑DAX, ⟐frt or ⚠gap complications — build the one template page and drive it with the ship_to slicer.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