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40"/>
      </w:pPr>
      <w:r>
        <w:rPr>
          <w:b/>
          <w:color w:val="102A43"/>
          <w:sz w:val="52"/>
        </w:rPr>
        <w:t>ESO5 — SBX Load Report With PO Details (New)</w:t>
      </w:r>
    </w:p>
    <w:p>
      <w:pPr>
        <w:spacing w:before="0" w:after="280"/>
      </w:pPr>
      <w:r>
        <w:rPr>
          <w:color w:val="1F4E79"/>
          <w:sz w:val="26"/>
        </w:rPr>
        <w:t>Page filters, joins, measures and columns for the (New) variation</w:t>
      </w:r>
    </w:p>
    <w:p>
      <w:pPr>
        <w:spacing w:before="0" w:after="40"/>
      </w:pPr>
      <w:r>
        <w:rPr>
          <w:color w:val="595F69"/>
          <w:sz w:val="18"/>
        </w:rPr>
        <w:t>US Silica · JDE on Microsoft Fabric · Extended Sales Order 5</w:t>
      </w:r>
    </w:p>
    <w:p>
      <w:pPr>
        <w:spacing w:before="0" w:after="40"/>
      </w:pPr>
      <w:r>
        <w:rPr>
          <w:color w:val="595F69"/>
          <w:sz w:val="18"/>
        </w:rPr>
        <w:t>Source: eso5/Filter Capture/SBX Load Report With PO Details (New) Hubble query.txt</w:t>
      </w:r>
    </w:p>
    <w:p>
      <w:pPr>
        <w:spacing w:before="0" w:after="40"/>
      </w:pPr>
      <w:r>
        <w:rPr>
          <w:color w:val="595F69"/>
          <w:sz w:val="18"/>
        </w:rPr>
        <w:t>Hubble views: SBXLOADPOVIEW + SBXUSSSAND   ·   Fact: lh_jde_gold.rpt.fact_extended_sales_order_5</w:t>
      </w:r>
    </w:p>
    <w:p>
      <w:pPr>
        <w:spacing w:before="0" w:after="40"/>
      </w:pPr>
      <w:r>
        <w:rPr>
          <w:color w:val="595F69"/>
          <w:sz w:val="18"/>
        </w:rPr>
        <w:t>Verified against the source SQL — 2026-07-21</w:t>
      </w:r>
    </w:p>
    <w:p/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Part 1 · What this report is</w:t>
      </w:r>
    </w:p>
    <w:p>
      <w:pPr>
        <w:spacing w:before="60" w:after="100" w:line="276" w:lineRule="auto"/>
      </w:pPr>
      <w:r>
        <w:t xml:space="preserve">The core freight/load report </w:t>
      </w:r>
      <w:r>
        <w:rPr>
          <w:b/>
        </w:rPr>
        <w:t>plus the USS sand-plant match</w:t>
      </w:r>
      <w:r>
        <w:t xml:space="preserve">. Its base view </w:t>
      </w:r>
      <w:r>
        <w:rPr>
          <w:rFonts w:ascii="Consolas" w:hAnsi="Consolas"/>
          <w:color w:val="9C272B"/>
          <w:sz w:val="17"/>
        </w:rPr>
        <w:t>SBXLOADPOVIEW</w:t>
      </w:r>
      <w:r>
        <w:t xml:space="preserve"> is byte-for-byte the core report's — same F4211 single branch, same four base filters, same seven correlated subqueries. What is </w:t>
      </w:r>
      <w:r>
        <w:rPr>
          <w:b/>
        </w:rPr>
        <w:t>new</w:t>
      </w:r>
      <w:r>
        <w:t xml:space="preserve"> is a third LEFT join to </w:t>
      </w:r>
      <w:r>
        <w:rPr>
          <w:rFonts w:ascii="Consolas" w:hAnsi="Consolas"/>
          <w:color w:val="9C272B"/>
          <w:sz w:val="17"/>
        </w:rPr>
        <w:t>SBXUSSSAND</w:t>
      </w:r>
      <w:r>
        <w:t xml:space="preserve">, a sub-select that reconciles each load's sand ticket back to its </w:t>
      </w:r>
      <w:r>
        <w:rPr>
          <w:b/>
        </w:rPr>
        <w:t>US Silica sales order</w:t>
      </w:r>
      <w:r>
        <w:t xml:space="preserve"> and classifies its loading facility as a plant, a transload or a third party.</w:t>
      </w:r>
    </w:p>
    <w:p>
      <w:pPr>
        <w:spacing w:before="60" w:after="100" w:line="276" w:lineRule="auto"/>
      </w:pPr>
      <w:r>
        <w:t xml:space="preserve">It answers a different question from the core report: not </w:t>
      </w:r>
      <w:r>
        <w:rPr>
          <w:i/>
        </w:rPr>
        <w:t>“what freight is open”</w:t>
      </w:r>
      <w:r>
        <w:t xml:space="preserve"> but </w:t>
      </w:r>
      <w:r>
        <w:rPr>
          <w:i/>
        </w:rPr>
        <w:t>“did this sand load match a USS order, and where did it ship from”</w:t>
      </w:r>
      <w:r>
        <w:t>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216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561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The core report</w:t>
            </w:r>
          </w:p>
        </w:tc>
        <w:tc>
          <w:tcPr>
            <w:tcW w:type="dxa" w:w="684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This report (New)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Base view</w:t>
            </w:r>
          </w:p>
        </w:tc>
        <w:tc>
          <w:tcPr>
            <w:tcW w:type="dxa" w:w="561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SBXLOADPOVIEW</w:t>
            </w:r>
          </w:p>
        </w:tc>
        <w:tc>
          <w:tcPr>
            <w:tcW w:type="dxa" w:w="68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SBXLOADPOVIEW</w:t>
            </w:r>
            <w:r>
              <w:rPr>
                <w:sz w:val="16"/>
              </w:rPr>
              <w:t xml:space="preserve"> — identical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Extra join</w:t>
            </w:r>
          </w:p>
        </w:tc>
        <w:tc>
          <w:tcPr>
            <w:tcW w:type="dxa" w:w="561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none</w:t>
            </w:r>
          </w:p>
        </w:tc>
        <w:tc>
          <w:tcPr>
            <w:tcW w:type="dxa" w:w="68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b/>
                <w:sz w:val="15"/>
              </w:rPr>
              <w:t>SBXUSSSAND</w:t>
            </w:r>
            <w:r>
              <w:rPr>
                <w:sz w:val="16"/>
              </w:rPr>
              <w:t xml:space="preserve"> (the F0005 55/UP plant match)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Row population</w:t>
            </w:r>
          </w:p>
        </w:tc>
        <w:tc>
          <w:tcPr>
            <w:tcW w:type="dxa" w:w="561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SDLITM = 'FRT'</w:t>
            </w:r>
            <w:r>
              <w:rPr>
                <w:sz w:val="16"/>
              </w:rPr>
              <w:t xml:space="preserve"> only</w:t>
            </w:r>
          </w:p>
        </w:tc>
        <w:tc>
          <w:tcPr>
            <w:tcW w:type="dxa" w:w="684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all items</w:t>
            </w:r>
            <w:r>
              <w:rPr>
                <w:sz w:val="16"/>
              </w:rPr>
              <w:t xml:space="preserve"> — no FRT filter (row_class = LINE)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Extra page filter</w:t>
            </w:r>
          </w:p>
        </w:tc>
        <w:tc>
          <w:tcPr>
            <w:tcW w:type="dxa" w:w="561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SDNXTR &lt; '581'</w:t>
            </w:r>
          </w:p>
        </w:tc>
        <w:tc>
          <w:tcPr>
            <w:tcW w:type="dxa" w:w="68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none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Outer WHERE</w:t>
            </w:r>
          </w:p>
        </w:tc>
        <w:tc>
          <w:tcPr>
            <w:tcW w:type="dxa" w:w="561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date + item + next-status</w:t>
            </w:r>
          </w:p>
        </w:tc>
        <w:tc>
          <w:tcPr>
            <w:tcW w:type="dxa" w:w="684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date only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Extra columns</w:t>
            </w:r>
          </w:p>
        </w:tc>
        <w:tc>
          <w:tcPr>
            <w:tcW w:type="dxa" w:w="561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68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9 SBXUSSSAND columns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Date window</w:t>
            </w:r>
          </w:p>
        </w:tc>
        <w:tc>
          <w:tcPr>
            <w:tcW w:type="dxa" w:w="561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May 2026</w:t>
            </w:r>
          </w:p>
        </w:tc>
        <w:tc>
          <w:tcPr>
            <w:tcW w:type="dxa" w:w="684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March 2024</w:t>
            </w:r>
          </w:p>
        </w:tc>
      </w:tr>
    </w:tbl>
    <w:p>
      <w:pPr>
        <w:spacing w:before="0" w:after="120"/>
      </w:pPr>
    </w:p>
    <w:p>
      <w:pPr>
        <w:spacing w:before="160" w:after="160" w:line="276" w:lineRule="auto"/>
        <w:shd w:val="clear" w:color="auto" w:fill="EAF1F8"/>
        <w:pBdr>
          <w:top w:val="single" w:sz="6" w:space="6" w:color="1F4E79"/>
          <w:left w:val="single" w:sz="6" w:space="6" w:color="1F4E79"/>
          <w:bottom w:val="single" w:sz="6" w:space="6" w:color="1F4E79"/>
          <w:right w:val="single" w:sz="6" w:space="6" w:color="1F4E79"/>
        </w:pBdr>
        <w:ind w:left="86"/>
      </w:pPr>
      <w:r>
        <w:rPr>
          <w:b/>
          <w:color w:val="1F4E79"/>
          <w:sz w:val="19"/>
        </w:rPr>
        <w:t>Broader rows, richer columns.</w:t>
        <w:br/>
      </w:r>
      <w:r>
        <w:rPr>
          <w:sz w:val="18"/>
        </w:rPr>
        <w:t xml:space="preserve">Because the (New) report drops the </w:t>
      </w:r>
      <w:r>
        <w:rPr>
          <w:rFonts w:ascii="Consolas" w:hAnsi="Consolas"/>
          <w:sz w:val="17"/>
        </w:rPr>
        <w:t>SDLITM = 'FRT'</w:t>
      </w:r>
      <w:r>
        <w:rPr>
          <w:sz w:val="18"/>
        </w:rPr>
        <w:t xml:space="preserve"> and </w:t>
      </w:r>
      <w:r>
        <w:rPr>
          <w:rFonts w:ascii="Consolas" w:hAnsi="Consolas"/>
          <w:sz w:val="17"/>
        </w:rPr>
        <w:t>SDNXTR &lt; '581'</w:t>
      </w:r>
      <w:r>
        <w:rPr>
          <w:sz w:val="18"/>
        </w:rPr>
        <w:t xml:space="preserve"> page filters, it shows </w:t>
      </w:r>
      <w:r>
        <w:rPr>
          <w:b/>
          <w:sz w:val="18"/>
        </w:rPr>
        <w:t>every non-HOLADD sales line</w:t>
      </w:r>
      <w:r>
        <w:rPr>
          <w:sz w:val="18"/>
        </w:rPr>
        <w:t xml:space="preserve"> of a load (row_class = </w:t>
      </w:r>
      <w:r>
        <w:rPr>
          <w:rFonts w:ascii="Consolas" w:hAnsi="Consolas"/>
          <w:sz w:val="17"/>
        </w:rPr>
        <w:t>LINE</w:t>
      </w:r>
      <w:r>
        <w:rPr>
          <w:sz w:val="18"/>
        </w:rPr>
        <w:t>), not just the open freight line — and adds nine columns describing the load's sand-order match and plant type. Same fact, a different page.</w:t>
      </w:r>
    </w:p>
    <w:p>
      <w:pPr>
        <w:spacing w:before="280" w:after="100"/>
      </w:pPr>
      <w:r>
        <w:rPr>
          <w:b/>
          <w:color w:val="1F4E79"/>
          <w:sz w:val="26"/>
        </w:rPr>
        <w:t>1.1  Query shape</w:t>
      </w:r>
    </w:p>
    <w:p>
      <w:pPr>
        <w:spacing w:before="160" w:after="20"/>
      </w:pPr>
      <w:r>
        <w:rPr>
          <w:b/>
          <w:color w:val="595F69"/>
          <w:sz w:val="16"/>
        </w:rPr>
        <w:t>One branch, THREE joins, five filters — the SBXUSSSAND join is the whole story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L0  OUTER SELECT  (39 business cols + 4 Hubble internals)</w:t>
        <w:br/>
      </w:r>
      <w:r>
        <w:rPr>
          <w:rFonts w:ascii="Consolas" w:hAnsi="Consolas"/>
          <w:color w:val="1B1F24"/>
          <w:sz w:val="15"/>
        </w:rPr>
        <w:t xml:space="preserve">    FROM ( SELECT DISTINCT ... ) RawF0101</w:t>
        <w:br/>
      </w:r>
      <w:r>
        <w:rPr>
          <w:rFonts w:ascii="Consolas" w:hAnsi="Consolas"/>
          <w:color w:val="1B1F24"/>
          <w:sz w:val="15"/>
        </w:rPr>
        <w:t xml:space="preserve">         FROM ( F4211 base view ) SBXLOADPOVIEW                &lt;-- single branch (L91)</w:t>
        <w:br/>
      </w:r>
      <w:r>
        <w:rPr>
          <w:rFonts w:ascii="Consolas" w:hAnsi="Consolas"/>
          <w:color w:val="1B1F24"/>
          <w:sz w:val="15"/>
        </w:rPr>
        <w:t xml:space="preserve">         LEFT JOIN PRODDTA.F554201T                            &lt;-- JOIN 1  (L173)</w:t>
        <w:br/>
      </w:r>
      <w:r>
        <w:rPr>
          <w:rFonts w:ascii="Consolas" w:hAnsi="Consolas"/>
          <w:color w:val="1B1F24"/>
          <w:sz w:val="15"/>
        </w:rPr>
        <w:t xml:space="preserve">         LEFT JOIN ( ... M anchor + subqueries ... ) SBXUSSSAND&lt;-- JOIN 2  (L178)  *** NEW ***</w:t>
        <w:br/>
      </w:r>
      <w:r>
        <w:rPr>
          <w:rFonts w:ascii="Consolas" w:hAnsi="Consolas"/>
          <w:color w:val="1B1F24"/>
          <w:sz w:val="15"/>
        </w:rPr>
        <w:t xml:space="preserve">         LEFT JOIN ( F0101 WHERE ABAT1 band ) F0101            &lt;-- JOIN 3  (L296)</w:t>
        <w:br/>
      </w:r>
      <w:r>
        <w:rPr>
          <w:rFonts w:ascii="Consolas" w:hAnsi="Consolas"/>
          <w:color w:val="1B1F24"/>
          <w:sz w:val="15"/>
        </w:rPr>
        <w:t xml:space="preserve">    WHERE  ORDATE BETWEEN 124061 AND 124091                    &lt;-- FILTER 5 (L303)  the ONLY page filter</w:t>
        <w:br/>
      </w:r>
      <w:r>
        <w:rPr>
          <w:rFonts w:ascii="Consolas" w:hAnsi="Consolas"/>
          <w:color w:val="1B1F24"/>
          <w:sz w:val="15"/>
        </w:rPr>
        <w:t xml:space="preserve">    GROUP BY (39 cols)   ORDER BY (39 cols)</w:t>
        <w:br/>
      </w:r>
      <w:r>
        <w:rPr>
          <w:rFonts w:ascii="Consolas" w:hAnsi="Consolas"/>
          <w:color w:val="1B1F24"/>
          <w:sz w:val="15"/>
        </w:rPr>
        <w:t xml:space="preserve">    |</w:t>
        <w:br/>
      </w:r>
      <w:r>
        <w:rPr>
          <w:rFonts w:ascii="Consolas" w:hAnsi="Consolas"/>
          <w:color w:val="1B1F24"/>
          <w:sz w:val="15"/>
        </w:rPr>
        <w:t xml:space="preserve">    +-- SBXLOADPOVIEW  =  FROM PRODDTA.F4211  (identical to the core report)</w:t>
        <w:br/>
      </w:r>
      <w:r>
        <w:rPr>
          <w:rFonts w:ascii="Consolas" w:hAnsi="Consolas"/>
          <w:color w:val="1B1F24"/>
          <w:sz w:val="15"/>
        </w:rPr>
        <w:t xml:space="preserve">          WHERE SDDCTO='SX' AND sdlnty&lt;&gt;'TL'</w:t>
        <w:br/>
      </w:r>
      <w:r>
        <w:rPr>
          <w:rFonts w:ascii="Consolas" w:hAnsi="Consolas"/>
          <w:color w:val="1B1F24"/>
          <w:sz w:val="15"/>
        </w:rPr>
        <w:t xml:space="preserve">            AND sdkcoo='00750' AND SDLITM&lt;&gt;'HOLADD'            &lt;-- FILTERS 1-4 (L169-172)</w:t>
        <w:br/>
      </w:r>
      <w:r>
        <w:rPr>
          <w:rFonts w:ascii="Consolas" w:hAnsi="Consolas"/>
          <w:color w:val="1B1F24"/>
          <w:sz w:val="15"/>
        </w:rPr>
        <w:t xml:space="preserve">          + 7 correlated subqueries (BOL, SANDTKT, OX*, GL*)</w:t>
        <w:br/>
      </w:r>
      <w:r>
        <w:rPr>
          <w:rFonts w:ascii="Consolas" w:hAnsi="Consolas"/>
          <w:color w:val="1B1F24"/>
          <w:sz w:val="15"/>
        </w:rPr>
        <w:t xml:space="preserve">    |</w:t>
        <w:br/>
      </w:r>
      <w:r>
        <w:rPr>
          <w:rFonts w:ascii="Consolas" w:hAnsi="Consolas"/>
          <w:color w:val="1B1F24"/>
          <w:sz w:val="15"/>
        </w:rPr>
        <w:t xml:space="preserve">    +-- SBXUSSSAND     =  FROM F4211 M INNER JOIN F554201T     (the SANDTKTNBR anchor, L286)</w:t>
        <w:br/>
      </w:r>
      <w:r>
        <w:rPr>
          <w:rFonts w:ascii="Consolas" w:hAnsi="Consolas"/>
          <w:color w:val="1B1F24"/>
          <w:sz w:val="15"/>
        </w:rPr>
        <w:t xml:space="preserve">          WHERE M.sddcto='SX' AND M.SDLITM='SANDTKTNBR' AND M.SDKCOO='00750'</w:t>
        <w:br/>
      </w:r>
      <w:r>
        <w:rPr>
          <w:rFonts w:ascii="Consolas" w:hAnsi="Consolas"/>
          <w:color w:val="1B1F24"/>
          <w:sz w:val="15"/>
        </w:rPr>
        <w:t xml:space="preserve">          + 9 correlated subqueries (SO match + F0005 55/UP plant type + weights)</w:t>
      </w:r>
    </w:p>
    <w:p>
      <w:r>
        <w:br w:type="page"/>
      </w:r>
    </w:p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Part 2 · Joins</w:t>
      </w:r>
    </w:p>
    <w:p>
      <w:pPr>
        <w:spacing w:before="60" w:after="100" w:line="276" w:lineRule="auto"/>
      </w:pPr>
      <w:r>
        <w:t>Three LEFT joins. Joins 1 and 3 are identical to the core report and are summarised briefly; join 2 is the new one and gets the detail.</w:t>
      </w:r>
    </w:p>
    <w:p>
      <w:pPr>
        <w:spacing w:before="280" w:after="100"/>
      </w:pPr>
      <w:r>
        <w:rPr>
          <w:b/>
          <w:color w:val="1F4E79"/>
          <w:sz w:val="26"/>
        </w:rPr>
        <w:t>2.1  Join 1 — SBXLOADPOVIEW ⟕ F554201T  (LEFT, unchanged from core)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244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1310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44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Key</w:t>
            </w:r>
          </w:p>
        </w:tc>
        <w:tc>
          <w:tcPr>
            <w:tcW w:type="dxa" w:w="1310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padded </w:t>
            </w:r>
            <w:r>
              <w:rPr>
                <w:rFonts w:ascii="Consolas" w:hAnsi="Consolas"/>
                <w:sz w:val="15"/>
              </w:rPr>
              <w:t>SDKCOO = QCKCOO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SDDOCO = QCDOCO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SDDCTO = QCDCTO</w:t>
            </w:r>
            <w:r>
              <w:rPr>
                <w:sz w:val="16"/>
              </w:rPr>
              <w:t xml:space="preserve"> (line 173)</w:t>
            </w:r>
          </w:p>
        </w:tc>
      </w:tr>
      <w:tr>
        <w:tc>
          <w:tcPr>
            <w:tcW w:type="dxa" w:w="24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Supplies</w:t>
            </w:r>
          </w:p>
        </w:tc>
        <w:tc>
          <w:tcPr>
            <w:tcW w:type="dxa" w:w="131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QCDS50 → </w:t>
            </w:r>
            <w:r>
              <w:rPr>
                <w:rFonts w:ascii="Consolas" w:hAnsi="Consolas"/>
                <w:sz w:val="15"/>
              </w:rPr>
              <w:t>sand_po_number</w:t>
            </w:r>
            <w:r>
              <w:rPr>
                <w:sz w:val="16"/>
              </w:rPr>
              <w:t xml:space="preserve">. Also feeds the SO match inside join 2 (as </w:t>
            </w:r>
            <w:r>
              <w:rPr>
                <w:rFonts w:ascii="Consolas" w:hAnsi="Consolas"/>
                <w:sz w:val="15"/>
              </w:rPr>
              <w:t>SANDTKTPO</w:t>
            </w:r>
            <w:r>
              <w:rPr>
                <w:sz w:val="16"/>
              </w:rPr>
              <w:t>).</w:t>
            </w:r>
          </w:p>
        </w:tc>
      </w:tr>
      <w:tr>
        <w:tc>
          <w:tcPr>
            <w:tcW w:type="dxa" w:w="244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In Gold</w:t>
            </w:r>
          </w:p>
        </w:tc>
        <w:tc>
          <w:tcPr>
            <w:tcW w:type="dxa" w:w="1310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the </w:t>
            </w:r>
            <w:r>
              <w:rPr>
                <w:rFonts w:ascii="Consolas" w:hAnsi="Consolas"/>
                <w:sz w:val="15"/>
              </w:rPr>
              <w:t>qcv</w:t>
            </w:r>
            <w:r>
              <w:rPr>
                <w:sz w:val="16"/>
              </w:rPr>
              <w:t xml:space="preserve"> lookup — one row per (kcoo, doco, dcto).</w:t>
            </w:r>
          </w:p>
        </w:tc>
      </w:tr>
    </w:tbl>
    <w:p>
      <w:pPr>
        <w:spacing w:before="0" w:after="120"/>
      </w:pPr>
    </w:p>
    <w:p>
      <w:pPr>
        <w:spacing w:before="280" w:after="100"/>
      </w:pPr>
      <w:r>
        <w:rPr>
          <w:b/>
          <w:color w:val="1F4E79"/>
          <w:sz w:val="26"/>
        </w:rPr>
        <w:t>2.2  Join 3 — SBXLOADPOVIEW ⟕ F0101  (LEFT, unchanged from core)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244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1310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44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Key</w:t>
            </w:r>
          </w:p>
        </w:tc>
        <w:tc>
          <w:tcPr>
            <w:tcW w:type="dxa" w:w="1310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LOFA (SDVEND) = ABAN8</w:t>
            </w:r>
            <w:r>
              <w:rPr>
                <w:sz w:val="16"/>
              </w:rPr>
              <w:t>, right side pre-filtered to the ABAT1 rate-source band (line 296)</w:t>
            </w:r>
          </w:p>
        </w:tc>
      </w:tr>
      <w:tr>
        <w:tc>
          <w:tcPr>
            <w:tcW w:type="dxa" w:w="24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Supplies</w:t>
            </w:r>
          </w:p>
        </w:tc>
        <w:tc>
          <w:tcPr>
            <w:tcW w:type="dxa" w:w="131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ABALPH (facility name) and ABURAT (the rate → </w:t>
            </w:r>
            <w:r>
              <w:rPr>
                <w:rFonts w:ascii="Consolas" w:hAnsi="Consolas"/>
                <w:sz w:val="15"/>
              </w:rPr>
              <w:t>lofa_rate</w:t>
            </w:r>
            <w:r>
              <w:rPr>
                <w:sz w:val="16"/>
              </w:rPr>
              <w:t>).</w:t>
            </w:r>
          </w:p>
        </w:tc>
      </w:tr>
      <w:tr>
        <w:tc>
          <w:tcPr>
            <w:tcW w:type="dxa" w:w="244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Note</w:t>
            </w:r>
          </w:p>
        </w:tc>
        <w:tc>
          <w:tcPr>
            <w:tcW w:type="dxa" w:w="1310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the ABAT1 band is a </w:t>
            </w:r>
            <w:r>
              <w:rPr>
                <w:b/>
                <w:i/>
                <w:sz w:val="16"/>
              </w:rPr>
              <w:t>value definition</w:t>
            </w:r>
            <w:r>
              <w:rPr>
                <w:sz w:val="16"/>
              </w:rPr>
              <w:t>, not a filter — LEFT join, so an out-of-band facility yields a NULL rate, never a dropped row.</w:t>
            </w:r>
          </w:p>
        </w:tc>
      </w:tr>
    </w:tbl>
    <w:p>
      <w:pPr>
        <w:spacing w:before="0" w:after="120"/>
      </w:pPr>
    </w:p>
    <w:p>
      <w:pPr>
        <w:spacing w:before="280" w:after="100"/>
      </w:pPr>
      <w:r>
        <w:rPr>
          <w:b/>
          <w:color w:val="1F4E79"/>
          <w:sz w:val="26"/>
        </w:rPr>
        <w:t>2.3  Join 2 — SBXLOADPOVIEW ⟕ SBXUSSSAND  (LEFT, THE new join)</w:t>
      </w:r>
    </w:p>
    <w:p>
      <w:pPr>
        <w:spacing w:before="160" w:after="20"/>
      </w:pPr>
      <w:r>
        <w:rPr>
          <w:b/>
          <w:color w:val="595F69"/>
          <w:sz w:val="16"/>
        </w:rPr>
        <w:t>The outer join, line 294 — one USS record per (load, doc type)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LEFT JOIN ( ... SBXUSSSAND ... )</w:t>
        <w:br/>
      </w:r>
      <w:r>
        <w:rPr>
          <w:rFonts w:ascii="Consolas" w:hAnsi="Consolas"/>
          <w:color w:val="1B1F24"/>
          <w:sz w:val="15"/>
        </w:rPr>
        <w:t xml:space="preserve">  ON ( SBXLOADPOVIEW.SDDOCO = SBXUSSSAND.SDDOCO )</w:t>
        <w:br/>
      </w:r>
      <w:r>
        <w:rPr>
          <w:rFonts w:ascii="Consolas" w:hAnsi="Consolas"/>
          <w:color w:val="1B1F24"/>
          <w:sz w:val="15"/>
        </w:rPr>
        <w:t xml:space="preserve">     AND ( SBXLOADPOVIEW.SDDCTO = SBXUSSSAND.SDDCTO )</w:t>
      </w:r>
    </w:p>
    <w:p>
      <w:pPr>
        <w:spacing w:before="60" w:after="100" w:line="276" w:lineRule="auto"/>
      </w:pPr>
      <w:r>
        <w:t xml:space="preserve">Every load line picks up its load's single USS-sand record. That record is built once per load, anchored on the load's </w:t>
      </w:r>
      <w:r>
        <w:rPr>
          <w:b/>
        </w:rPr>
        <w:t>SANDTKTNBR</w:t>
      </w:r>
      <w:r>
        <w:t xml:space="preserve"> line:</w:t>
      </w:r>
    </w:p>
    <w:p>
      <w:pPr>
        <w:spacing w:before="160" w:after="20"/>
      </w:pPr>
      <w:r>
        <w:rPr>
          <w:b/>
          <w:color w:val="595F69"/>
          <w:sz w:val="16"/>
        </w:rPr>
        <w:t>The M anchor — verbatim, lines 286-292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from   proddta.F4211 M</w:t>
        <w:br/>
      </w:r>
      <w:r>
        <w:rPr>
          <w:rFonts w:ascii="Consolas" w:hAnsi="Consolas"/>
          <w:color w:val="1B1F24"/>
          <w:sz w:val="15"/>
        </w:rPr>
        <w:t xml:space="preserve">       INNER JOIN proddta.F554201T</w:t>
        <w:br/>
      </w:r>
      <w:r>
        <w:rPr>
          <w:rFonts w:ascii="Consolas" w:hAnsi="Consolas"/>
          <w:color w:val="1B1F24"/>
          <w:sz w:val="15"/>
        </w:rPr>
        <w:t xml:space="preserve">         ON M.SDDOCO = F554201T.QCDOCO</w:t>
        <w:br/>
      </w:r>
      <w:r>
        <w:rPr>
          <w:rFonts w:ascii="Consolas" w:hAnsi="Consolas"/>
          <w:color w:val="1B1F24"/>
          <w:sz w:val="15"/>
        </w:rPr>
        <w:t xml:space="preserve">            AND M.SDDCTO = F554201T.QCDCTO</w:t>
        <w:br/>
      </w:r>
      <w:r>
        <w:rPr>
          <w:rFonts w:ascii="Consolas" w:hAnsi="Consolas"/>
          <w:color w:val="1B1F24"/>
          <w:sz w:val="15"/>
        </w:rPr>
        <w:t xml:space="preserve">            AND M.SDKCOO = F554201T.QCKCOO</w:t>
        <w:br/>
      </w:r>
      <w:r>
        <w:rPr>
          <w:rFonts w:ascii="Consolas" w:hAnsi="Consolas"/>
          <w:color w:val="1B1F24"/>
          <w:sz w:val="15"/>
        </w:rPr>
        <w:t>where  M.sddcto = 'SX'</w:t>
        <w:br/>
      </w:r>
      <w:r>
        <w:rPr>
          <w:rFonts w:ascii="Consolas" w:hAnsi="Consolas"/>
          <w:color w:val="1B1F24"/>
          <w:sz w:val="15"/>
        </w:rPr>
        <w:t xml:space="preserve">       and M.SDLITM = 'SANDTKTNBR'</w:t>
        <w:br/>
      </w:r>
      <w:r>
        <w:rPr>
          <w:rFonts w:ascii="Consolas" w:hAnsi="Consolas"/>
          <w:color w:val="1B1F24"/>
          <w:sz w:val="15"/>
        </w:rPr>
        <w:t xml:space="preserve">       and M.SDKCOO = '00750'</w:t>
      </w:r>
    </w:p>
    <w:p>
      <w:pPr>
        <w:spacing w:before="160" w:after="160" w:line="276" w:lineRule="auto"/>
        <w:shd w:val="clear" w:color="auto" w:fill="EAF1F8"/>
        <w:pBdr>
          <w:top w:val="single" w:sz="6" w:space="6" w:color="1F4E79"/>
          <w:left w:val="single" w:sz="6" w:space="6" w:color="1F4E79"/>
          <w:bottom w:val="single" w:sz="6" w:space="6" w:color="1F4E79"/>
          <w:right w:val="single" w:sz="6" w:space="6" w:color="1F4E79"/>
        </w:pBdr>
        <w:ind w:left="86"/>
      </w:pPr>
      <w:r>
        <w:rPr>
          <w:b/>
          <w:color w:val="1F4E79"/>
          <w:sz w:val="19"/>
        </w:rPr>
        <w:t>The anchor is the SANDTKTNBR line, and its vendor drives everything.</w:t>
        <w:br/>
      </w:r>
      <w:r>
        <w:rPr>
          <w:sz w:val="18"/>
        </w:rPr>
        <w:t xml:space="preserve">Each load has one </w:t>
      </w:r>
      <w:r>
        <w:rPr>
          <w:rFonts w:ascii="Consolas" w:hAnsi="Consolas"/>
          <w:sz w:val="17"/>
        </w:rPr>
        <w:t>SANDTKTNBR</w:t>
      </w:r>
      <w:r>
        <w:rPr>
          <w:sz w:val="18"/>
        </w:rPr>
        <w:t xml:space="preserve"> line; </w:t>
      </w:r>
      <w:r>
        <w:rPr>
          <w:rFonts w:ascii="Consolas" w:hAnsi="Consolas"/>
          <w:sz w:val="17"/>
        </w:rPr>
        <w:t>M.sdvend</w:t>
      </w:r>
      <w:r>
        <w:rPr>
          <w:sz w:val="18"/>
        </w:rPr>
        <w:t xml:space="preserve"> on it is the loading-facility vendor. That vendor is the key into the F0005 </w:t>
      </w:r>
      <w:r>
        <w:rPr>
          <w:rFonts w:ascii="Consolas" w:hAnsi="Consolas"/>
          <w:sz w:val="17"/>
        </w:rPr>
        <w:t>55/UP</w:t>
      </w:r>
      <w:r>
        <w:rPr>
          <w:sz w:val="18"/>
        </w:rPr>
        <w:t xml:space="preserve"> UDC, which is what classifies the load as PLANT / TRANSLOAD / 3RDPARTY and Y/N for USS sand. </w:t>
      </w:r>
      <w:r>
        <w:rPr>
          <w:rFonts w:ascii="Consolas" w:hAnsi="Consolas"/>
          <w:sz w:val="17"/>
        </w:rPr>
        <w:t>M.sddsc1</w:t>
      </w:r>
      <w:r>
        <w:rPr>
          <w:sz w:val="18"/>
        </w:rPr>
        <w:t xml:space="preserve"> is the sand-ticket number, used to match the sales order.</w:t>
      </w:r>
    </w:p>
    <w:p>
      <w:pPr>
        <w:spacing w:before="220" w:after="60"/>
      </w:pPr>
      <w:r>
        <w:rPr>
          <w:b/>
          <w:color w:val="0F6B6B"/>
          <w:sz w:val="21"/>
        </w:rPr>
        <w:t>2.3.1  The 9 SBXUSSSAND columns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216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864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How it is computed</w:t>
            </w:r>
          </w:p>
        </w:tc>
        <w:tc>
          <w:tcPr>
            <w:tcW w:type="dxa" w:w="475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In Gold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SOORDERNO</w:t>
            </w:r>
          </w:p>
        </w:tc>
        <w:tc>
          <w:tcPr>
            <w:tcW w:type="dxa" w:w="864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distinct </w:t>
            </w:r>
            <w:r>
              <w:rPr>
                <w:rFonts w:ascii="Consolas" w:hAnsi="Consolas"/>
                <w:sz w:val="15"/>
              </w:rPr>
              <w:t>L.SDDOCO</w:t>
            </w:r>
            <w:r>
              <w:rPr>
                <w:sz w:val="16"/>
              </w:rPr>
              <w:t xml:space="preserve"> of the SO line matched by padded sand-ticket + sand-PO, whose </w:t>
            </w:r>
            <w:r>
              <w:rPr>
                <w:rFonts w:ascii="Consolas" w:hAnsi="Consolas"/>
                <w:sz w:val="15"/>
              </w:rPr>
              <w:t>SDMCU</w:t>
            </w:r>
            <w:r>
              <w:rPr>
                <w:sz w:val="16"/>
              </w:rPr>
              <w:t xml:space="preserve"> equals the vendor's F0005 plant MCU (</w:t>
            </w:r>
            <w:r>
              <w:rPr>
                <w:rFonts w:ascii="Consolas" w:hAnsi="Consolas"/>
                <w:sz w:val="15"/>
              </w:rPr>
              <w:t>DRSPHD</w:t>
            </w:r>
            <w:r>
              <w:rPr>
                <w:sz w:val="16"/>
              </w:rPr>
              <w:t>)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uss_so_order_no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SOALTBOLNO</w:t>
            </w:r>
          </w:p>
        </w:tc>
        <w:tc>
          <w:tcPr>
            <w:tcW w:type="dxa" w:w="86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distinct </w:t>
            </w:r>
            <w:r>
              <w:rPr>
                <w:rFonts w:ascii="Consolas" w:hAnsi="Consolas"/>
                <w:sz w:val="15"/>
              </w:rPr>
              <w:t>L2.SDPSIG</w:t>
            </w:r>
            <w:r>
              <w:rPr>
                <w:sz w:val="16"/>
              </w:rPr>
              <w:t xml:space="preserve"> of the matched SO line</w:t>
            </w:r>
          </w:p>
        </w:tc>
        <w:tc>
          <w:tcPr>
            <w:tcW w:type="dxa" w:w="475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so_alt_bol_no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SOPONO</w:t>
            </w:r>
          </w:p>
        </w:tc>
        <w:tc>
          <w:tcPr>
            <w:tcW w:type="dxa" w:w="864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distinct </w:t>
            </w:r>
            <w:r>
              <w:rPr>
                <w:rFonts w:ascii="Consolas" w:hAnsi="Consolas"/>
                <w:sz w:val="15"/>
              </w:rPr>
              <w:t>L3.SDVR01</w:t>
            </w:r>
            <w:r>
              <w:rPr>
                <w:sz w:val="16"/>
              </w:rPr>
              <w:t xml:space="preserve"> of the matched SO line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uss_customer_po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MATCHFLAG</w:t>
            </w:r>
          </w:p>
        </w:tc>
        <w:tc>
          <w:tcPr>
            <w:tcW w:type="dxa" w:w="86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'Y' if any SO line matches (</w:t>
            </w:r>
            <w:r>
              <w:rPr>
                <w:rFonts w:ascii="Consolas" w:hAnsi="Consolas"/>
                <w:sz w:val="15"/>
              </w:rPr>
              <w:t>SDDCTO='SO' AND SDCO='00400'</w:t>
            </w:r>
            <w:r>
              <w:rPr>
                <w:sz w:val="16"/>
              </w:rPr>
              <w:t>)</w:t>
            </w:r>
          </w:p>
        </w:tc>
        <w:tc>
          <w:tcPr>
            <w:tcW w:type="dxa" w:w="475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uss_match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SXWEIGHT</w:t>
            </w:r>
          </w:p>
        </w:tc>
        <w:tc>
          <w:tcPr>
            <w:tcW w:type="dxa" w:w="864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SUM(</w:t>
            </w:r>
            <w:r>
              <w:rPr>
                <w:rFonts w:ascii="Consolas" w:hAnsi="Consolas"/>
                <w:sz w:val="15"/>
              </w:rPr>
              <w:t>SDUORG/1000</w:t>
            </w:r>
            <w:r>
              <w:rPr>
                <w:sz w:val="16"/>
              </w:rPr>
              <w:t xml:space="preserve">) over the load's SX </w:t>
            </w:r>
            <w:r>
              <w:rPr>
                <w:rFonts w:ascii="Consolas" w:hAnsi="Consolas"/>
                <w:sz w:val="15"/>
              </w:rPr>
              <w:t>COM</w:t>
            </w:r>
            <w:r>
              <w:rPr>
                <w:sz w:val="16"/>
              </w:rPr>
              <w:t xml:space="preserve"> lines, </w:t>
            </w:r>
            <w:r>
              <w:rPr>
                <w:rFonts w:ascii="Consolas" w:hAnsi="Consolas"/>
                <w:sz w:val="15"/>
              </w:rPr>
              <w:t>SDLTTR&lt;&gt;'980'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sbx_weight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SOWEIGHT</w:t>
            </w:r>
          </w:p>
        </w:tc>
        <w:tc>
          <w:tcPr>
            <w:tcW w:type="dxa" w:w="86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SUM(</w:t>
            </w:r>
            <w:r>
              <w:rPr>
                <w:rFonts w:ascii="Consolas" w:hAnsi="Consolas"/>
                <w:sz w:val="15"/>
              </w:rPr>
              <w:t>SDSQOR/1000</w:t>
            </w:r>
            <w:r>
              <w:rPr>
                <w:sz w:val="16"/>
              </w:rPr>
              <w:t xml:space="preserve">) over the matched SO </w:t>
            </w:r>
            <w:r>
              <w:rPr>
                <w:rFonts w:ascii="Consolas" w:hAnsi="Consolas"/>
                <w:sz w:val="15"/>
              </w:rPr>
              <w:t>'S'</w:t>
            </w:r>
            <w:r>
              <w:rPr>
                <w:sz w:val="16"/>
              </w:rPr>
              <w:t xml:space="preserve"> lines</w:t>
            </w:r>
          </w:p>
        </w:tc>
        <w:tc>
          <w:tcPr>
            <w:tcW w:type="dxa" w:w="475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uss_so_weight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USSSAND</w:t>
            </w:r>
          </w:p>
        </w:tc>
        <w:tc>
          <w:tcPr>
            <w:tcW w:type="dxa" w:w="864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F0005 55/UP: 'Y' when </w:t>
            </w:r>
            <w:r>
              <w:rPr>
                <w:rFonts w:ascii="Consolas" w:hAnsi="Consolas"/>
                <w:sz w:val="15"/>
              </w:rPr>
              <w:t>1 &lt; DRSPHD &lt; 9000</w:t>
            </w:r>
            <w:r>
              <w:rPr>
                <w:sz w:val="16"/>
              </w:rPr>
              <w:t>, else 'N'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dim_uss_plant.uss_plant_sand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LOFAPLANTMCU</w:t>
            </w:r>
          </w:p>
        </w:tc>
        <w:tc>
          <w:tcPr>
            <w:tcW w:type="dxa" w:w="86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F0005 55/UP </w:t>
            </w:r>
            <w:r>
              <w:rPr>
                <w:rFonts w:ascii="Consolas" w:hAnsi="Consolas"/>
                <w:sz w:val="15"/>
              </w:rPr>
              <w:t>DRSPHD</w:t>
            </w:r>
            <w:r>
              <w:rPr>
                <w:sz w:val="16"/>
              </w:rPr>
              <w:t xml:space="preserve"> for the vendor — the plant MCU</w:t>
            </w:r>
          </w:p>
        </w:tc>
        <w:tc>
          <w:tcPr>
            <w:tcW w:type="dxa" w:w="475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dim_uss_plant.lofa_mcu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PLANTTRANSLOAD</w:t>
            </w:r>
          </w:p>
        </w:tc>
        <w:tc>
          <w:tcPr>
            <w:tcW w:type="dxa" w:w="864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F0005 55/UP: </w:t>
            </w:r>
            <w:r>
              <w:rPr>
                <w:rFonts w:ascii="Consolas" w:hAnsi="Consolas"/>
                <w:sz w:val="15"/>
              </w:rPr>
              <w:t>TRANSLOAD</w:t>
            </w:r>
            <w:r>
              <w:rPr>
                <w:sz w:val="16"/>
              </w:rPr>
              <w:t xml:space="preserve"> if DRSPHD&gt;9000, </w:t>
            </w:r>
            <w:r>
              <w:rPr>
                <w:rFonts w:ascii="Consolas" w:hAnsi="Consolas"/>
                <w:sz w:val="15"/>
              </w:rPr>
              <w:t>PLANT</w:t>
            </w:r>
            <w:r>
              <w:rPr>
                <w:sz w:val="16"/>
              </w:rPr>
              <w:t xml:space="preserve"> if 1&lt;DRSPHD&lt;9000, else </w:t>
            </w:r>
            <w:r>
              <w:rPr>
                <w:rFonts w:ascii="Consolas" w:hAnsi="Consolas"/>
                <w:sz w:val="15"/>
              </w:rPr>
              <w:t>3RDPARTY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dim_uss_plant.shipped_from</w:t>
            </w:r>
          </w:p>
        </w:tc>
      </w:tr>
    </w:tbl>
    <w:p>
      <w:pPr>
        <w:spacing w:before="0" w:after="120"/>
      </w:pPr>
    </w:p>
    <w:p>
      <w:pPr>
        <w:spacing w:before="160" w:after="160" w:line="276" w:lineRule="auto"/>
        <w:shd w:val="clear" w:color="auto" w:fill="EAF6EE"/>
        <w:pBdr>
          <w:top w:val="single" w:sz="6" w:space="6" w:color="2E8B57"/>
          <w:left w:val="single" w:sz="6" w:space="6" w:color="2E8B57"/>
          <w:bottom w:val="single" w:sz="6" w:space="6" w:color="2E8B57"/>
          <w:right w:val="single" w:sz="6" w:space="6" w:color="2E8B57"/>
        </w:pBdr>
        <w:ind w:left="86"/>
      </w:pPr>
      <w:r>
        <w:rPr>
          <w:b/>
          <w:color w:val="1E6B3A"/>
          <w:sz w:val="19"/>
        </w:rPr>
        <w:t>Six of these land on the fact, three on dim_uss_plant.</w:t>
        <w:br/>
      </w:r>
      <w:r>
        <w:rPr>
          <w:sz w:val="18"/>
        </w:rPr>
        <w:t>The SO-match outputs (</w:t>
      </w:r>
      <w:r>
        <w:rPr>
          <w:rFonts w:ascii="Consolas" w:hAnsi="Consolas"/>
          <w:sz w:val="17"/>
        </w:rPr>
        <w:t>SOORDERNO, SOALTBOLNO, SOPONO, MATCHFLAG, SXWEIGHT, SOWEIGHT</w:t>
      </w:r>
      <w:r>
        <w:rPr>
          <w:sz w:val="18"/>
        </w:rPr>
        <w:t xml:space="preserve">) are per-load values computed in the notebook's </w:t>
      </w:r>
      <w:r>
        <w:rPr>
          <w:rFonts w:ascii="Consolas" w:hAnsi="Consolas"/>
          <w:sz w:val="17"/>
        </w:rPr>
        <w:t>sbxusssand</w:t>
      </w:r>
      <w:r>
        <w:rPr>
          <w:sz w:val="18"/>
        </w:rPr>
        <w:t xml:space="preserve"> aggregate and stored on the fact. The three F0005 plant attributes (</w:t>
      </w:r>
      <w:r>
        <w:rPr>
          <w:rFonts w:ascii="Consolas" w:hAnsi="Consolas"/>
          <w:sz w:val="17"/>
        </w:rPr>
        <w:t>USSSAND, LOFAPLANTMCU, PLANTTRANSLOAD</w:t>
      </w:r>
      <w:r>
        <w:rPr>
          <w:sz w:val="18"/>
        </w:rPr>
        <w:t xml:space="preserve">) come from the reused </w:t>
      </w:r>
      <w:r>
        <w:rPr>
          <w:rFonts w:ascii="Consolas" w:hAnsi="Consolas"/>
          <w:sz w:val="17"/>
        </w:rPr>
        <w:t>dim_uss_plant</w:t>
      </w:r>
      <w:r>
        <w:rPr>
          <w:sz w:val="18"/>
        </w:rPr>
        <w:t xml:space="preserve"> dimension (built by </w:t>
      </w:r>
      <w:r>
        <w:rPr>
          <w:rFonts w:ascii="Consolas" w:hAnsi="Consolas"/>
          <w:sz w:val="17"/>
        </w:rPr>
        <w:t>nb_eso5_gold_dim_uss_plant</w:t>
      </w:r>
      <w:r>
        <w:rPr>
          <w:sz w:val="18"/>
        </w:rPr>
        <w:t xml:space="preserve"> from the F0005 55/UP UDC), reached in the report by the </w:t>
      </w:r>
      <w:r>
        <w:rPr>
          <w:rFonts w:ascii="Consolas" w:hAnsi="Consolas"/>
          <w:sz w:val="17"/>
        </w:rPr>
        <w:t>loading_facility</w:t>
      </w:r>
      <w:r>
        <w:rPr>
          <w:sz w:val="18"/>
        </w:rPr>
        <w:t xml:space="preserve"> relationship — they are not duplicated onto the fact.</w:t>
      </w:r>
    </w:p>
    <w:p>
      <w:pPr>
        <w:spacing w:before="220" w:after="60"/>
      </w:pPr>
      <w:r>
        <w:rPr>
          <w:b/>
          <w:color w:val="0F6B6B"/>
          <w:sz w:val="21"/>
        </w:rPr>
        <w:t>2.3.2  The SO match — how a sand ticket finds its sales order</w:t>
      </w:r>
    </w:p>
    <w:p>
      <w:pPr>
        <w:spacing w:before="160" w:after="20"/>
      </w:pPr>
      <w:r>
        <w:rPr>
          <w:b/>
          <w:color w:val="595F69"/>
          <w:sz w:val="16"/>
        </w:rPr>
        <w:t>The correlated SO match, repeated by SOORDERNO / SOALTBOLNO / SOPONO / MATCHFLAG / SOWEIGHT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where  L.sdpsig = rpad(rtrim(rtrim(M.sddsc1, ' '), '.'), 30, ' ')   -- sand ticket no. -&gt; pull signal</w:t>
        <w:br/>
      </w:r>
      <w:r>
        <w:rPr>
          <w:rFonts w:ascii="Consolas" w:hAnsi="Consolas"/>
          <w:color w:val="1B1F24"/>
          <w:sz w:val="15"/>
        </w:rPr>
        <w:t xml:space="preserve">       and L.sdvr01 = rpad(rtrim(F554201T.qcds50, ' '), 25, ' ')    -- sand PO no.     -&gt; customer PO</w:t>
        <w:br/>
      </w:r>
      <w:r>
        <w:rPr>
          <w:rFonts w:ascii="Consolas" w:hAnsi="Consolas"/>
          <w:color w:val="1B1F24"/>
          <w:sz w:val="15"/>
        </w:rPr>
        <w:t xml:space="preserve">       and L.sddcto = 'SO'</w:t>
        <w:br/>
      </w:r>
      <w:r>
        <w:rPr>
          <w:rFonts w:ascii="Consolas" w:hAnsi="Consolas"/>
          <w:color w:val="1B1F24"/>
          <w:sz w:val="15"/>
        </w:rPr>
        <w:t xml:space="preserve">       and L.sdco   = '00400'</w:t>
      </w:r>
    </w:p>
    <w:p>
      <w:pPr>
        <w:spacing w:before="60" w:after="100" w:line="276" w:lineRule="auto"/>
      </w:pPr>
      <w:r>
        <w:t>The sand ticket number (</w:t>
      </w:r>
      <w:r>
        <w:rPr>
          <w:rFonts w:ascii="Consolas" w:hAnsi="Consolas"/>
          <w:color w:val="9C272B"/>
          <w:sz w:val="17"/>
        </w:rPr>
        <w:t>M.SDDSC1</w:t>
      </w:r>
      <w:r>
        <w:t>, trimmed of spaces then trailing dots, right-padded to 30) must equal the SO line's pull signal (</w:t>
      </w:r>
      <w:r>
        <w:rPr>
          <w:rFonts w:ascii="Consolas" w:hAnsi="Consolas"/>
          <w:color w:val="9C272B"/>
          <w:sz w:val="17"/>
        </w:rPr>
        <w:t>SDPSIG</w:t>
      </w:r>
      <w:r>
        <w:t>), and the sand PO (</w:t>
      </w:r>
      <w:r>
        <w:rPr>
          <w:rFonts w:ascii="Consolas" w:hAnsi="Consolas"/>
          <w:color w:val="9C272B"/>
          <w:sz w:val="17"/>
        </w:rPr>
        <w:t>QCDS50</w:t>
      </w:r>
      <w:r>
        <w:t>, padded to 25) must equal its customer PO (</w:t>
      </w:r>
      <w:r>
        <w:rPr>
          <w:rFonts w:ascii="Consolas" w:hAnsi="Consolas"/>
          <w:color w:val="9C272B"/>
          <w:sz w:val="17"/>
        </w:rPr>
        <w:t>SDVR01</w:t>
      </w:r>
      <w:r>
        <w:t xml:space="preserve">). The SO side lives in a different company — </w:t>
      </w:r>
      <w:r>
        <w:rPr>
          <w:rFonts w:ascii="Consolas" w:hAnsi="Consolas"/>
          <w:color w:val="9C272B"/>
          <w:sz w:val="17"/>
        </w:rPr>
        <w:t>SDCO = '00400'</w:t>
      </w:r>
      <w:r>
        <w:t xml:space="preserve">, document type </w:t>
      </w:r>
      <w:r>
        <w:rPr>
          <w:rFonts w:ascii="Consolas" w:hAnsi="Consolas"/>
          <w:color w:val="9C272B"/>
          <w:sz w:val="17"/>
        </w:rPr>
        <w:t>'SO'</w:t>
      </w:r>
      <w:r>
        <w:t xml:space="preserve"> — which is why the match, not a plain join, is needed.</w:t>
      </w:r>
    </w:p>
    <w:p>
      <w:pPr>
        <w:spacing w:before="160" w:after="160" w:line="276" w:lineRule="auto"/>
        <w:shd w:val="clear" w:color="auto" w:fill="FFF6E5"/>
        <w:pBdr>
          <w:top w:val="single" w:sz="6" w:space="6" w:color="C08A2E"/>
          <w:left w:val="single" w:sz="6" w:space="6" w:color="C08A2E"/>
          <w:bottom w:val="single" w:sz="6" w:space="6" w:color="C08A2E"/>
          <w:right w:val="single" w:sz="6" w:space="6" w:color="C08A2E"/>
        </w:pBdr>
        <w:ind w:left="86"/>
      </w:pPr>
      <w:r>
        <w:rPr>
          <w:b/>
          <w:color w:val="8A5A00"/>
          <w:sz w:val="19"/>
        </w:rPr>
        <w:t>Two padding widths, and they are exact.</w:t>
        <w:br/>
      </w:r>
      <w:r>
        <w:rPr>
          <w:sz w:val="18"/>
        </w:rPr>
        <w:t xml:space="preserve">The pull-signal match pads to </w:t>
      </w:r>
      <w:r>
        <w:rPr>
          <w:rFonts w:ascii="Consolas" w:hAnsi="Consolas"/>
          <w:sz w:val="17"/>
        </w:rPr>
        <w:t>30</w:t>
      </w:r>
      <w:r>
        <w:rPr>
          <w:sz w:val="18"/>
        </w:rPr>
        <w:t xml:space="preserve"> and trims trailing dots as well as spaces; the customer-PO match pads to </w:t>
      </w:r>
      <w:r>
        <w:rPr>
          <w:rFonts w:ascii="Consolas" w:hAnsi="Consolas"/>
          <w:sz w:val="17"/>
        </w:rPr>
        <w:t>25</w:t>
      </w:r>
      <w:r>
        <w:rPr>
          <w:sz w:val="18"/>
        </w:rPr>
        <w:t xml:space="preserve">. Get either width wrong and the match silently returns nothing. In Gold these are the </w:t>
      </w:r>
      <w:r>
        <w:rPr>
          <w:rFonts w:ascii="Consolas" w:hAnsi="Consolas"/>
          <w:sz w:val="17"/>
        </w:rPr>
        <w:t>_pad30</w:t>
      </w:r>
      <w:r>
        <w:rPr>
          <w:sz w:val="18"/>
        </w:rPr>
        <w:t xml:space="preserve"> / </w:t>
      </w:r>
      <w:r>
        <w:rPr>
          <w:rFonts w:ascii="Consolas" w:hAnsi="Consolas"/>
          <w:sz w:val="17"/>
        </w:rPr>
        <w:t>_pad25</w:t>
      </w:r>
      <w:r>
        <w:rPr>
          <w:sz w:val="18"/>
        </w:rPr>
        <w:t xml:space="preserve"> helpers, applied in the </w:t>
      </w:r>
      <w:r>
        <w:rPr>
          <w:rFonts w:ascii="Consolas" w:hAnsi="Consolas"/>
          <w:sz w:val="17"/>
        </w:rPr>
        <w:t>sbxusssand</w:t>
      </w:r>
      <w:r>
        <w:rPr>
          <w:sz w:val="18"/>
        </w:rPr>
        <w:t xml:space="preserve"> match exactly as here.</w:t>
      </w:r>
    </w:p>
    <w:p>
      <w:r>
        <w:br w:type="page"/>
      </w:r>
    </w:p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Part 3 · Filters</w:t>
      </w:r>
    </w:p>
    <w:p>
      <w:pPr>
        <w:spacing w:before="280" w:after="100"/>
      </w:pPr>
      <w:r>
        <w:rPr>
          <w:b/>
          <w:color w:val="1F4E79"/>
          <w:sz w:val="26"/>
        </w:rPr>
        <w:t>3.1  Page-level filter — there is only one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50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75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Verbatim predicate</w:t>
            </w:r>
          </w:p>
        </w:tc>
        <w:tc>
          <w:tcPr>
            <w:tcW w:type="dxa" w:w="583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446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Power BI</w:t>
            </w:r>
          </w:p>
        </w:tc>
      </w:tr>
      <w:tr>
        <w:tc>
          <w:tcPr>
            <w:tcW w:type="dxa" w:w="50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ORDATE … BETWEEN 124061 AND 124091</w:t>
            </w:r>
          </w:p>
        </w:tc>
        <w:tc>
          <w:tcPr>
            <w:tcW w:type="dxa" w:w="58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March 2024, on the line date (</w:t>
            </w:r>
            <w:r>
              <w:rPr>
                <w:rFonts w:ascii="Consolas" w:hAnsi="Consolas"/>
                <w:sz w:val="15"/>
              </w:rPr>
              <w:t>SDTRDJ</w:t>
            </w:r>
            <w:r>
              <w:rPr>
                <w:sz w:val="16"/>
              </w:rPr>
              <w:t>)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date slicer on </w:t>
            </w:r>
            <w:r>
              <w:rPr>
                <w:rFonts w:ascii="Consolas" w:hAnsi="Consolas"/>
                <w:b/>
                <w:sz w:val="15"/>
              </w:rPr>
              <w:t>order_date</w:t>
            </w:r>
          </w:p>
        </w:tc>
      </w:tr>
    </w:tbl>
    <w:p>
      <w:pPr>
        <w:spacing w:before="0" w:after="120"/>
      </w:pPr>
    </w:p>
    <w:p>
      <w:pPr>
        <w:spacing w:before="160" w:after="160" w:line="276" w:lineRule="auto"/>
        <w:shd w:val="clear" w:color="auto" w:fill="EAF1F8"/>
        <w:pBdr>
          <w:top w:val="single" w:sz="6" w:space="6" w:color="1F4E79"/>
          <w:left w:val="single" w:sz="6" w:space="6" w:color="1F4E79"/>
          <w:bottom w:val="single" w:sz="6" w:space="6" w:color="1F4E79"/>
          <w:right w:val="single" w:sz="6" w:space="6" w:color="1F4E79"/>
        </w:pBdr>
        <w:ind w:left="86"/>
      </w:pPr>
      <w:r>
        <w:rPr>
          <w:b/>
          <w:color w:val="1F4E79"/>
          <w:sz w:val="19"/>
        </w:rPr>
        <w:t>No item filter, no status filter.</w:t>
        <w:br/>
      </w:r>
      <w:r>
        <w:rPr>
          <w:sz w:val="18"/>
        </w:rPr>
        <w:t xml:space="preserve">Unlike the core report, the (New) variation does </w:t>
      </w:r>
      <w:r>
        <w:rPr>
          <w:b/>
          <w:i/>
          <w:sz w:val="18"/>
        </w:rPr>
        <w:t>not</w:t>
      </w:r>
      <w:r>
        <w:rPr>
          <w:sz w:val="18"/>
        </w:rPr>
        <w:t xml:space="preserve"> filter </w:t>
      </w:r>
      <w:r>
        <w:rPr>
          <w:rFonts w:ascii="Consolas" w:hAnsi="Consolas"/>
          <w:sz w:val="17"/>
        </w:rPr>
        <w:t>SDLITM='FRT'</w:t>
      </w:r>
      <w:r>
        <w:rPr>
          <w:sz w:val="18"/>
        </w:rPr>
        <w:t xml:space="preserve"> or </w:t>
      </w:r>
      <w:r>
        <w:rPr>
          <w:rFonts w:ascii="Consolas" w:hAnsi="Consolas"/>
          <w:sz w:val="17"/>
        </w:rPr>
        <w:t>SDNXTR&lt;'581'</w:t>
      </w:r>
      <w:r>
        <w:rPr>
          <w:sz w:val="18"/>
        </w:rPr>
        <w:t>. Every non-HOLADD sales line of the dated loads appears. In Power BI the page carries only the date slicer plus the structural filters below.</w:t>
      </w:r>
    </w:p>
    <w:p>
      <w:pPr>
        <w:spacing w:before="280" w:after="100"/>
      </w:pPr>
      <w:r>
        <w:rPr>
          <w:b/>
          <w:color w:val="1F4E79"/>
          <w:sz w:val="26"/>
        </w:rPr>
        <w:t>3.2  Base-view filters (the F4211 WHERE — identical to the core report)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50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619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Verbatim predicate</w:t>
            </w:r>
          </w:p>
        </w:tc>
        <w:tc>
          <w:tcPr>
            <w:tcW w:type="dxa" w:w="439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446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Power BI</w:t>
            </w:r>
          </w:p>
        </w:tc>
      </w:tr>
      <w:tr>
        <w:tc>
          <w:tcPr>
            <w:tcW w:type="dxa" w:w="50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19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F4211.SDDCTO = 'SX'</w:t>
            </w:r>
          </w:p>
        </w:tc>
        <w:tc>
          <w:tcPr>
            <w:tcW w:type="dxa" w:w="439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sales documents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b/>
                <w:sz w:val="15"/>
              </w:rPr>
              <w:t>document_type is "SX"</w:t>
            </w:r>
          </w:p>
        </w:tc>
      </w:tr>
      <w:tr>
        <w:tc>
          <w:tcPr>
            <w:tcW w:type="dxa" w:w="5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619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and F4211.sdlnty &lt;&gt; 'TL'</w:t>
            </w:r>
          </w:p>
        </w:tc>
        <w:tc>
          <w:tcPr>
            <w:tcW w:type="dxa" w:w="439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no text lines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covered by </w:t>
            </w:r>
            <w:r>
              <w:rPr>
                <w:rFonts w:ascii="Consolas" w:hAnsi="Consolas"/>
                <w:sz w:val="15"/>
              </w:rPr>
              <w:t>row_class = "LINE"</w:t>
            </w:r>
          </w:p>
        </w:tc>
      </w:tr>
      <w:tr>
        <w:tc>
          <w:tcPr>
            <w:tcW w:type="dxa" w:w="50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619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and F4211.sdkcoo = '00750'</w:t>
            </w:r>
          </w:p>
        </w:tc>
        <w:tc>
          <w:tcPr>
            <w:tcW w:type="dxa" w:w="439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sandbox company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b/>
                <w:sz w:val="15"/>
              </w:rPr>
              <w:t>company is "00750"</w:t>
            </w:r>
          </w:p>
        </w:tc>
      </w:tr>
      <w:tr>
        <w:tc>
          <w:tcPr>
            <w:tcW w:type="dxa" w:w="5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619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and F4211.SDLITM &lt;&gt; 'HOLADD'</w:t>
            </w:r>
          </w:p>
        </w:tc>
        <w:tc>
          <w:tcPr>
            <w:tcW w:type="dxa" w:w="439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excludes holding charges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covered by </w:t>
            </w:r>
            <w:r>
              <w:rPr>
                <w:rFonts w:ascii="Consolas" w:hAnsi="Consolas"/>
                <w:sz w:val="15"/>
              </w:rPr>
              <w:t>row_class = "LINE"</w:t>
            </w:r>
          </w:p>
        </w:tc>
      </w:tr>
      <w:tr>
        <w:tc>
          <w:tcPr>
            <w:tcW w:type="dxa" w:w="504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—</w:t>
            </w:r>
          </w:p>
        </w:tc>
        <w:tc>
          <w:tcPr>
            <w:tcW w:type="dxa" w:w="619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SBXUSSSAND: M.SDLITM='SANDTKTNBR', M.SDDCTO='SX', M.SDKCOO='00750'</w:t>
            </w:r>
          </w:p>
        </w:tc>
        <w:tc>
          <w:tcPr>
            <w:tcW w:type="dxa" w:w="439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the </w:t>
            </w:r>
            <w:r>
              <w:rPr>
                <w:b/>
                <w:i/>
                <w:sz w:val="16"/>
              </w:rPr>
              <w:t>anchor</w:t>
            </w:r>
            <w:r>
              <w:rPr>
                <w:sz w:val="16"/>
              </w:rPr>
              <w:t xml:space="preserve"> of join 2 — inside the sub-select, not a report filter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handled in Gold's sbxusssand</w:t>
            </w:r>
          </w:p>
        </w:tc>
      </w:tr>
      <w:tr>
        <w:tc>
          <w:tcPr>
            <w:tcW w:type="dxa" w:w="5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—</w:t>
            </w:r>
          </w:p>
        </w:tc>
        <w:tc>
          <w:tcPr>
            <w:tcW w:type="dxa" w:w="619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F0101 ABAT1 band  ·  SO match SDCO='00400'/SDDCTO='SO'</w:t>
            </w:r>
          </w:p>
        </w:tc>
        <w:tc>
          <w:tcPr>
            <w:tcW w:type="dxa" w:w="439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value/match definitions, not row filters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handled in Gold</w:t>
            </w:r>
          </w:p>
        </w:tc>
      </w:tr>
    </w:tbl>
    <w:p>
      <w:pPr>
        <w:spacing w:before="0" w:after="120"/>
      </w:pPr>
    </w:p>
    <w:p>
      <w:pPr>
        <w:spacing w:before="160" w:after="160" w:line="276" w:lineRule="auto"/>
        <w:shd w:val="clear" w:color="auto" w:fill="EAF6EE"/>
        <w:pBdr>
          <w:top w:val="single" w:sz="6" w:space="6" w:color="2E8B57"/>
          <w:left w:val="single" w:sz="6" w:space="6" w:color="2E8B57"/>
          <w:bottom w:val="single" w:sz="6" w:space="6" w:color="2E8B57"/>
          <w:right w:val="single" w:sz="6" w:space="6" w:color="2E8B57"/>
        </w:pBdr>
        <w:ind w:left="86"/>
      </w:pPr>
      <w:r>
        <w:rPr>
          <w:b/>
          <w:color w:val="1E6B3A"/>
          <w:sz w:val="19"/>
        </w:rPr>
        <w:t>row_class = "LINE" is still the only structural page filter you set.</w:t>
        <w:br/>
      </w:r>
      <w:r>
        <w:rPr>
          <w:sz w:val="18"/>
        </w:rPr>
        <w:t xml:space="preserve">It reproduces filters 2 and 4 (drops text lines and holding charges) and keeps every PO row out. Because there is no </w:t>
      </w:r>
      <w:r>
        <w:rPr>
          <w:rFonts w:ascii="Consolas" w:hAnsi="Consolas"/>
          <w:sz w:val="17"/>
        </w:rPr>
        <w:t>item_number</w:t>
      </w:r>
      <w:r>
        <w:rPr>
          <w:sz w:val="18"/>
        </w:rPr>
        <w:t xml:space="preserve"> filter here, the page shows all item types — sand (</w:t>
      </w:r>
      <w:r>
        <w:rPr>
          <w:rFonts w:ascii="Consolas" w:hAnsi="Consolas"/>
          <w:sz w:val="17"/>
        </w:rPr>
        <w:t>COM</w:t>
      </w:r>
      <w:r>
        <w:rPr>
          <w:sz w:val="18"/>
        </w:rPr>
        <w:t>), freight (</w:t>
      </w:r>
      <w:r>
        <w:rPr>
          <w:rFonts w:ascii="Consolas" w:hAnsi="Consolas"/>
          <w:sz w:val="17"/>
        </w:rPr>
        <w:t>FRT</w:t>
      </w:r>
      <w:r>
        <w:rPr>
          <w:sz w:val="18"/>
        </w:rPr>
        <w:t>) and the rest — which is the point of this variation.</w:t>
      </w:r>
    </w:p>
    <w:p>
      <w:pPr>
        <w:spacing w:before="280" w:after="100"/>
      </w:pPr>
      <w:r>
        <w:rPr>
          <w:b/>
          <w:color w:val="1F4E79"/>
          <w:sz w:val="26"/>
        </w:rPr>
        <w:t>3.3  The page-filter recipe</w:t>
      </w:r>
    </w:p>
    <w:p>
      <w:pPr>
        <w:spacing w:before="160" w:after="20"/>
      </w:pPr>
      <w:r>
        <w:rPr>
          <w:b/>
          <w:color w:val="595F69"/>
          <w:sz w:val="16"/>
        </w:rPr>
        <w:t>(New) report — filter recipe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REPORT-level:</w:t>
        <w:br/>
      </w:r>
      <w:r>
        <w:rPr>
          <w:rFonts w:ascii="Consolas" w:hAnsi="Consolas"/>
          <w:color w:val="1B1F24"/>
          <w:sz w:val="15"/>
        </w:rPr>
        <w:t xml:space="preserve">    document_type   is   "SX"                    &lt;-- FILTER 1</w:t>
        <w:br/>
      </w:r>
      <w:r>
        <w:rPr>
          <w:rFonts w:ascii="Consolas" w:hAnsi="Consolas"/>
          <w:color w:val="1B1F24"/>
          <w:sz w:val="15"/>
        </w:rPr>
        <w:t xml:space="preserve">    company         is   "00750"                 &lt;-- FILTER 3</w:t>
        <w:br/>
      </w:r>
      <w:r>
        <w:rPr>
          <w:rFonts w:ascii="Consolas" w:hAnsi="Consolas"/>
          <w:color w:val="1B1F24"/>
          <w:sz w:val="15"/>
        </w:rPr>
        <w:br/>
      </w:r>
      <w:r>
        <w:rPr>
          <w:rFonts w:ascii="Consolas" w:hAnsi="Consolas"/>
          <w:color w:val="1B1F24"/>
          <w:sz w:val="15"/>
        </w:rPr>
        <w:t>PAGE-level:</w:t>
        <w:br/>
      </w:r>
      <w:r>
        <w:rPr>
          <w:rFonts w:ascii="Consolas" w:hAnsi="Consolas"/>
          <w:color w:val="1B1F24"/>
          <w:sz w:val="15"/>
        </w:rPr>
        <w:t xml:space="preserve">    row_class       is   "LINE"                  &lt;-- FILTERS 2, 4  (drops TL, HOLADD and all PO rows)</w:t>
        <w:br/>
      </w:r>
      <w:r>
        <w:rPr>
          <w:rFonts w:ascii="Consolas" w:hAnsi="Consolas"/>
          <w:color w:val="1B1F24"/>
          <w:sz w:val="15"/>
        </w:rPr>
        <w:br/>
      </w:r>
      <w:r>
        <w:rPr>
          <w:rFonts w:ascii="Consolas" w:hAnsi="Consolas"/>
          <w:color w:val="1B1F24"/>
          <w:sz w:val="15"/>
        </w:rPr>
        <w:t>SLICER:</w:t>
        <w:br/>
      </w:r>
      <w:r>
        <w:rPr>
          <w:rFonts w:ascii="Consolas" w:hAnsi="Consolas"/>
          <w:color w:val="1B1F24"/>
          <w:sz w:val="15"/>
        </w:rPr>
        <w:t xml:space="preserve">    order_date           date range              &lt;-- FILTER 5  (the LINE date, SDTRDJ)</w:t>
        <w:br/>
      </w:r>
      <w:r>
        <w:rPr>
          <w:rFonts w:ascii="Consolas" w:hAnsi="Consolas"/>
          <w:color w:val="1B1F24"/>
          <w:sz w:val="15"/>
        </w:rPr>
        <w:br/>
      </w:r>
      <w:r>
        <w:rPr>
          <w:rFonts w:ascii="Consolas" w:hAnsi="Consolas"/>
          <w:color w:val="1B1F24"/>
          <w:sz w:val="15"/>
        </w:rPr>
        <w:t>NO item_number filter, NO next_status filter — that is what makes this the (New) variation.</w:t>
      </w:r>
    </w:p>
    <w:p>
      <w:r>
        <w:br w:type="page"/>
      </w:r>
    </w:p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Part 4 · Measures</w:t>
      </w:r>
    </w:p>
    <w:p>
      <w:pPr>
        <w:spacing w:before="280" w:after="100"/>
      </w:pPr>
      <w:r>
        <w:rPr>
          <w:b/>
          <w:color w:val="1F4E79"/>
          <w:sz w:val="26"/>
        </w:rPr>
        <w:t>4.1  What this report actually measures</w:t>
      </w:r>
    </w:p>
    <w:p>
      <w:pPr>
        <w:spacing w:before="60" w:after="100" w:line="276" w:lineRule="auto"/>
      </w:pPr>
      <w:r>
        <w:t xml:space="preserve">Like the core report this is a line-grain listing — most columns display directly. Hubble's only real measure is </w:t>
      </w:r>
      <w:r>
        <w:rPr>
          <w:rFonts w:ascii="Consolas" w:hAnsi="Consolas"/>
          <w:b/>
          <w:color w:val="9C272B"/>
          <w:sz w:val="17"/>
        </w:rPr>
        <w:t>ReportColumn1</w:t>
      </w:r>
      <w:r>
        <w:t xml:space="preserve"> = </w:t>
      </w:r>
      <w:r>
        <w:rPr>
          <w:rFonts w:ascii="Consolas" w:hAnsi="Consolas"/>
          <w:color w:val="9C272B"/>
          <w:sz w:val="17"/>
        </w:rPr>
        <w:t>SUM(F0101.ABURAT * 0.01)</w:t>
      </w:r>
      <w:r>
        <w:t xml:space="preserve"> → our </w:t>
      </w:r>
      <w:r>
        <w:rPr>
          <w:rFonts w:ascii="Consolas" w:hAnsi="Consolas"/>
          <w:b/>
          <w:color w:val="9C272B"/>
          <w:sz w:val="17"/>
        </w:rPr>
        <w:t>Rate</w:t>
      </w:r>
      <w:r>
        <w:t xml:space="preserve"> measure. The USS weights (</w:t>
      </w:r>
      <w:r>
        <w:rPr>
          <w:rFonts w:ascii="Consolas" w:hAnsi="Consolas"/>
          <w:color w:val="9C272B"/>
          <w:sz w:val="17"/>
        </w:rPr>
        <w:t>SXWEIGHT</w:t>
      </w:r>
      <w:r>
        <w:t xml:space="preserve">, </w:t>
      </w:r>
      <w:r>
        <w:rPr>
          <w:rFonts w:ascii="Consolas" w:hAnsi="Consolas"/>
          <w:color w:val="9C272B"/>
          <w:sz w:val="17"/>
        </w:rPr>
        <w:t>SOWEIGHT</w:t>
      </w:r>
      <w:r>
        <w:t>) are per-load values, displayed, not re-aggregated across lines.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216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Model measure</w:t>
            </w:r>
          </w:p>
        </w:tc>
        <w:tc>
          <w:tcPr>
            <w:tcW w:type="dxa" w:w="374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Use it for</w:t>
            </w:r>
          </w:p>
        </w:tc>
        <w:tc>
          <w:tcPr>
            <w:tcW w:type="dxa" w:w="964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Rate</w:t>
            </w:r>
          </w:p>
        </w:tc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Hubble's </w:t>
            </w:r>
            <w:r>
              <w:rPr>
                <w:rFonts w:ascii="Consolas" w:hAnsi="Consolas"/>
                <w:sz w:val="15"/>
              </w:rPr>
              <w:t>ReportColumn1</w:t>
            </w:r>
          </w:p>
        </w:tc>
        <w:tc>
          <w:tcPr>
            <w:tcW w:type="dxa" w:w="964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⚠ Semi-additive — constant per loading facility, repeated on every line; the measure uses </w:t>
            </w:r>
            <w:r>
              <w:rPr>
                <w:rFonts w:ascii="Consolas" w:hAnsi="Consolas"/>
                <w:sz w:val="15"/>
              </w:rPr>
              <w:t>SUMX(VALUES(loading_facility), CALCULATE(MAX(lofa_rate)))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Total Amount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totals over </w:t>
            </w:r>
            <w:r>
              <w:rPr>
                <w:rFonts w:ascii="Consolas" w:hAnsi="Consolas"/>
                <w:sz w:val="15"/>
              </w:rPr>
              <w:t>EXTAMT</w:t>
            </w:r>
          </w:p>
        </w:tc>
        <w:tc>
          <w:tcPr>
            <w:tcW w:type="dxa" w:w="96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freight/line extended price.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OX Amount</w:t>
            </w:r>
          </w:p>
        </w:tc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totals over </w:t>
            </w:r>
            <w:r>
              <w:rPr>
                <w:rFonts w:ascii="Consolas" w:hAnsi="Consolas"/>
                <w:sz w:val="15"/>
              </w:rPr>
              <w:t>OXAMT</w:t>
            </w:r>
          </w:p>
        </w:tc>
        <w:tc>
          <w:tcPr>
            <w:tcW w:type="dxa" w:w="964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OX freight, charged to the FRT line.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totals over </w:t>
            </w:r>
            <w:r>
              <w:rPr>
                <w:rFonts w:ascii="Consolas" w:hAnsi="Consolas"/>
                <w:sz w:val="15"/>
              </w:rPr>
              <w:t>QTY</w:t>
            </w:r>
          </w:p>
        </w:tc>
        <w:tc>
          <w:tcPr>
            <w:tcW w:type="dxa" w:w="96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line-level, additive.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Line Count</w:t>
            </w:r>
          </w:p>
        </w:tc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how many lines</w:t>
            </w:r>
          </w:p>
        </w:tc>
        <w:tc>
          <w:tcPr>
            <w:tcW w:type="dxa" w:w="964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COUNTROWS.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Load Count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how many distinct loads</w:t>
            </w:r>
          </w:p>
        </w:tc>
        <w:tc>
          <w:tcPr>
            <w:tcW w:type="dxa" w:w="96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DISTINCTCOUNT over </w:t>
            </w:r>
            <w:r>
              <w:rPr>
                <w:rFonts w:ascii="Consolas" w:hAnsi="Consolas"/>
                <w:sz w:val="15"/>
              </w:rPr>
              <w:t>load_scope_key</w:t>
            </w:r>
            <w:r>
              <w:rPr>
                <w:sz w:val="16"/>
              </w:rPr>
              <w:t>.</w:t>
            </w:r>
          </w:p>
        </w:tc>
      </w:tr>
    </w:tbl>
    <w:p>
      <w:pPr>
        <w:spacing w:before="0" w:after="120"/>
      </w:pPr>
    </w:p>
    <w:p>
      <w:pPr>
        <w:spacing w:before="160" w:after="160" w:line="276" w:lineRule="auto"/>
        <w:shd w:val="clear" w:color="auto" w:fill="FFF6E5"/>
        <w:pBdr>
          <w:top w:val="single" w:sz="6" w:space="6" w:color="C08A2E"/>
          <w:left w:val="single" w:sz="6" w:space="6" w:color="C08A2E"/>
          <w:bottom w:val="single" w:sz="6" w:space="6" w:color="C08A2E"/>
          <w:right w:val="single" w:sz="6" w:space="6" w:color="C08A2E"/>
        </w:pBdr>
        <w:ind w:left="86"/>
      </w:pPr>
      <w:r>
        <w:rPr>
          <w:b/>
          <w:color w:val="8A5A00"/>
          <w:sz w:val="19"/>
        </w:rPr>
        <w:t>SXWEIGHT and SOWEIGHT are per-load, not per-line — do not SUM them across lines.</w:t>
        <w:br/>
      </w:r>
      <w:r>
        <w:rPr>
          <w:sz w:val="18"/>
        </w:rPr>
        <w:t>Both are computed once per load (</w:t>
      </w:r>
      <w:r>
        <w:rPr>
          <w:rFonts w:ascii="Consolas" w:hAnsi="Consolas"/>
          <w:sz w:val="17"/>
        </w:rPr>
        <w:t>sbx_weight</w:t>
      </w:r>
      <w:r>
        <w:rPr>
          <w:sz w:val="18"/>
        </w:rPr>
        <w:t xml:space="preserve"> over the load's COM lines; </w:t>
      </w:r>
      <w:r>
        <w:rPr>
          <w:rFonts w:ascii="Consolas" w:hAnsi="Consolas"/>
          <w:sz w:val="17"/>
        </w:rPr>
        <w:t>uss_so_weight</w:t>
      </w:r>
      <w:r>
        <w:rPr>
          <w:sz w:val="18"/>
        </w:rPr>
        <w:t xml:space="preserve"> over the matched SO lines) and then repeated on every line of the load. Summing them in a multi-line visual multiplies them by the line count. Use </w:t>
      </w:r>
      <w:r>
        <w:rPr>
          <w:rFonts w:ascii="Consolas" w:hAnsi="Consolas"/>
          <w:sz w:val="17"/>
        </w:rPr>
        <w:t>MAX</w:t>
      </w:r>
      <w:r>
        <w:rPr>
          <w:sz w:val="18"/>
        </w:rPr>
        <w:t xml:space="preserve"> per load (or a semi-additive measure) if you need to total them.</w:t>
      </w:r>
    </w:p>
    <w:p>
      <w:pPr>
        <w:spacing w:before="280" w:after="100"/>
      </w:pPr>
      <w:r>
        <w:rPr>
          <w:b/>
          <w:color w:val="1F4E79"/>
          <w:sz w:val="26"/>
        </w:rPr>
        <w:t>4.2  Column lineage — JDE alias → Silver snake_case field → Gold fact column</w:t>
      </w:r>
    </w:p>
    <w:p>
      <w:pPr>
        <w:spacing w:before="60" w:after="100" w:line="276" w:lineRule="auto"/>
      </w:pPr>
      <w:r>
        <w:t xml:space="preserve">The chain runs </w:t>
      </w:r>
      <w:r>
        <w:rPr>
          <w:b/>
        </w:rPr>
        <w:t>JDE alias</w:t>
      </w:r>
      <w:r>
        <w:t xml:space="preserve"> → </w:t>
      </w:r>
      <w:r>
        <w:rPr>
          <w:b/>
        </w:rPr>
        <w:t>Silver snake_case field</w:t>
      </w:r>
      <w:r>
        <w:t xml:space="preserve"> → </w:t>
      </w:r>
      <w:r>
        <w:rPr>
          <w:b/>
        </w:rPr>
        <w:t>Gold fact column</w:t>
      </w:r>
      <w:r>
        <w:t xml:space="preserve"> → measure. This table is </w:t>
      </w:r>
      <w:r>
        <w:rPr>
          <w:b/>
        </w:rPr>
        <w:t>generated</w:t>
      </w:r>
      <w:r>
        <w:t xml:space="preserve"> from the semantic model, the fact notebook and the platform metadata each time this document is built — it cannot drift from the code.</w:t>
      </w:r>
    </w:p>
    <w:p>
      <w:pPr>
        <w:spacing w:before="160" w:after="160" w:line="276" w:lineRule="auto"/>
        <w:shd w:val="clear" w:color="auto" w:fill="EAF6EE"/>
        <w:pBdr>
          <w:top w:val="single" w:sz="6" w:space="6" w:color="2E8B57"/>
          <w:left w:val="single" w:sz="6" w:space="6" w:color="2E8B57"/>
          <w:bottom w:val="single" w:sz="6" w:space="6" w:color="2E8B57"/>
          <w:right w:val="single" w:sz="6" w:space="6" w:color="2E8B57"/>
        </w:pBdr>
        <w:ind w:left="86"/>
      </w:pPr>
      <w:r>
        <w:rPr>
          <w:b/>
          <w:color w:val="1E6B3A"/>
          <w:sz w:val="19"/>
        </w:rPr>
        <w:t>Derived and cross-checked — 25 of 28 fact columns confirmed by two independent paths, no conflicts.</w:t>
        <w:br/>
      </w:r>
      <w:r>
        <w:rPr>
          <w:sz w:val="18"/>
        </w:rPr>
        <w:t>The Gold→Silver hop is resolved twice: once by following the notebook's own projection chain (</w:t>
      </w:r>
      <w:r>
        <w:rPr>
          <w:rFonts w:ascii="Consolas" w:hAnsi="Consolas"/>
          <w:sz w:val="17"/>
        </w:rPr>
        <w:t>Gold column ← leg alias ← Silver column</w:t>
      </w:r>
      <w:r>
        <w:rPr>
          <w:sz w:val="18"/>
        </w:rPr>
        <w:t xml:space="preserve">), and once from the trailing </w:t>
      </w:r>
      <w:r>
        <w:rPr>
          <w:rFonts w:ascii="Consolas" w:hAnsi="Consolas"/>
          <w:sz w:val="17"/>
        </w:rPr>
        <w:t># SDXXXX</w:t>
      </w:r>
      <w:r>
        <w:rPr>
          <w:sz w:val="18"/>
        </w:rPr>
        <w:t xml:space="preserve"> annotation resolved through the metadata. Agreement is evidence both are right. Where only one path exists it is used and noted; where they disagree the generator reports it rather than silently picking one.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252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Aggregates (Gold column)</w:t>
            </w:r>
          </w:p>
        </w:tc>
        <w:tc>
          <w:tcPr>
            <w:tcW w:type="dxa" w:w="396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JDE alias → Silver snake_case field</w:t>
            </w:r>
          </w:p>
        </w:tc>
        <w:tc>
          <w:tcPr>
            <w:tcW w:type="dxa" w:w="230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Discriminator (Gold column)</w:t>
            </w:r>
          </w:p>
        </w:tc>
        <w:tc>
          <w:tcPr>
            <w:tcW w:type="dxa" w:w="388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JDE alias → Silver snake_case field</w:t>
            </w:r>
          </w:p>
        </w:tc>
      </w:tr>
      <w:tr>
        <w:tc>
          <w:tcPr>
            <w:tcW w:type="dxa" w:w="252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Total Amount</w:t>
            </w:r>
          </w:p>
        </w:tc>
        <w:tc>
          <w:tcPr>
            <w:tcW w:type="dxa" w:w="288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total_amount</w:t>
            </w:r>
          </w:p>
        </w:tc>
        <w:tc>
          <w:tcPr>
            <w:tcW w:type="dxa" w:w="396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SDAEXP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amount_extended_price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none — unconditional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OX Amount</w:t>
            </w:r>
          </w:p>
        </w:tc>
        <w:tc>
          <w:tcPr>
            <w:tcW w:type="dxa" w:w="288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ox_amount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derived — 3-way CASE: a PO row's own PDAEXP / the FRT line's OX sum / a live HOLADD's OX sum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none — unconditional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288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quantity</w:t>
            </w:r>
          </w:p>
        </w:tc>
        <w:tc>
          <w:tcPr>
            <w:tcW w:type="dxa" w:w="3960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derived — units_ordered / 2000 on COM lines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none — unconditional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Rate</w:t>
            </w:r>
          </w:p>
        </w:tc>
        <w:tc>
          <w:tcPr>
            <w:tcW w:type="dxa" w:w="288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lofa_rate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ABURAT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user_reserved_amount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none — unconditional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Line Count</w:t>
            </w:r>
          </w:p>
        </w:tc>
        <w:tc>
          <w:tcPr>
            <w:tcW w:type="dxa" w:w="288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396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none — unconditional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Load Count</w:t>
            </w:r>
          </w:p>
        </w:tc>
        <w:tc>
          <w:tcPr>
            <w:tcW w:type="dxa" w:w="288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load_scope_key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derived — sha2(company | document_type | load_number)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none — unconditional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before="0" w:after="120"/>
      </w:pPr>
    </w:p>
    <w:p>
      <w:pPr>
        <w:spacing w:before="160" w:after="160" w:line="276" w:lineRule="auto"/>
        <w:shd w:val="clear" w:color="auto" w:fill="EAF1F8"/>
        <w:pBdr>
          <w:top w:val="single" w:sz="6" w:space="6" w:color="1F4E79"/>
          <w:left w:val="single" w:sz="6" w:space="6" w:color="1F4E79"/>
          <w:bottom w:val="single" w:sz="6" w:space="6" w:color="1F4E79"/>
          <w:right w:val="single" w:sz="6" w:space="6" w:color="1F4E79"/>
        </w:pBdr>
        <w:ind w:left="86"/>
      </w:pPr>
      <w:r>
        <w:rPr>
          <w:b/>
          <w:color w:val="1F4E79"/>
          <w:sz w:val="19"/>
        </w:rPr>
        <w:t>row_class has no Silver column — it is calculated.</w:t>
        <w:br/>
      </w:r>
      <w:r>
        <w:rPr>
          <w:sz w:val="18"/>
        </w:rPr>
        <w:t xml:space="preserve">Every measure above also guards on </w:t>
      </w:r>
      <w:r>
        <w:rPr>
          <w:rFonts w:ascii="Consolas" w:hAnsi="Consolas"/>
          <w:sz w:val="17"/>
        </w:rPr>
        <w:t>row_class</w:t>
      </w:r>
      <w:r>
        <w:rPr>
          <w:sz w:val="18"/>
        </w:rPr>
        <w:t xml:space="preserve">, which does not exist in Silver. The notebook computes it from two fields that do: </w:t>
      </w:r>
      <w:r>
        <w:rPr>
          <w:b/>
          <w:sz w:val="18"/>
        </w:rPr>
        <w:t>SDLNTY</w:t>
      </w:r>
      <w:r>
        <w:rPr>
          <w:sz w:val="18"/>
        </w:rPr>
        <w:t xml:space="preserve"> → </w:t>
      </w:r>
      <w:r>
        <w:rPr>
          <w:rFonts w:ascii="Consolas" w:hAnsi="Consolas"/>
          <w:sz w:val="17"/>
        </w:rPr>
        <w:t>line_type</w:t>
      </w:r>
      <w:r>
        <w:rPr>
          <w:sz w:val="18"/>
        </w:rPr>
        <w:t xml:space="preserve"> (a </w:t>
      </w:r>
      <w:r>
        <w:rPr>
          <w:rFonts w:ascii="Consolas" w:hAnsi="Consolas"/>
          <w:sz w:val="17"/>
        </w:rPr>
        <w:t>TL</w:t>
      </w:r>
      <w:r>
        <w:rPr>
          <w:sz w:val="18"/>
        </w:rPr>
        <w:t xml:space="preserve"> value makes the row </w:t>
      </w:r>
      <w:r>
        <w:rPr>
          <w:rFonts w:ascii="Consolas" w:hAnsi="Consolas"/>
          <w:sz w:val="17"/>
        </w:rPr>
        <w:t>TEXT</w:t>
      </w:r>
      <w:r>
        <w:rPr>
          <w:sz w:val="18"/>
        </w:rPr>
        <w:t xml:space="preserve">) and </w:t>
      </w:r>
      <w:r>
        <w:rPr>
          <w:b/>
          <w:sz w:val="18"/>
        </w:rPr>
        <w:t>SDLITM</w:t>
      </w:r>
      <w:r>
        <w:rPr>
          <w:sz w:val="18"/>
        </w:rPr>
        <w:t xml:space="preserve"> → </w:t>
      </w:r>
      <w:r>
        <w:rPr>
          <w:rFonts w:ascii="Consolas" w:hAnsi="Consolas"/>
          <w:sz w:val="17"/>
        </w:rPr>
        <w:t>identifier_second_item</w:t>
      </w:r>
      <w:r>
        <w:rPr>
          <w:sz w:val="18"/>
        </w:rPr>
        <w:t xml:space="preserve"> (a </w:t>
      </w:r>
      <w:r>
        <w:rPr>
          <w:rFonts w:ascii="Consolas" w:hAnsi="Consolas"/>
          <w:sz w:val="17"/>
        </w:rPr>
        <w:t>HOLADD</w:t>
      </w:r>
      <w:r>
        <w:rPr>
          <w:sz w:val="18"/>
        </w:rPr>
        <w:t xml:space="preserve"> value makes it </w:t>
      </w:r>
      <w:r>
        <w:rPr>
          <w:rFonts w:ascii="Consolas" w:hAnsi="Consolas"/>
          <w:sz w:val="17"/>
        </w:rPr>
        <w:t>HOLADD</w:t>
      </w:r>
      <w:r>
        <w:rPr>
          <w:sz w:val="18"/>
        </w:rPr>
        <w:t xml:space="preserve">); everything else on the F4211 leg is </w:t>
      </w:r>
      <w:r>
        <w:rPr>
          <w:rFonts w:ascii="Consolas" w:hAnsi="Consolas"/>
          <w:sz w:val="17"/>
        </w:rPr>
        <w:t>LINE</w:t>
      </w:r>
      <w:r>
        <w:rPr>
          <w:sz w:val="18"/>
        </w:rPr>
        <w:t xml:space="preserve">. Purchase-order rows from F4311 become </w:t>
      </w:r>
      <w:r>
        <w:rPr>
          <w:rFonts w:ascii="Consolas" w:hAnsi="Consolas"/>
          <w:sz w:val="17"/>
        </w:rPr>
        <w:t>PO_HOLADD</w:t>
      </w:r>
      <w:r>
        <w:rPr>
          <w:sz w:val="18"/>
        </w:rPr>
        <w:t xml:space="preserve"> or </w:t>
      </w:r>
      <w:r>
        <w:rPr>
          <w:rFonts w:ascii="Consolas" w:hAnsi="Consolas"/>
          <w:sz w:val="17"/>
        </w:rPr>
        <w:t>PO_OTHER</w:t>
      </w:r>
      <w:r>
        <w:rPr>
          <w:sz w:val="18"/>
        </w:rPr>
        <w:t xml:space="preserve">. See the notebook's </w:t>
      </w:r>
      <w:r>
        <w:rPr>
          <w:rFonts w:ascii="Consolas" w:hAnsi="Consolas"/>
          <w:sz w:val="17"/>
        </w:rPr>
        <w:t>_f4211_lines</w:t>
      </w:r>
      <w:r>
        <w:rPr>
          <w:sz w:val="18"/>
        </w:rPr>
        <w:t xml:space="preserve"> / </w:t>
      </w:r>
      <w:r>
        <w:rPr>
          <w:rFonts w:ascii="Consolas" w:hAnsi="Consolas"/>
          <w:sz w:val="17"/>
        </w:rPr>
        <w:t>_po_lines</w:t>
      </w:r>
      <w:r>
        <w:rPr>
          <w:sz w:val="18"/>
        </w:rPr>
        <w:t>.</w:t>
      </w:r>
    </w:p>
    <w:p>
      <w:pPr>
        <w:spacing w:before="60" w:after="100" w:line="276" w:lineRule="auto"/>
      </w:pPr>
      <w:r>
        <w:t xml:space="preserve">Columns the generator marks as </w:t>
      </w:r>
      <w:r>
        <w:rPr>
          <w:b/>
          <w:i/>
        </w:rPr>
        <w:t>derived</w:t>
      </w:r>
      <w:r>
        <w:t xml:space="preserve"> have no single Silver source and are never given a guessed one: </w:t>
      </w:r>
      <w:r>
        <w:rPr>
          <w:rFonts w:ascii="Consolas" w:hAnsi="Consolas"/>
          <w:b/>
          <w:color w:val="9C272B"/>
          <w:sz w:val="17"/>
        </w:rPr>
        <w:t>load_last_status</w:t>
      </w:r>
      <w:r>
        <w:t xml:space="preserve"> (the per-load CASE over </w:t>
      </w:r>
      <w:r>
        <w:rPr>
          <w:rFonts w:ascii="Consolas" w:hAnsi="Consolas"/>
          <w:color w:val="9C272B"/>
          <w:sz w:val="17"/>
        </w:rPr>
        <w:t>status_code_last</w:t>
      </w:r>
      <w:r>
        <w:t xml:space="preserve"> and </w:t>
      </w:r>
      <w:r>
        <w:rPr>
          <w:rFonts w:ascii="Consolas" w:hAnsi="Consolas"/>
          <w:color w:val="9C272B"/>
          <w:sz w:val="17"/>
        </w:rPr>
        <w:t>amount_extended_price</w:t>
      </w:r>
      <w:r>
        <w:t xml:space="preserve">), </w:t>
      </w:r>
      <w:r>
        <w:rPr>
          <w:rFonts w:ascii="Consolas" w:hAnsi="Consolas"/>
          <w:b/>
          <w:color w:val="9C272B"/>
          <w:sz w:val="17"/>
        </w:rPr>
        <w:t>quantity</w:t>
      </w:r>
      <w:r>
        <w:t xml:space="preserve"> (</w:t>
      </w:r>
      <w:r>
        <w:rPr>
          <w:rFonts w:ascii="Consolas" w:hAnsi="Consolas"/>
          <w:color w:val="9C272B"/>
          <w:sz w:val="17"/>
        </w:rPr>
        <w:t>units_ordered</w:t>
      </w:r>
      <w:r>
        <w:t xml:space="preserve"> ÷ 2,000 on COM lines), and </w:t>
      </w:r>
      <w:r>
        <w:rPr>
          <w:rFonts w:ascii="Consolas" w:hAnsi="Consolas"/>
          <w:b/>
          <w:color w:val="9C272B"/>
          <w:sz w:val="17"/>
        </w:rPr>
        <w:t>bol</w:t>
      </w:r>
      <w:r>
        <w:t xml:space="preserve"> / </w:t>
      </w:r>
      <w:r>
        <w:rPr>
          <w:rFonts w:ascii="Consolas" w:hAnsi="Consolas"/>
          <w:b/>
          <w:color w:val="9C272B"/>
          <w:sz w:val="17"/>
        </w:rPr>
        <w:t>sand_ticket</w:t>
      </w:r>
      <w:r>
        <w:t xml:space="preserve"> (MAX over </w:t>
      </w:r>
      <w:r>
        <w:rPr>
          <w:rFonts w:ascii="Consolas" w:hAnsi="Consolas"/>
          <w:color w:val="9C272B"/>
          <w:sz w:val="17"/>
        </w:rPr>
        <w:t>description_line_01</w:t>
      </w:r>
      <w:r>
        <w:t xml:space="preserve"> for a particular item).</w:t>
      </w:r>
    </w:p>
    <w:p>
      <w:r>
        <w:br w:type="page"/>
      </w:r>
    </w:p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Part 5 · Output columns — all 39</w:t>
      </w:r>
    </w:p>
    <w:p>
      <w:pPr>
        <w:spacing w:before="60" w:after="100" w:line="276" w:lineRule="auto"/>
      </w:pPr>
      <w:r>
        <w:t xml:space="preserve">The view name </w:t>
      </w:r>
      <w:r>
        <w:rPr>
          <w:rFonts w:ascii="Consolas" w:hAnsi="Consolas"/>
          <w:color w:val="9C272B"/>
          <w:sz w:val="17"/>
        </w:rPr>
        <w:t>SBXLOADPOVIEW</w:t>
      </w:r>
      <w:r>
        <w:t xml:space="preserve"> is short, so almost every alias reads directly (only the inner </w:t>
      </w:r>
      <w:r>
        <w:rPr>
          <w:rFonts w:ascii="Consolas" w:hAnsi="Consolas"/>
          <w:color w:val="9C272B"/>
          <w:sz w:val="17"/>
        </w:rPr>
        <w:t>PLANTTRANSLOAD</w:t>
      </w:r>
      <w:r>
        <w:t xml:space="preserve"> alias is hashed, and its output name is not). Columns 10 and 17-24 are the nine </w:t>
      </w:r>
      <w:r>
        <w:rPr>
          <w:b/>
        </w:rPr>
        <w:t>SBXUSSSAND</w:t>
      </w:r>
      <w:r>
        <w:t xml:space="preserve"> additions; the rest are the core report's 30.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43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38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Output column</w:t>
            </w:r>
          </w:p>
        </w:tc>
        <w:tc>
          <w:tcPr>
            <w:tcW w:type="dxa" w:w="194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JDE / source</w:t>
            </w:r>
          </w:p>
        </w:tc>
        <w:tc>
          <w:tcPr>
            <w:tcW w:type="dxa" w:w="388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Origin</w:t>
            </w:r>
          </w:p>
        </w:tc>
        <w:tc>
          <w:tcPr>
            <w:tcW w:type="dxa" w:w="489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Gold column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…_SDDOCO</w:t>
            </w:r>
          </w:p>
        </w:tc>
        <w:tc>
          <w:tcPr>
            <w:tcW w:type="dxa" w:w="19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SDDOCO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load_number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…_SDDCTO</w:t>
            </w:r>
          </w:p>
        </w:tc>
        <w:tc>
          <w:tcPr>
            <w:tcW w:type="dxa" w:w="19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SDDCTO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— 'SX'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document_type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…_SDKCOO</w:t>
            </w:r>
          </w:p>
        </w:tc>
        <w:tc>
          <w:tcPr>
            <w:tcW w:type="dxa" w:w="19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SDKCOO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company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…_SDMCU</w:t>
            </w:r>
          </w:p>
        </w:tc>
        <w:tc>
          <w:tcPr>
            <w:tcW w:type="dxa" w:w="19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SDMCU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district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…_SDAN8</w:t>
            </w:r>
          </w:p>
        </w:tc>
        <w:tc>
          <w:tcPr>
            <w:tcW w:type="dxa" w:w="19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SDAN8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sold_to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…_SDSHAN</w:t>
            </w:r>
          </w:p>
        </w:tc>
        <w:tc>
          <w:tcPr>
            <w:tcW w:type="dxa" w:w="19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SDSHAN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ship_to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…_SDCARS</w:t>
            </w:r>
          </w:p>
        </w:tc>
        <w:tc>
          <w:tcPr>
            <w:tcW w:type="dxa" w:w="19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SDCARS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carrier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…_SDVR01</w:t>
            </w:r>
          </w:p>
        </w:tc>
        <w:tc>
          <w:tcPr>
            <w:tcW w:type="dxa" w:w="19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SDVR01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customer_po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F554201T_QCDS50</w:t>
            </w:r>
          </w:p>
        </w:tc>
        <w:tc>
          <w:tcPr>
            <w:tcW w:type="dxa" w:w="19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QCDS50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F554201T (join 1)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sand_po_number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SBXUSSSAND_SOPONO</w:t>
            </w:r>
          </w:p>
        </w:tc>
        <w:tc>
          <w:tcPr>
            <w:tcW w:type="dxa" w:w="19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SOPONO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b/>
                <w:sz w:val="15"/>
              </w:rPr>
              <w:t>SBXUSSSAND (join 2)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uss_customer_po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…_SDLITM</w:t>
            </w:r>
          </w:p>
        </w:tc>
        <w:tc>
          <w:tcPr>
            <w:tcW w:type="dxa" w:w="19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SDLITM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— all items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item_number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…_SDDSC1</w:t>
            </w:r>
          </w:p>
        </w:tc>
        <w:tc>
          <w:tcPr>
            <w:tcW w:type="dxa" w:w="19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SDDSC1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item_description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…_ORDATE</w:t>
            </w:r>
          </w:p>
        </w:tc>
        <w:tc>
          <w:tcPr>
            <w:tcW w:type="dxa" w:w="19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SDTRDJ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Julian → CYYDDD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order_date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…_GLDATE</w:t>
            </w:r>
          </w:p>
        </w:tc>
        <w:tc>
          <w:tcPr>
            <w:tcW w:type="dxa" w:w="19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SDDGL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0/null → 1900-01-01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gl_date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…_LOFA</w:t>
            </w:r>
          </w:p>
        </w:tc>
        <w:tc>
          <w:tcPr>
            <w:tcW w:type="dxa" w:w="19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SDVEND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loading_facility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F0101_ABALPH</w:t>
            </w:r>
          </w:p>
        </w:tc>
        <w:tc>
          <w:tcPr>
            <w:tcW w:type="dxa" w:w="19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ABALPH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F0101 (join 3)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dim_address_loading_facility[name_alpha]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SBXUSSSAND_LOFAPLANTMCU</w:t>
            </w:r>
          </w:p>
        </w:tc>
        <w:tc>
          <w:tcPr>
            <w:tcW w:type="dxa" w:w="19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LOFAPLANTMCU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b/>
                <w:sz w:val="15"/>
              </w:rPr>
              <w:t>F0005 55/UP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dim_uss_plant.lofa_mcu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SBXUSSSAND_PLANTTRANSLOAD</w:t>
            </w:r>
          </w:p>
        </w:tc>
        <w:tc>
          <w:tcPr>
            <w:tcW w:type="dxa" w:w="19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PLANTTRANSLOAD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b/>
                <w:sz w:val="15"/>
              </w:rPr>
              <w:t>F0005 55/UP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dim_uss_plant.shipped_from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19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SBXUSSSAND_USSSAND</w:t>
            </w:r>
          </w:p>
        </w:tc>
        <w:tc>
          <w:tcPr>
            <w:tcW w:type="dxa" w:w="19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USSSAND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b/>
                <w:sz w:val="15"/>
              </w:rPr>
              <w:t>F0005 55/UP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dim_uss_plant.uss_plant_sand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20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SBXUSSSAND_MATCHFLAG</w:t>
            </w:r>
          </w:p>
        </w:tc>
        <w:tc>
          <w:tcPr>
            <w:tcW w:type="dxa" w:w="19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MATCHFLAG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b/>
                <w:sz w:val="15"/>
              </w:rPr>
              <w:t>SO match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uss_match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SBXUSSSAND_SOORDERNO</w:t>
            </w:r>
          </w:p>
        </w:tc>
        <w:tc>
          <w:tcPr>
            <w:tcW w:type="dxa" w:w="19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SOORDERNO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b/>
                <w:sz w:val="15"/>
              </w:rPr>
              <w:t>SO match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uss_so_order_no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SBXUSSSAND_SOWEIGHT</w:t>
            </w:r>
          </w:p>
        </w:tc>
        <w:tc>
          <w:tcPr>
            <w:tcW w:type="dxa" w:w="19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SOWEIGHT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b/>
                <w:sz w:val="15"/>
              </w:rPr>
              <w:t>SO match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uss_so_weight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23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SBXUSSSAND_SXWEIGHT</w:t>
            </w:r>
          </w:p>
        </w:tc>
        <w:tc>
          <w:tcPr>
            <w:tcW w:type="dxa" w:w="19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SXWEIGHT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b/>
                <w:sz w:val="15"/>
              </w:rPr>
              <w:t>F4211 COM sum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sbx_weight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24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SBXUSSSAND_SOALTBOLNO</w:t>
            </w:r>
          </w:p>
        </w:tc>
        <w:tc>
          <w:tcPr>
            <w:tcW w:type="dxa" w:w="19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SOALTBOLNO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b/>
                <w:sz w:val="15"/>
              </w:rPr>
              <w:t>SO match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so_alt_bol_no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…_SANDTKT</w:t>
            </w:r>
          </w:p>
        </w:tc>
        <w:tc>
          <w:tcPr>
            <w:tcW w:type="dxa" w:w="19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SANDTKT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MAX(SDDSC1) item=SANDTKTNBR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sand_ticket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…_BOL</w:t>
            </w:r>
          </w:p>
        </w:tc>
        <w:tc>
          <w:tcPr>
            <w:tcW w:type="dxa" w:w="19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BOL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MAX(SDDSC1) item=BOL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bol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27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…_UOM</w:t>
            </w:r>
          </w:p>
        </w:tc>
        <w:tc>
          <w:tcPr>
            <w:tcW w:type="dxa" w:w="19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SDUOM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uom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…_QTY</w:t>
            </w:r>
          </w:p>
        </w:tc>
        <w:tc>
          <w:tcPr>
            <w:tcW w:type="dxa" w:w="19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QTY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DECODE(SDPRP1,'COM',…)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quantity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29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…_SDUPRC</w:t>
            </w:r>
          </w:p>
        </w:tc>
        <w:tc>
          <w:tcPr>
            <w:tcW w:type="dxa" w:w="19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SDUPRC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b/>
                <w:color w:val="9C272B"/>
                <w:sz w:val="15"/>
              </w:rPr>
              <w:t>raw — NO /1000000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unit_price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…_EXTAMT</w:t>
            </w:r>
          </w:p>
        </w:tc>
        <w:tc>
          <w:tcPr>
            <w:tcW w:type="dxa" w:w="19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SDAEXP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b/>
                <w:color w:val="9C272B"/>
                <w:sz w:val="15"/>
              </w:rPr>
              <w:t>raw — NO /100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total_amount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31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…_SDLTTR</w:t>
            </w:r>
          </w:p>
        </w:tc>
        <w:tc>
          <w:tcPr>
            <w:tcW w:type="dxa" w:w="19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SDLTTR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last_status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32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…_SDNXTR</w:t>
            </w:r>
          </w:p>
        </w:tc>
        <w:tc>
          <w:tcPr>
            <w:tcW w:type="dxa" w:w="19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SDNXTR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next_status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…_SDDOC</w:t>
            </w:r>
          </w:p>
        </w:tc>
        <w:tc>
          <w:tcPr>
            <w:tcW w:type="dxa" w:w="19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SDDOC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invoice_number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34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…_OXLTTR</w:t>
            </w:r>
          </w:p>
        </w:tc>
        <w:tc>
          <w:tcPr>
            <w:tcW w:type="dxa" w:w="19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OXLTTR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MAX(PDLTTR) over OX lines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ox_last_status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35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…_OXNXTR</w:t>
            </w:r>
          </w:p>
        </w:tc>
        <w:tc>
          <w:tcPr>
            <w:tcW w:type="dxa" w:w="19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OXNXTR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MAX(PDNXTR) over OX lines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ox_next_status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…_OXAMT</w:t>
            </w:r>
          </w:p>
        </w:tc>
        <w:tc>
          <w:tcPr>
            <w:tcW w:type="dxa" w:w="19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OXAMT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SUM(pdAEXP) when SDLITM='FRT'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ox_amount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37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…_GLPOST</w:t>
            </w:r>
          </w:p>
        </w:tc>
        <w:tc>
          <w:tcPr>
            <w:tcW w:type="dxa" w:w="19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GLPOST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MAX(glpost) F0911 ← F43121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carrier_po_gl_post_flag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38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…_GLDGJ</w:t>
            </w:r>
          </w:p>
        </w:tc>
        <w:tc>
          <w:tcPr>
            <w:tcW w:type="dxa" w:w="19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GLDGJ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MAX(PRDGL) F43121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po_receipt_gl_date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39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…_SDLNID</w:t>
            </w:r>
          </w:p>
        </w:tc>
        <w:tc>
          <w:tcPr>
            <w:tcW w:type="dxa" w:w="19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SDLNID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line_id</w:t>
            </w:r>
          </w:p>
        </w:tc>
      </w:tr>
    </w:tbl>
    <w:p>
      <w:pPr>
        <w:spacing w:before="0" w:after="120"/>
      </w:pPr>
    </w:p>
    <w:p>
      <w:pPr>
        <w:spacing w:before="280" w:after="100"/>
      </w:pPr>
      <w:r>
        <w:rPr>
          <w:b/>
          <w:color w:val="1F4E79"/>
          <w:sz w:val="26"/>
        </w:rPr>
        <w:t>5.1  The 4 Hubble internals — ignore all of them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662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Expression</w:t>
            </w:r>
          </w:p>
        </w:tc>
        <w:tc>
          <w:tcPr>
            <w:tcW w:type="dxa" w:w="604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What to do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ReportColumn1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SUM(F0101.ABURAT * 0.01)</w:t>
            </w:r>
          </w:p>
        </w:tc>
        <w:tc>
          <w:tcPr>
            <w:tcW w:type="dxa" w:w="604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The only real measure → our </w:t>
            </w:r>
            <w:r>
              <w:rPr>
                <w:rFonts w:ascii="Consolas" w:hAnsi="Consolas"/>
                <w:b/>
                <w:sz w:val="15"/>
              </w:rPr>
              <w:t>Rate</w:t>
            </w:r>
            <w:r>
              <w:rPr>
                <w:sz w:val="16"/>
              </w:rPr>
              <w:t xml:space="preserve">. The </w:t>
            </w:r>
            <w:r>
              <w:rPr>
                <w:rFonts w:ascii="Consolas" w:hAnsi="Consolas"/>
                <w:sz w:val="15"/>
              </w:rPr>
              <w:t>* 0.01</w:t>
            </w:r>
            <w:r>
              <w:rPr>
                <w:sz w:val="16"/>
              </w:rPr>
              <w:t xml:space="preserve"> is implied-decimal decoding, already done in Silver.</w:t>
            </w:r>
          </w:p>
        </w:tc>
      </w:tr>
      <w:tr>
        <w:tc>
          <w:tcPr>
            <w:tcW w:type="dxa" w:w="288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RowIDX_F0101_0/1/2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SUM(DBMS_UTILITY.GET_HASH_VALUE(TO_CHAR(ABAN8) || '_InDeX_n_SaLt', …))</w:t>
            </w:r>
          </w:p>
        </w:tc>
        <w:tc>
          <w:tcPr>
            <w:tcW w:type="dxa" w:w="60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Hubble's internal row-identity hashes. No business meaning. Drop them.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Part 6 · Build checklist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3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✓</w:t>
            </w:r>
          </w:p>
        </w:tc>
        <w:tc>
          <w:tcPr>
            <w:tcW w:type="dxa" w:w="662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document_type = "SX"</w:t>
            </w:r>
            <w:r>
              <w:rPr>
                <w:sz w:val="16"/>
              </w:rPr>
              <w:t xml:space="preserve"> and </w:t>
            </w:r>
            <w:r>
              <w:rPr>
                <w:rFonts w:ascii="Consolas" w:hAnsi="Consolas"/>
                <w:sz w:val="15"/>
              </w:rPr>
              <w:t>company = "00750"</w:t>
            </w:r>
            <w:r>
              <w:rPr>
                <w:sz w:val="16"/>
              </w:rPr>
              <w:t xml:space="preserve"> at REPORT level</w:t>
            </w:r>
          </w:p>
        </w:tc>
        <w:tc>
          <w:tcPr>
            <w:tcW w:type="dxa" w:w="84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Filters 1, 3.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row_class = "LINE"</w:t>
            </w:r>
            <w:r>
              <w:rPr>
                <w:sz w:val="16"/>
              </w:rPr>
              <w:t xml:space="preserve"> on the page</w:t>
            </w:r>
          </w:p>
        </w:tc>
        <w:tc>
          <w:tcPr>
            <w:tcW w:type="dxa" w:w="84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Filters 2, 4 — and the ONLY structural page filter (no item, no status filter here).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NO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item_number</w:t>
            </w:r>
            <w:r>
              <w:rPr>
                <w:sz w:val="16"/>
              </w:rPr>
              <w:t xml:space="preserve"> or </w:t>
            </w:r>
            <w:r>
              <w:rPr>
                <w:rFonts w:ascii="Consolas" w:hAnsi="Consolas"/>
                <w:sz w:val="15"/>
              </w:rPr>
              <w:t>next_status</w:t>
            </w:r>
            <w:r>
              <w:rPr>
                <w:sz w:val="16"/>
              </w:rPr>
              <w:t xml:space="preserve"> filter</w:t>
            </w:r>
          </w:p>
        </w:tc>
        <w:tc>
          <w:tcPr>
            <w:tcW w:type="dxa" w:w="84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This is what distinguishes (New) from the core report — leave both off.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Date slicer on </w:t>
            </w:r>
            <w:r>
              <w:rPr>
                <w:rFonts w:ascii="Consolas" w:hAnsi="Consolas"/>
                <w:sz w:val="15"/>
              </w:rPr>
              <w:t>order_date</w:t>
            </w:r>
          </w:p>
        </w:tc>
        <w:tc>
          <w:tcPr>
            <w:tcW w:type="dxa" w:w="84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Filter 5 — the LINE date (SDTRDJ).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dim_uss_plant</w:t>
            </w:r>
            <w:r>
              <w:rPr>
                <w:sz w:val="16"/>
              </w:rPr>
              <w:t xml:space="preserve"> related via </w:t>
            </w:r>
            <w:r>
              <w:rPr>
                <w:rFonts w:ascii="Consolas" w:hAnsi="Consolas"/>
                <w:sz w:val="15"/>
              </w:rPr>
              <w:t>loading_facility</w:t>
            </w:r>
          </w:p>
        </w:tc>
        <w:tc>
          <w:tcPr>
            <w:tcW w:type="dxa" w:w="84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Supplies LOFAPLANTMCU / PLANTTRANSLOAD / USSSAND (cols 17-19) — must be built first (</w:t>
            </w:r>
            <w:r>
              <w:rPr>
                <w:rFonts w:ascii="Consolas" w:hAnsi="Consolas"/>
                <w:sz w:val="15"/>
              </w:rPr>
              <w:t>nb_eso5_gold_dim_uss_plant</w:t>
            </w:r>
            <w:r>
              <w:rPr>
                <w:sz w:val="16"/>
              </w:rPr>
              <w:t>).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Treat </w:t>
            </w:r>
            <w:r>
              <w:rPr>
                <w:rFonts w:ascii="Consolas" w:hAnsi="Consolas"/>
                <w:sz w:val="15"/>
              </w:rPr>
              <w:t>sbx_weight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5"/>
              </w:rPr>
              <w:t>uss_so_weight</w:t>
            </w:r>
            <w:r>
              <w:rPr>
                <w:sz w:val="16"/>
              </w:rPr>
              <w:t xml:space="preserve"> as per-load</w:t>
            </w:r>
          </w:p>
        </w:tc>
        <w:tc>
          <w:tcPr>
            <w:tcW w:type="dxa" w:w="84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They repeat on every line; MAX per load, never SUM across lines.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Rate</w:t>
            </w:r>
            <w:r>
              <w:rPr>
                <w:sz w:val="16"/>
              </w:rPr>
              <w:t xml:space="preserve"> used rather than a raw SUM of </w:t>
            </w:r>
            <w:r>
              <w:rPr>
                <w:rFonts w:ascii="Consolas" w:hAnsi="Consolas"/>
                <w:sz w:val="15"/>
              </w:rPr>
              <w:t>lofa_rate</w:t>
            </w:r>
          </w:p>
        </w:tc>
        <w:tc>
          <w:tcPr>
            <w:tcW w:type="dxa" w:w="84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Semi-additive — constant per facility.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Read </w:t>
            </w:r>
            <w:r>
              <w:rPr>
                <w:rFonts w:ascii="Consolas" w:hAnsi="Consolas"/>
                <w:sz w:val="15"/>
              </w:rPr>
              <w:t>total_amount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5"/>
              </w:rPr>
              <w:t>unit_price</w:t>
            </w:r>
            <w:r>
              <w:rPr>
                <w:sz w:val="16"/>
              </w:rPr>
              <w:t xml:space="preserve"> as-is</w:t>
            </w:r>
          </w:p>
        </w:tc>
        <w:tc>
          <w:tcPr>
            <w:tcW w:type="dxa" w:w="84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Silver is pre-decoded — do NOT re-apply Hubble's /100 or /1000000.</w:t>
            </w:r>
          </w:p>
        </w:tc>
      </w:tr>
    </w:tbl>
    <w:p>
      <w:pPr>
        <w:spacing w:before="0" w:after="120"/>
      </w:pPr>
    </w:p>
    <w:p>
      <w:pPr>
        <w:spacing w:before="160" w:after="160" w:line="276" w:lineRule="auto"/>
        <w:shd w:val="clear" w:color="auto" w:fill="FFF6E5"/>
        <w:pBdr>
          <w:top w:val="single" w:sz="6" w:space="6" w:color="C08A2E"/>
          <w:left w:val="single" w:sz="6" w:space="6" w:color="C08A2E"/>
          <w:bottom w:val="single" w:sz="6" w:space="6" w:color="C08A2E"/>
          <w:right w:val="single" w:sz="6" w:space="6" w:color="C08A2E"/>
        </w:pBdr>
        <w:ind w:left="86"/>
      </w:pPr>
      <w:r>
        <w:rPr>
          <w:b/>
          <w:color w:val="8A5A00"/>
          <w:sz w:val="19"/>
        </w:rPr>
        <w:t>Nothing in this report has been reconciled against Hubble yet.</w:t>
        <w:br/>
      </w:r>
      <w:r>
        <w:rPr>
          <w:sz w:val="18"/>
        </w:rPr>
        <w:t xml:space="preserve">The Gold notebooks have not been run on Fabric. The one figure ever compared — </w:t>
      </w:r>
      <w:r>
        <w:rPr>
          <w:rFonts w:ascii="Consolas" w:hAnsi="Consolas"/>
          <w:sz w:val="17"/>
        </w:rPr>
        <w:t>Miles</w:t>
      </w:r>
      <w:r>
        <w:rPr>
          <w:sz w:val="18"/>
        </w:rPr>
        <w:t xml:space="preserve"> on the Reconciliation report — was wrong on the first comparison. Reconcile the USS-match columns load by load: pick a SANDTKTNBR load, confirm </w:t>
      </w:r>
      <w:r>
        <w:rPr>
          <w:rFonts w:ascii="Consolas" w:hAnsi="Consolas"/>
          <w:sz w:val="17"/>
        </w:rPr>
        <w:t>MATCHFLAG</w:t>
      </w:r>
      <w:r>
        <w:rPr>
          <w:sz w:val="18"/>
        </w:rPr>
        <w:t xml:space="preserve">, </w:t>
      </w:r>
      <w:r>
        <w:rPr>
          <w:rFonts w:ascii="Consolas" w:hAnsi="Consolas"/>
          <w:sz w:val="17"/>
        </w:rPr>
        <w:t>SOORDERNO</w:t>
      </w:r>
      <w:r>
        <w:rPr>
          <w:sz w:val="18"/>
        </w:rPr>
        <w:t xml:space="preserve"> and the PLANT/TRANSLOAD classification against Hubble before trusting the page. The F0005 55/UP UDC and the two padding widths are the most likely places to diverge.</w:t>
      </w:r>
    </w:p>
    <w:sectPr w:rsidR="00FC693F" w:rsidRPr="0006063C" w:rsidSect="00034616"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