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ESO1 — SOP620 Adjustment Buckets Reference</w:t>
      </w:r>
    </w:p>
    <w:p>
      <w:r>
        <w:rPr>
          <w:i/>
          <w:color w:val="555555"/>
          <w:sz w:val="18"/>
        </w:rPr>
        <w:t>Fact: lh_jde_gold.rpt.fact_sales_order_freight  •  Source: SOP000x - Sales Orders at Next Status 620 - updated.sql  •  Updated 2026-08-10</w:t>
      </w:r>
    </w:p>
    <w:p>
      <w:pPr>
        <w:pStyle w:val="Heading1"/>
      </w:pPr>
      <w:r>
        <w:t>1. Overview</w:t>
      </w:r>
    </w:p>
    <w:p>
      <w:r>
        <w:rPr>
          <w:b w:val="0"/>
          <w:i w:val="0"/>
        </w:rPr>
        <w:t>The SOP620 report (Sales Orders at Next Status 620) presents each sales-order line with six price-adjustment buckets plus Total Tons, Product Price, and Price Per Ton. This reference documents how the six buckets are computed on the freight fact, matching the updated Hubble SQL.</w:t>
      </w:r>
    </w:p>
    <w:p>
      <w:r>
        <w:rPr>
          <w:b w:val="0"/>
          <w:i/>
        </w:rPr>
        <w:t>Report grain: SO-line × F4074 adjustment. Fact grain: SO-line (one row per sales_order_line_key). The buckets are collapsed to line grain on the fact via a per-line F4074 aggregation, so the LEFT join to F4074 never fans out the line grain.</w:t>
      </w:r>
    </w:p>
    <w:p>
      <w:r>
        <w:rPr>
          <w:b w:val="0"/>
          <w:i w:val="0"/>
        </w:rPr>
        <w:t>Page filters (apply in Power BI): order_type ≠ "SX", last_status_num &lt; 980, next_status_num = 620.</w:t>
      </w:r>
    </w:p>
    <w:p>
      <w:pPr>
        <w:pStyle w:val="Heading1"/>
      </w:pPr>
      <w:r>
        <w:t>2. Value principle — SDAEXP attribution</w:t>
      </w:r>
    </w:p>
    <w:p>
      <w:r>
        <w:rPr>
          <w:b w:val="0"/>
          <w:i w:val="0"/>
        </w:rPr>
        <w:t>Every bucket is the LINE extended price (SDAEXP = fact column extended_price) attributed to a category. This reproduces the report's SUM(CASE WHEN &lt;predicate&gt; THEN SDAEXP) at line grain. Two component types combine into each bucket: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Component type</w:t>
            </w:r>
          </w:p>
        </w:tc>
        <w:tc>
          <w:tcPr>
            <w:tcW w:type="dxa" w:w="4752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How it contributes</w:t>
            </w:r>
          </w:p>
        </w:tc>
        <w:tc>
          <w:tcPr>
            <w:tcW w:type="dxa" w:w="374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Adjustment-keyed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extended_price × COUNT of matching F4074 adjustment rows on the line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Faithful to SUM(CASE..SDAEXP) across the line×adjustment rows; equals a plain indicator for the normal single-adjustment line.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Line-keyed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extended_price ONCE when the line itself qualifies (freight lines by 3rd-item prefix / item text / URCD)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Tags the line's extended price into a category once; not multiplied by adjustment count (freight lines normally carry no F4074 adjustment).</w:t>
            </w:r>
          </w:p>
        </w:tc>
      </w:tr>
    </w:tbl>
    <w:p/>
    <w:p>
      <w:r>
        <w:rPr>
          <w:b w:val="0"/>
          <w:i/>
        </w:rPr>
        <w:t>ep = COALESCE(extended_price, 0). Classification inputs are all existing fact columns — no new column is added by this rule.</w:t>
      </w:r>
    </w:p>
    <w:p>
      <w:pPr>
        <w:pStyle w:val="Heading1"/>
      </w:pPr>
      <w:r>
        <w:t>3. The six buckets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Bucket (measure)</w:t>
            </w:r>
          </w:p>
        </w:tc>
        <w:tc>
          <w:tcPr>
            <w:tcW w:type="dxa" w:w="345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Adjustment-keyed part</w:t>
            </w:r>
          </w:p>
        </w:tc>
        <w:tc>
          <w:tcPr>
            <w:tcW w:type="dxa" w:w="489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Line-keyed part (freight lines / items)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Freight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ep × (n_fr1 + n_fr2)</w:t>
              <w:br/>
              <w:t>ALAPRP1 ∈ {FR1, FR2}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+ ep if LEFT(SDAITM,3) ∈ {BIL, FRE, FUE, TRA} or RAI (SDLNTY ∈ F/FT)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AL Severance Tax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ep × n_ala</w:t>
              <w:br/>
              <w:t>ALAPRP1 = ALA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+ ep if LEFT(SDAITM,3) = ALA (SDLNTY ∈ F/FT)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Car Charges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ep × n_car</w:t>
              <w:br/>
              <w:t>ALAPRP1 = CAR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Misc Billing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ep × n_acrpp</w:t>
              <w:br/>
              <w:t>ALAPRP1 = ACR OR LEFT(ALAST,2) = PP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+ ep if SDAITM ∈ {MISC BILLING, TRANSLOAD CHARGES, BANKING FEE, EXPEDITE FEE, ''} (non-freight) OR LEFT(SDAITM,3) ∈ {HEA, MIS, PAL, SHA, WIR, SHR} (SDLNTY ∈ F/FT)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Non Product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ep × n_non</w:t>
              <w:br/>
              <w:t>ALAPRP1 = NON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+ ep if SDURCD ∈ {NP, N3} (non-freight)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Freight Hide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ep × n_hide</w:t>
              <w:br/>
              <w:t>ALAST = FRTHIDE, gated by ALUOM×SDUOM pair (§5)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4. Per-line F4074 counts (f4074_buckets)</w:t>
      </w:r>
    </w:p>
    <w:p>
      <w:r>
        <w:rPr>
          <w:b w:val="0"/>
          <w:i w:val="0"/>
        </w:rPr>
        <w:t>The per-line F4074 aggregation emits nine match counts (SUM of 1 per matching adjustment row), grouped by (company_key_order_no, document_order_invoice_e, order_type, line_number):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489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Predicate (F4074)</w:t>
            </w:r>
          </w:p>
        </w:tc>
        <w:tc>
          <w:tcPr>
            <w:tcW w:type="dxa" w:w="3888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JDE / Silver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n_non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ALAPRP1 = 'NON'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ALAPRP1 = pricing_report_code_01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n_ala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ALAPRP1 = 'ALA'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n_car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ALAPRP1 = 'CAR'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n_fr1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ALAPRP1 = 'FR1'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n_fr2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ALAPRP1 = 'FR2'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n_acrpp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ALAPRP1 = 'ACR' OR LEFT(ALAST,2) = 'PP'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ALAST = price_adjustment_type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n_hide_tm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ALAST = 'FRTHIDE' AND ALUOM = 'TM'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ALUOM = uom_as_input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n_hide_tn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ALAST = 'FRTHIDE' AND ALUOM = 'TN'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n_hide_bg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ALAST = 'FRTHIDE' AND ALUOM = 'BG'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 w:val="0"/>
          <w:i/>
        </w:rPr>
        <w:t>These counts are intermediates — dropped before the fact is written (final projection = FACT_BUSINESS_COLS only). The six adj_* $ columns are the only persisted output of this rule.</w:t>
      </w:r>
    </w:p>
    <w:p>
      <w:pPr>
        <w:pStyle w:val="Heading1"/>
      </w:pPr>
      <w:r>
        <w:t>5. Freight Hide — ALUOM × SDUOM gating</w:t>
      </w:r>
    </w:p>
    <w:p>
      <w:r>
        <w:rPr>
          <w:b w:val="0"/>
          <w:i w:val="0"/>
        </w:rPr>
        <w:t>Freight Hide counts a FRTHIDE adjustment only when its ALUOM and the line's SDUOM form one of five pairs. On the fact, n_hide is assembled from the per-ALUOM counts using the line UOM: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Line SDUOM</w:t>
            </w:r>
          </w:p>
        </w:tc>
        <w:tc>
          <w:tcPr>
            <w:tcW w:type="dxa" w:w="4752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Qualifying ALUOM (pairs)</w:t>
            </w:r>
          </w:p>
        </w:tc>
        <w:tc>
          <w:tcPr>
            <w:tcW w:type="dxa" w:w="4176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n_hide =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BG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TM, TN, BG  → (TM/BG), (TN/BG), (BG/BG)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n_hide_tm + n_hide_tn + n_hide_bg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TN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TN  → (TN/TN)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n_hide_tn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TM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TM  → (TM/TM)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n_hide_tm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other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6. Named measures</w:t>
      </w:r>
    </w:p>
    <w:p>
      <w:r>
        <w:rPr>
          <w:b w:val="0"/>
          <w:i w:val="0"/>
        </w:rPr>
        <w:t>The six buckets are exposed as named DAX measures (semantic-model folder "SOP620 Adjustments", format $#,0.00):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7632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DAX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Non Product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SUM(fact_sales_order_freight[adj_non_product])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AL Severance Tax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SUM(fact_sales_order_freight[adj_al_severance_tax])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Misc Billing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SUM(fact_sales_order_freight[adj_misc_billing])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Freight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SUM(fact_sales_order_freight[adj_freight])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Car Charges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SUM(fact_sales_order_freight[adj_car_charges])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Freight Hide</w:t>
            </w:r>
          </w:p>
        </w:tc>
        <w:tc>
          <w:tcPr>
            <w:tcW w:type="dxa" w:w="7632"/>
          </w:tcPr>
          <w:p>
            <w:r/>
            <w:r>
              <w:rPr>
                <w:sz w:val="18"/>
              </w:rPr>
              <w:t>SUM(fact_sales_order_freight[adj_freight_hide])</w:t>
            </w:r>
          </w:p>
        </w:tc>
      </w:tr>
    </w:tbl>
    <w:p/>
    <w:p>
      <w:pPr>
        <w:pStyle w:val="Heading1"/>
      </w:pPr>
      <w:r>
        <w:t>7. Total Tons, Product Price, Price Per Ton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5760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880"/>
            <w:shd w:val="clear" w:color="auto" w:fill="2E5496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Product Price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SUM(extended_price) — measure Product Price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Correct at line grain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Total Tons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Report RC19: SDUORG × [F41002(UMMCU='')→F41003→(SDUOM=IMUOM1?1)] with COUNT&gt;1→NULL guard. Fact Ordered Tons uses conversion_to_tons_rate (F41002-only).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⚠ Fact cascade not yet extended — separate track (moves BvP + all tons)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Price Per Ton</w:t>
            </w:r>
          </w:p>
        </w:tc>
        <w:tc>
          <w:tcPr>
            <w:tcW w:type="dxa" w:w="5760"/>
          </w:tcPr>
          <w:p>
            <w:r/>
            <w:r>
              <w:rPr>
                <w:sz w:val="18"/>
              </w:rPr>
              <w:t>Product Price ÷ Total Tons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Bind to Price Per Ton (Ordered) = DIVIDE([Product Price],[Ordered Tons]); NOT shipped tons (0 at status 620 → blank)</w:t>
            </w:r>
          </w:p>
        </w:tc>
      </w:tr>
    </w:tbl>
    <w:p/>
    <w:p>
      <w:pPr>
        <w:pStyle w:val="Heading1"/>
      </w:pPr>
      <w:r>
        <w:t>8. Open items &amp; deferred work</w:t>
      </w:r>
    </w:p>
    <w:p>
      <w:r>
        <w:rPr>
          <w:b/>
          <w:i w:val="0"/>
        </w:rPr>
        <w:t>Two defensible defaults are coded — confirm against the report's field definitions (one reconciled Hubble row per bucket):</w:t>
      </w:r>
    </w:p>
    <w:p>
      <w:r>
        <w:rPr>
          <w:b w:val="0"/>
          <w:i w:val="0"/>
        </w:rPr>
        <w:t xml:space="preserve">  (1) Component→bucket assignment: FL-Handling → Misc Billing; FL-Dry, Dryer-Tailings (SDLITM), A03-product, and SDPROV='1' are NOT in the six buckets (they feed Product Price / Total Tons in the SQL).</w:t>
      </w:r>
    </w:p>
    <w:p>
      <w:r>
        <w:rPr>
          <w:b w:val="0"/>
          <w:i w:val="0"/>
        </w:rPr>
        <w:t xml:space="preserve">  (2) Fan-out policy: count-weighted for adjustment-keyed parts (ep × n), which equals the indicator for the normal single-adjustment line.</w:t>
      </w:r>
    </w:p>
    <w:p>
      <w:r>
        <w:rPr>
          <w:b/>
          <w:i w:val="0"/>
        </w:rPr>
        <w:t>Deferred (broad blast radius — separate, independently-verified change):</w:t>
      </w:r>
    </w:p>
    <w:p>
      <w:r>
        <w:rPr>
          <w:b w:val="0"/>
          <w:i w:val="0"/>
        </w:rPr>
        <w:t xml:space="preserve">  • Total-Tons cascade (conversion_to_tons_rate → full F41002/F41003/IMUOM1). Changing it moves the committed BvP report's Tons column and every tons measure — verify F41002 setup on Fabric first.</w:t>
      </w:r>
    </w:p>
    <w:p>
      <w:pPr>
        <w:pStyle w:val="Heading1"/>
      </w:pPr>
      <w:r>
        <w:t>9. Build &amp; isolation</w:t>
      </w:r>
    </w:p>
    <w:p>
      <w:r>
        <w:rPr>
          <w:b w:val="0"/>
          <w:i w:val="0"/>
        </w:rPr>
        <w:t>The rewrite is isolated: no report visual binds adj_* or the six named measures; the column set is unchanged (same six adj_*). Row count and every non-adj_* column are byte-identical — only the six adj_* values change. The validation §7 bucket_parity guard (Delta time-travel) confirms this on rebuild.</w:t>
      </w:r>
    </w:p>
    <w:p>
      <w:r>
        <w:rPr>
          <w:b w:val="0"/>
          <w:i/>
        </w:rPr>
        <w:t>Rebuild: set MANUAL_OVERWRITE=True, run nb_eso1_gold_fact_sales_order_freight.py (materializes the recomputed adj_*), then flip back to False. The named measures need only a twin redeploy — no rebuild.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