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Extended Sales Order 1 - Source Data Analysis</w:t>
      </w:r>
    </w:p>
    <w:p>
      <w:pPr>
        <w:jc w:val="center"/>
      </w:pPr>
      <w:r>
        <w:rPr>
          <w:color w:val="555555"/>
          <w:sz w:val="24"/>
        </w:rPr>
        <w:t>Billable v Payable Freight  -  Silver Layer Findings (11 source tables)</w:t>
      </w:r>
    </w:p>
    <w:p>
      <w:pPr>
        <w:jc w:val="center"/>
      </w:pPr>
      <w:r>
        <w:rPr>
          <w:i/>
          <w:color w:val="777777"/>
          <w:sz w:val="19"/>
        </w:rPr>
        <w:t>U.S. Silica on Microsoft Fabric  |  Date: 13-Jun-2026  |  Source: lh_jde_silver.jde.*</w:t>
      </w:r>
    </w:p>
    <w:p/>
    <w:p>
      <w:pPr>
        <w:pStyle w:val="Heading1"/>
      </w:pPr>
      <w:r>
        <w:rPr>
          <w:color w:val="1F3864"/>
        </w:rPr>
        <w:t>1.  Purpose &amp; Scope</w:t>
      </w:r>
    </w:p>
    <w:p>
      <w:r>
        <w:t>This document records the data-analysis findings from inspecting the actual Silver-layer data (first 50 rows of each table) for the eleven source tables used by the Extended Sales Order 1 (Billable v Payable Freight) report. The goal was to verify, against real data, the grain, key uniqueness, encoding/decoding state, delete handling, and the specific columns driving the report's filters and freight calculations - so the downstream build rests on confirmed facts rather than assumptions.</w:t>
      </w:r>
    </w:p>
    <w:p>
      <w:r>
        <w:rPr>
          <w:b/>
        </w:rPr>
        <w:t xml:space="preserve">Note: </w:t>
      </w:r>
      <w:r>
        <w:rPr>
          <w:i/>
        </w:rPr>
        <w:t>This document covers the verified DATA facts only. The Gold modelling / pipeline approach is a separate, ongoing research item and is intentionally not included here.</w:t>
      </w:r>
    </w:p>
    <w:p>
      <w:pPr>
        <w:pStyle w:val="Heading1"/>
      </w:pPr>
      <w:r>
        <w:rPr>
          <w:color w:val="1F3864"/>
        </w:rPr>
        <w:t>2. 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624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Silver namespace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lh_jde_silver.jde.*  (snake_case table and column names)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Bronze metadata catalog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wh_jde_etl_metadata.jde.full_metadata  (snake_case_field, implied_decimals, primary keys, UDC lookup SQL)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Source system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JDE (PRODDTA) F-code tables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Tables analysed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11 - F4211, F0101, F0116, F4201, F4074, F41002, F4101, F4981, F5642B01, F5642B11, F4941</w:t>
            </w:r>
          </w:p>
        </w:tc>
      </w:tr>
    </w:tbl>
    <w:p/>
    <w:p>
      <w:pPr>
        <w:pStyle w:val="Heading1"/>
      </w:pPr>
      <w:r>
        <w:rPr>
          <w:color w:val="1F3864"/>
        </w:rPr>
        <w:t>3.  Headline Finding - Silver is Fully Cleaned vs Bronze</w:t>
      </w:r>
    </w:p>
    <w:p>
      <w:r>
        <w:t>Confirmed consistently across all eleven tables: by the time data reaches the Silver layer it is already fully decoded and typed. Specifically:</w:t>
      </w:r>
    </w:p>
    <w:p>
      <w:pPr>
        <w:pStyle w:val="ListBullet"/>
      </w:pPr>
      <w:r>
        <w:t>Column names are snake_case (e.g. document_order_invoice_e, units_quantity_shipped).</w:t>
      </w:r>
    </w:p>
    <w:p>
      <w:pPr>
        <w:pStyle w:val="ListBullet"/>
      </w:pPr>
      <w:r>
        <w:t>Julian dates are converted to real dates (YYYY-MM-DD) - even columns named *_julian (e.g. date_requested_julian = 2026-04-24).</w:t>
      </w:r>
    </w:p>
    <w:p>
      <w:pPr>
        <w:pStyle w:val="ListBullet"/>
      </w:pPr>
      <w:r>
        <w:t>Implied decimals are already resolved - e.g. conversion_factor = 2000, net_amount = 3500.00, factor_value = 269.39. No division scaling is required downstream.</w:t>
      </w:r>
    </w:p>
    <w:p>
      <w:pPr>
        <w:pStyle w:val="ListBullet"/>
      </w:pPr>
      <w:r>
        <w:t>Real NULLs are used for empty values.</w:t>
      </w:r>
    </w:p>
    <w:p>
      <w:pPr>
        <w:pStyle w:val="ListBullet"/>
      </w:pPr>
      <w:r>
        <w:t>UDC codes remain as codes (not expanded to descriptions) - e.g. status_code_last = 520, line_type = S.</w:t>
      </w:r>
    </w:p>
    <w:p>
      <w:r>
        <w:rPr>
          <w:b/>
        </w:rPr>
        <w:t xml:space="preserve">Impact: </w:t>
      </w:r>
      <w:r>
        <w:rPr>
          <w:b/>
          <w:color w:val="2E7D32"/>
        </w:rPr>
        <w:t>all JDE decoding (Julian dates, packed/implied decimals, renaming) is already handled in Bronze-&gt;Silver and does NOT need to be repeated downstream.</w:t>
      </w:r>
    </w:p>
    <w:p>
      <w:pPr>
        <w:pStyle w:val="Heading1"/>
      </w:pPr>
      <w:r>
        <w:rPr>
          <w:color w:val="1F3864"/>
        </w:rPr>
        <w:t>4.  Soft-Delete Handling</w:t>
      </w:r>
    </w:p>
    <w:p>
      <w:r>
        <w:t>Some Silver tables carry two extra columns - is_delete and deleted_date_time - used to flag (not physically remove) records deleted in the source. These appear only where the load configuration's monthly_delete flag is not 'N'. Any read of these tables for the report must filter is_delete = 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Has is_delete  (filter = 0)</w:t>
            </w:r>
          </w:p>
        </w:tc>
        <w:tc>
          <w:tcPr>
            <w:tcW w:type="dxa" w:w="4752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No is_delete</w:t>
            </w:r>
          </w:p>
        </w:tc>
      </w:tr>
      <w:tr>
        <w:tc>
          <w:tcPr>
            <w:tcW w:type="dxa" w:w="4752"/>
          </w:tcPr>
          <w:p>
            <w:r>
              <w:rPr>
                <w:sz w:val="19"/>
              </w:rPr>
              <w:t>F4074, F4101, F4981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F4211, F0101, F0116, F4201, F41002, F5642B01, F5642B11, F4941</w:t>
            </w:r>
          </w:p>
        </w:tc>
      </w:tr>
    </w:tbl>
    <w:p/>
    <w:p>
      <w:pPr>
        <w:pStyle w:val="Heading1"/>
      </w:pPr>
      <w:r>
        <w:rPr>
          <w:color w:val="1F3864"/>
        </w:rPr>
        <w:t>5.  Per-Table Findings - Role, Grain &amp; Treatment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Silver table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Grain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Treatment / Notes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F4211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f4211_sales_order_detail_file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FACT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Order line (KCOO+DOCO+DCTO+LNID, unique)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spine. Holds units_quantity_shipped + filter columns.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F0101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f0101_address_book_master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Dim Customer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Unique / address_number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Also reused as destination-point (alias). address_type_01 used as join filter.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F0116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f0116_address_by_date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Dim Ship-To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row / address (ALEFTB null)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effective-dating in practice. City column = city (ALCTY1).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F4101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f4101_item_master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Dim Item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Unique / item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Provides description_line_01. Has is_delete.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F4201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f4201_sales_order_header_file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Dim Order Header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Unique / order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Provides hold_orders_code (SHHOLD).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F41002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...conversion_factors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UoM lookup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Many / item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Filter related_uom = TN -&gt; conversion_factor (UMCONV). MCU blank.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F4074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f4074_price_adjustment_ledger_file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Freight rate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MANY rows / 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Filter type IN (A03,FRTHIDE,FRTTAXN,FRTTAXY) + is_delete=0 -&gt; aggregate factor_value.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F4981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f4981_freight_audit_history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Freight $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MANY rows / shipment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is_delete=0 -&gt; aggregate net_amount by billable_payable x charge_code_01. Join on shipment_number.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F5642B01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...custom_..._header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Routing / dest-point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/ shipment+order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destination_port = 0 for domestic (ocean/export only) -&gt; sparse.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F5642B11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...custom_..._detail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Routing detail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/ shipment+order+line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Safe LEFT lookup; status sub-lines do not collide with real lines.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F4941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f4941_shipment_routing_steps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Route#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Many steps / shipment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route_number (RSRTN) populated for routed/ocean/rail only, else 0.</w:t>
            </w:r>
          </w:p>
        </w:tc>
      </w:tr>
    </w:tbl>
    <w:p/>
    <w:p>
      <w:pPr>
        <w:pStyle w:val="Heading1"/>
      </w:pPr>
      <w:r>
        <w:rPr>
          <w:color w:val="1F3864"/>
        </w:rPr>
        <w:t>6.  Confirmed Filters &amp; Freight-Calculation Gates</w:t>
      </w:r>
    </w:p>
    <w:p>
      <w:pPr>
        <w:pStyle w:val="Heading2"/>
      </w:pPr>
      <w:r>
        <w:rPr>
          <w:color w:val="333333"/>
        </w:rPr>
        <w:t>6.1  Row filters (verified present and usable in the data)</w:t>
      </w:r>
    </w:p>
    <w:p>
      <w:pPr>
        <w:pStyle w:val="ListBullet"/>
      </w:pPr>
      <w:r>
        <w:t>line_type = 'S'  (stock lines)</w:t>
      </w:r>
    </w:p>
    <w:p>
      <w:pPr>
        <w:pStyle w:val="ListBullet"/>
      </w:pPr>
      <w:r>
        <w:t>status_code_last &lt;&gt; '980'</w:t>
      </w:r>
    </w:p>
    <w:p>
      <w:pPr>
        <w:pStyle w:val="ListBullet"/>
      </w:pPr>
      <w:r>
        <w:t>company IN ('00640', '00645')</w:t>
      </w:r>
    </w:p>
    <w:p>
      <w:pPr>
        <w:pStyle w:val="ListBullet"/>
      </w:pPr>
      <w:r>
        <w:t>F4074.price_adjustment_type IN ('A03','FRTHIDE','FRTTAXN','FRTTAXY')  (+ is_delete = 0)</w:t>
      </w:r>
    </w:p>
    <w:p>
      <w:pPr>
        <w:pStyle w:val="ListBullet"/>
      </w:pPr>
      <w:r>
        <w:t>F0101.address_type_01 within the A-P / R-ZZZ range</w:t>
      </w:r>
    </w:p>
    <w:p>
      <w:pPr>
        <w:pStyle w:val="ListBullet"/>
      </w:pPr>
      <w:r>
        <w:t>F41002.related_uom = 'TN'</w:t>
      </w:r>
    </w:p>
    <w:p>
      <w:pPr>
        <w:pStyle w:val="Heading2"/>
      </w:pPr>
      <w:r>
        <w:rPr>
          <w:color w:val="333333"/>
        </w:rPr>
        <w:t>6.2  Freight-dollar buckets (F4981)</w:t>
      </w:r>
    </w:p>
    <w:p>
      <w:r>
        <w:t>Confirmed in the data: freight dollars (net_amount) are bucketed by gate columns to form the billable / payable / fuel measures:</w:t>
      </w:r>
    </w:p>
    <w:p>
      <w:pPr>
        <w:pStyle w:val="IntenseQuote"/>
      </w:pPr>
      <w:r>
        <w:t>Bucket = SUM(net_amount) WHERE billable_payable = (B or P) AND charge_code_01 = (BFR / PFR / FSC / FSB) AND vendor_invoice_number &lt;&gt; 'NULL'.</w:t>
      </w:r>
    </w:p>
    <w:p>
      <w:r>
        <w:rPr>
          <w:b/>
        </w:rPr>
        <w:t xml:space="preserve">Ratios (e.g. Freight CM %, Total CM %): </w:t>
      </w:r>
      <w:r>
        <w:t>must be computed as SUM(numerator) / SUM(denominator) after summing - never stored as a per-row ratio.</w:t>
      </w:r>
    </w:p>
    <w:p>
      <w:pPr>
        <w:pStyle w:val="Heading1"/>
      </w:pPr>
      <w:r>
        <w:rPr>
          <w:color w:val="1F3864"/>
        </w:rPr>
        <w:t>7.  Column-Name Corrections Confirmed Against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Spec / expectation</w:t>
            </w:r>
          </w:p>
        </w:tc>
        <w:tc>
          <w:tcPr>
            <w:tcW w:type="dxa" w:w="3312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Actual Silver column</w:t>
            </w:r>
          </w:p>
        </w:tc>
        <w:tc>
          <w:tcPr>
            <w:tcW w:type="dxa" w:w="3312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FHBLBP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billable_payable  (FHBLPB)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Spec had the letters transposed; real column is FHBLPB.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City -&gt; ALCTY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city  (ALCTY1)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 ALCTY column exists; F0116 city is ALCTY1.</w:t>
            </w:r>
          </w:p>
        </w:tc>
      </w:tr>
    </w:tbl>
    <w:p/>
    <w:p>
      <w:pPr>
        <w:pStyle w:val="Heading1"/>
      </w:pPr>
      <w:r>
        <w:rPr>
          <w:color w:val="1F3864"/>
        </w:rPr>
        <w:t>8.  Open Data Gaps (to resolve before reconciling to Hubble)</w:t>
      </w:r>
    </w:p>
    <w:p>
      <w:r>
        <w:rPr>
          <w:b/>
          <w:color w:val="B00020"/>
        </w:rPr>
        <w:t xml:space="preserve">1.  ShiftFactor source - </w:t>
      </w:r>
      <w:r>
        <w:t>The per-company factor applied to net_amount comes from a company-constants table that is NOT among these 11 tables. It is needed for the freight dollars to tie out exactly to the Hubble report.</w:t>
      </w:r>
    </w:p>
    <w:p>
      <w:r>
        <w:rPr>
          <w:b/>
          <w:color w:val="B00020"/>
        </w:rPr>
        <w:t xml:space="preserve">2.  F4941 / Route# (RSRTN) - </w:t>
      </w:r>
      <w:r>
        <w:t>Route# appears in the spec's display column list, but F4941 has NO join in the actual deployed query, and the value is frequently 0. Decision needed: include (add F4941) or drop to match Hubble.</w:t>
      </w:r>
    </w:p>
    <w:p>
      <w:r>
        <w:rPr>
          <w:b/>
          <w:color w:val="B00020"/>
        </w:rPr>
        <w:t xml:space="preserve">3.  Freight grain mismatch - </w:t>
      </w:r>
      <w:r>
        <w:t>Freight dollars (F4981) are at SHIPMENT grain, while the fact (F4211) is at LINE grain. This mismatch (fan-out risk) is the key modelling decision still open.</w:t>
      </w:r>
    </w:p>
    <w:p/>
    <w:p>
      <w:r>
        <w:rPr>
          <w:i/>
          <w:color w:val="888888"/>
          <w:sz w:val="17"/>
        </w:rPr>
        <w:t>Findings based on TOP 50 sample rows per table from the Silver layer. Build/modelling approach is a separate, ongoing research item and is not covered in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