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ESO4 — Option B Rebuild Sketch</w:t>
      </w:r>
    </w:p>
    <w:p>
      <w:pPr>
        <w:jc w:val="center"/>
      </w:pPr>
      <w:r>
        <w:rPr>
          <w:i/>
          <w:sz w:val="26"/>
        </w:rPr>
        <w:t>Atomic Pay-Item Grain</w:t>
      </w:r>
    </w:p>
    <w:p>
      <w:pPr>
        <w:jc w:val="center"/>
      </w:pPr>
      <w:r>
        <w:rPr>
          <w:color w:val="595959"/>
          <w:sz w:val="19"/>
        </w:rPr>
        <w:t>Companion to ESO4_Finding1_Decision_Brief · 2026-07-25 · SKETCH (scoping only — no code changed)</w:t>
      </w:r>
    </w:p>
    <w:p/>
    <w:p>
      <w:pPr>
        <w:spacing w:before="120" w:after="160"/>
        <w:ind w:left="144"/>
        <w:shd w:val="clear" w:fill="FFF2CC"/>
        <w:pBdr>
          <w:top w:val="single" w:sz="4" w:space="4" w:color="E8C48A"/>
          <w:left w:val="single" w:sz="4" w:space="4" w:color="E8C48A"/>
          <w:bottom w:val="single" w:sz="4" w:space="4" w:color="E8C48A"/>
          <w:right w:val="single" w:sz="4" w:space="4" w:color="E8C48A"/>
        </w:pBdr>
      </w:pPr>
      <w:r>
        <w:rPr>
          <w:b/>
          <w:sz w:val="20"/>
        </w:rPr>
        <w:t xml:space="preserve">Headline.  </w:t>
      </w:r>
      <w:r>
        <w:rPr>
          <w:sz w:val="20"/>
        </w:rPr>
        <w:t xml:space="preserve">Option B is mostly DELETION (remove the Spark GROUP BY) plus RETENTION (keep the pay-item key currently thrown away). The joins, calcs, dims, relationships, and the four amount measures are unchanged; every dollar figure stays identical. It closes Findings 1 and 7, needs one small </w:t>
      </w:r>
      <w:r>
        <w:rPr>
          <w:rFonts w:ascii="Consolas" w:hAnsi="Consolas"/>
          <w:sz w:val="18"/>
        </w:rPr>
        <w:t>tax_status</w:t>
      </w:r>
      <w:r>
        <w:rPr>
          <w:sz w:val="20"/>
        </w:rPr>
        <w:t xml:space="preserve"> decision, and costs ~1 build cycle while nothing is live.</w:t>
      </w:r>
    </w:p>
    <w:p>
      <w:pPr>
        <w:pStyle w:val="Heading1"/>
      </w:pPr>
      <w:r>
        <w:t>1. Target grain &amp; key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Today (summary)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8"/>
              </w:rPr>
              <w:t>Option B (atomic)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7"/>
              </w:rPr>
              <w:t>One row =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one Hubble display tuple (18 attrs), amounts summed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7"/>
              </w:rPr>
              <w:t>one F03B11 invoice pay item (with its F4211 line context)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7"/>
              </w:rPr>
              <w:t>Stored key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</w:r>
            <w:r>
              <w:rPr>
                <w:rFonts w:ascii="Consolas" w:hAnsi="Consolas"/>
                <w:sz w:val="16"/>
              </w:rPr>
              <w:t>sales_tax_line_key</w:t>
            </w:r>
            <w:r>
              <w:rPr>
                <w:sz w:val="17"/>
              </w:rPr>
              <w:t xml:space="preserve"> = sha2(18 group cols)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7"/>
              </w:rPr>
            </w:r>
            <w:r>
              <w:rPr>
                <w:rFonts w:ascii="Consolas" w:hAnsi="Consolas"/>
                <w:sz w:val="16"/>
              </w:rPr>
              <w:t>sales_tax_line_key</w:t>
            </w:r>
            <w:r>
              <w:rPr>
                <w:sz w:val="17"/>
              </w:rPr>
              <w:t xml:space="preserve"> = sha2(F03B11 PK) = sha2(ar_company_key‖ar_document_type‖ar_document_no‖ar_pay_item)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7"/>
              </w:rPr>
              <w:t>Pay-item PK (RPKCO/RPDCT/RPDOC/RPSFX)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dropped (summed away)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7"/>
              </w:rPr>
              <w:t>RETAINED as stored grain columns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7"/>
              </w:rPr>
              <w:t>Amounts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pre-summed per display tuple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7"/>
              </w:rPr>
              <w:t>per pay item (additive — summed in DAX at query time)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7"/>
              </w:rPr>
            </w:r>
            <w:r>
              <w:rPr>
                <w:rFonts w:ascii="Consolas" w:hAnsi="Consolas"/>
                <w:sz w:val="16"/>
              </w:rPr>
              <w:t>document_scope_key</w:t>
            </w:r>
            <w:r>
              <w:rPr>
                <w:sz w:val="17"/>
              </w:rPr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7"/>
              </w:rPr>
              <w:t>unchanged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sz w:val="17"/>
              </w:rPr>
              <w:t>unchanged (invoice-document delete/scope key)</w:t>
            </w:r>
          </w:p>
        </w:tc>
      </w:tr>
    </w:tbl>
    <w:p>
      <w:pPr>
        <w:spacing w:after="80"/>
      </w:pPr>
    </w:p>
    <w:p>
      <w:pPr>
        <w:pStyle w:val="Heading1"/>
      </w:pPr>
      <w:r>
        <w:t>2. The fact-notebook change (build_fact)</w:t>
      </w:r>
    </w:p>
    <w:p>
      <w:r>
        <w:rPr>
          <w:b w:val="0"/>
          <w:i w:val="0"/>
        </w:rPr>
        <w:t xml:space="preserve">The join block, ABAT1 band, latest-effective address, </w:t>
      </w:r>
      <w:r>
        <w:rPr>
          <w:rFonts w:ascii="Consolas" w:hAnsi="Consolas"/>
          <w:b w:val="0"/>
          <w:i w:val="0"/>
          <w:sz w:val="18"/>
        </w:rPr>
        <w:t>business_stream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avalara_code</w:t>
      </w:r>
      <w:r>
        <w:rPr>
          <w:b w:val="0"/>
          <w:i w:val="0"/>
        </w:rPr>
        <w:t>, and the four amount expressions are UNTOUCHED. The change is at the tail — delete the aggregation, keep the atomic projection:</w:t>
      </w:r>
    </w:p>
    <w:p>
      <w:pPr>
        <w:spacing w:before="100" w:after="140" w:line="240" w:lineRule="auto"/>
        <w:shd w:val="clear" w:fill="F4F6F9"/>
        <w:pBdr>
          <w:top w:val="single" w:sz="4" w:space="4" w:color="D0D7E5"/>
          <w:left w:val="single" w:sz="4" w:space="4" w:color="D0D7E5"/>
          <w:bottom w:val="single" w:sz="4" w:space="4" w:color="D0D7E5"/>
          <w:right w:val="single" w:sz="4" w:space="4" w:color="D0D7E5"/>
        </w:pBdr>
      </w:pPr>
      <w:r>
        <w:rPr>
          <w:rFonts w:ascii="Consolas" w:hAnsi="Consolas"/>
          <w:sz w:val="16"/>
        </w:rPr>
        <w:t># --- UNCHANGED: joins + calcs + the projection that already keeps the F03B11 PK ---</w:t>
        <w:br/>
        <w:t>sel = j.select(... ar_company_key, ar_document_type, ar_document_no, ar_pay_item, ...).distinct()</w:t>
        <w:br/>
        <w:t>#              ^ the inner SELECT DISTINCT — THIS BECOMES THE FACT (already one row per pay item)</w:t>
        <w:br/>
        <w:br/>
        <w:t># --- REMOVED: the Spark-side GROUP BY that collapsed pay items into display tuples ---</w:t>
        <w:br/>
        <w:t># agg = sel.groupBy(*FACT_GROUP_BY_COLS).agg(F.sum(...), F.first("shift_factor_applied"))   # &lt;- deleted</w:t>
        <w:br/>
        <w:br/>
        <w:t># --- CHANGED: keys off the pay-item PK; tax_status per pay item (see section 5) ---</w:t>
        <w:br/>
        <w:t>df = (sel</w:t>
        <w:br/>
        <w:t xml:space="preserve">      .withColumn("tax_status", F.when(F.col("tax_amount") &gt; 0, F.lit("Taxable")).otherwise(F.lit("Non-Taxable")))</w:t>
        <w:br/>
        <w:t xml:space="preserve">      .withColumn("document_scope_key", sk("document_company","document_type","invoice_number"))</w:t>
        <w:br/>
        <w:t xml:space="preserve">      .withColumn("sales_tax_line_key",</w:t>
        <w:br/>
        <w:t xml:space="preserve">                  sk("ar_company_key","ar_document_type","ar_document_no","ar_pay_item")))   # F03B11 PK</w:t>
        <w:br/>
        <w:t>df = df.dropDuplicates(["sales_tax_line_key"])</w:t>
        <w:br/>
        <w:t>return df.select("sales_tax_line_key","document_scope_key", *FACT_BUSINESS_COLS)   # now includes the 4 PK cols</w:t>
      </w:r>
    </w:p>
    <w:p>
      <w:r>
        <w:rPr>
          <w:b w:val="0"/>
          <w:i w:val="0"/>
        </w:rPr>
        <w:t xml:space="preserve">Column-list simplification: the </w:t>
      </w:r>
      <w:r>
        <w:rPr>
          <w:rFonts w:ascii="Consolas" w:hAnsi="Consolas"/>
          <w:b w:val="0"/>
          <w:i w:val="0"/>
          <w:sz w:val="18"/>
        </w:rPr>
        <w:t>FACT_GROUP_BY_COLS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8"/>
        </w:rPr>
        <w:t>FACT_MEASURE_COLS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8"/>
        </w:rPr>
        <w:t>FACT_CARRY_COLS</w:t>
      </w:r>
      <w:r>
        <w:rPr>
          <w:b w:val="0"/>
          <w:i w:val="0"/>
        </w:rPr>
        <w:t xml:space="preserve"> split disappears (no GROUP BY to feed). It collapses to ONE flat </w:t>
      </w:r>
      <w:r>
        <w:rPr>
          <w:rFonts w:ascii="Consolas" w:hAnsi="Consolas"/>
          <w:b w:val="0"/>
          <w:i w:val="0"/>
          <w:sz w:val="18"/>
        </w:rPr>
        <w:t>FACT_BUSINESS_COLS</w:t>
      </w:r>
      <w:r>
        <w:rPr>
          <w:b w:val="0"/>
          <w:i w:val="0"/>
        </w:rPr>
        <w:t xml:space="preserve">: the 4 PK columns + the 18 former display attrs (now plain degenerate-dim / FK columns) + the 4 amounts (now additive measures) + </w:t>
      </w:r>
      <w:r>
        <w:rPr>
          <w:rFonts w:ascii="Consolas" w:hAnsi="Consolas"/>
          <w:b w:val="0"/>
          <w:i w:val="0"/>
          <w:sz w:val="18"/>
        </w:rPr>
        <w:t>shift_factor_applied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8"/>
        </w:rPr>
        <w:t>tax_status</w:t>
      </w:r>
      <w:r>
        <w:rPr>
          <w:b w:val="0"/>
          <w:i w:val="0"/>
        </w:rPr>
        <w:t xml:space="preserve">. The </w:t>
      </w:r>
      <w:r>
        <w:rPr>
          <w:rFonts w:ascii="Consolas" w:hAnsi="Consolas"/>
          <w:b w:val="0"/>
          <w:i w:val="0"/>
          <w:sz w:val="18"/>
        </w:rPr>
        <w:t># 2) FACT BUILDER</w:t>
      </w:r>
      <w:r>
        <w:rPr>
          <w:b w:val="0"/>
          <w:i w:val="0"/>
        </w:rPr>
        <w:t xml:space="preserve"> note that explains the group-by lists is deleted — the fact is now atomic, like ESO7.</w:t>
      </w:r>
    </w:p>
    <w:p>
      <w:pPr>
        <w:pStyle w:val="Heading1"/>
      </w:pPr>
      <w:r>
        <w:t>3. Schema / stored columns</w:t>
      </w:r>
    </w:p>
    <w:p>
      <w:pPr>
        <w:pStyle w:val="ListBullet"/>
        <w:spacing w:after="60"/>
        <w:ind w:left="360"/>
      </w:pPr>
      <w:r>
        <w:t xml:space="preserve">+4 columns (the retained F03B11 PK): </w:t>
      </w:r>
      <w:r>
        <w:rPr>
          <w:rFonts w:ascii="Consolas" w:hAnsi="Consolas"/>
          <w:sz w:val="18"/>
        </w:rPr>
        <w:t>ar_company_key</w:t>
      </w:r>
      <w:r>
        <w:t xml:space="preserve">, </w:t>
      </w:r>
      <w:r>
        <w:rPr>
          <w:rFonts w:ascii="Consolas" w:hAnsi="Consolas"/>
          <w:sz w:val="18"/>
        </w:rPr>
        <w:t>ar_document_type</w:t>
      </w:r>
      <w:r>
        <w:t xml:space="preserve">, </w:t>
      </w:r>
      <w:r>
        <w:rPr>
          <w:rFonts w:ascii="Consolas" w:hAnsi="Consolas"/>
          <w:sz w:val="18"/>
        </w:rPr>
        <w:t>ar_document_no</w:t>
      </w:r>
      <w:r>
        <w:t xml:space="preserve">, </w:t>
      </w:r>
      <w:r>
        <w:rPr>
          <w:rFonts w:ascii="Consolas" w:hAnsi="Consolas"/>
          <w:sz w:val="18"/>
        </w:rPr>
        <w:t>ar_pay_item</w:t>
      </w:r>
      <w:r>
        <w:t xml:space="preserve"> — hidden in the model; they are the grain, not report fields.</w:t>
      </w:r>
    </w:p>
    <w:p>
      <w:pPr>
        <w:pStyle w:val="ListBullet"/>
        <w:spacing w:after="60"/>
        <w:ind w:left="360"/>
      </w:pPr>
      <w:r>
        <w:t>The other 24 business columns are the SAME columns — only their meaning shifts from 'summed per tuple' to 'per pay item'.</w:t>
      </w:r>
    </w:p>
    <w:p>
      <w:pPr>
        <w:pStyle w:val="ListBullet"/>
        <w:spacing w:after="60"/>
        <w:ind w:left="360"/>
      </w:pPr>
      <w:r>
        <w:t>New count: 28 business + 2 keys = 30 stored (was 24 + 2 = 26).</w:t>
      </w:r>
    </w:p>
    <w:p>
      <w:pPr>
        <w:pStyle w:val="ListBullet"/>
        <w:spacing w:after="60"/>
        <w:ind w:left="360"/>
      </w:pPr>
      <w:r>
        <w:t>Row count grows to the number of qualifying invoice pay items — expected and desired (the atomic detail the summary grain discarded).</w:t>
      </w:r>
    </w:p>
    <w:p>
      <w:pPr>
        <w:pStyle w:val="Heading1"/>
      </w:pPr>
      <w:r>
        <w:t>4. Semantic model &amp; measures — mostly a no-op</w:t>
      </w:r>
    </w:p>
    <w:p>
      <w:r>
        <w:rPr>
          <w:b w:val="0"/>
          <w:i w:val="0"/>
        </w:rPr>
        <w:t>Because the report already aggregates through SUM measures, moving detail into the fact is transparent to the model — Direct Lake re-aggregates the pay-item rows to whatever grain a visual groups by.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DAX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Change under Option 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7"/>
              </w:rPr>
              <w:t>Taxable Amount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</w:r>
            <w:r>
              <w:rPr>
                <w:rFonts w:ascii="Consolas" w:hAnsi="Consolas"/>
                <w:sz w:val="16"/>
              </w:rPr>
              <w:t>SUM(fact[taxable_amount])</w:t>
            </w:r>
            <w:r>
              <w:rPr>
                <w:sz w:val="17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  <w:t>none — now sums pay items instead of pre-summed rows; same result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7"/>
              </w:rPr>
              <w:t>Non-Taxable Amount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</w:r>
            <w:r>
              <w:rPr>
                <w:rFonts w:ascii="Consolas" w:hAnsi="Consolas"/>
                <w:sz w:val="16"/>
              </w:rPr>
              <w:t>SUM(fact[non_taxable_amount])</w:t>
            </w:r>
            <w:r>
              <w:rPr>
                <w:sz w:val="17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7"/>
              </w:rPr>
              <w:t>Tax Amount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</w:r>
            <w:r>
              <w:rPr>
                <w:rFonts w:ascii="Consolas" w:hAnsi="Consolas"/>
                <w:sz w:val="16"/>
              </w:rPr>
              <w:t>SUM(fact[tax_amount])</w:t>
            </w:r>
            <w:r>
              <w:rPr>
                <w:sz w:val="17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7"/>
              </w:rPr>
              <w:t>Gross Amount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</w:r>
            <w:r>
              <w:rPr>
                <w:rFonts w:ascii="Consolas" w:hAnsi="Consolas"/>
                <w:sz w:val="16"/>
              </w:rPr>
              <w:t>SUM(fact[gross_amount])</w:t>
            </w:r>
            <w:r>
              <w:rPr>
                <w:sz w:val="17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7"/>
              </w:rPr>
              <w:t>Effective Tax Rate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</w:r>
            <w:r>
              <w:rPr>
                <w:rFonts w:ascii="Consolas" w:hAnsi="Consolas"/>
                <w:sz w:val="16"/>
              </w:rPr>
              <w:t>DIVIDE([Tax Amount],[Taxable Amount])</w:t>
            </w:r>
            <w:r>
              <w:rPr>
                <w:sz w:val="17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  <w:t>none (measure of measures)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7"/>
              </w:rPr>
              <w:t>Invoice Count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</w:r>
            <w:r>
              <w:rPr>
                <w:rFonts w:ascii="Consolas" w:hAnsi="Consolas"/>
                <w:sz w:val="16"/>
              </w:rPr>
              <w:t>DISTINCTCOUNT(fact[avalara_code])</w:t>
            </w:r>
            <w:r>
              <w:rPr>
                <w:sz w:val="17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7"/>
              </w:rPr>
              <w:t>Tax Lines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</w:r>
            <w:r>
              <w:rPr>
                <w:rFonts w:ascii="Consolas" w:hAnsi="Consolas"/>
                <w:sz w:val="16"/>
              </w:rPr>
              <w:t>COUNTROWS(fact)</w:t>
            </w:r>
            <w:r>
              <w:rPr>
                <w:sz w:val="17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7"/>
              </w:rPr>
              <w:t>NOW CORRECT — counts actual pay-item lines -&gt; Finding 7 auto-resolved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Relationships (plant -&gt; reused dim_plant; ship_to/sold_to/parent -&gt; dim_address_*; sic_code -&gt; dim_sic; jurisdiction -&gt; dim_state) are unchanged — the FK codes still live on the fact. The dims are unchanged.</w:t>
      </w:r>
    </w:p>
    <w:p>
      <w:pPr>
        <w:pStyle w:val="Heading1"/>
      </w:pPr>
      <w:r>
        <w:t>5. The one real subtlety: tax_status</w:t>
      </w:r>
    </w:p>
    <w:p>
      <w:r>
        <w:rPr>
          <w:b w:val="0"/>
          <w:i w:val="0"/>
        </w:rPr>
        <w:t xml:space="preserve">This is the only place 'aggregate in DAX' needs a genuine decision. </w:t>
      </w:r>
      <w:r>
        <w:rPr>
          <w:rFonts w:ascii="Consolas" w:hAnsi="Consolas"/>
          <w:b w:val="0"/>
          <w:i w:val="0"/>
          <w:sz w:val="18"/>
        </w:rPr>
        <w:t>tax_status</w:t>
      </w:r>
      <w:r>
        <w:rPr>
          <w:b w:val="0"/>
          <w:i w:val="0"/>
        </w:rPr>
        <w:t xml:space="preserve"> is derived from </w:t>
      </w:r>
      <w:r>
        <w:rPr>
          <w:rFonts w:ascii="Consolas" w:hAnsi="Consolas"/>
          <w:b w:val="0"/>
          <w:i w:val="0"/>
          <w:sz w:val="18"/>
        </w:rPr>
        <w:t>tax_amount</w:t>
      </w:r>
      <w:r>
        <w:rPr>
          <w:b w:val="0"/>
          <w:i w:val="0"/>
        </w:rPr>
        <w:t>, and today it is computed once from the SUMMED amount per display tuple. At atomic grain a single display tuple can contain both taxable and exempt pay items, so:</w:t>
      </w:r>
    </w:p>
    <w:p>
      <w:pPr>
        <w:pStyle w:val="ListBullet"/>
        <w:spacing w:after="60"/>
        <w:ind w:left="360"/>
      </w:pPr>
      <w:r>
        <w:t xml:space="preserve">If </w:t>
      </w:r>
      <w:r>
        <w:rPr>
          <w:rFonts w:ascii="Consolas" w:hAnsi="Consolas"/>
          <w:sz w:val="18"/>
        </w:rPr>
        <w:t>tax_status</w:t>
      </w:r>
      <w:r>
        <w:t xml:space="preserve"> is only DISPLAYED (not sliced): make it a DAX MEASURE </w:t>
      </w:r>
      <w:r>
        <w:rPr>
          <w:rFonts w:ascii="Consolas" w:hAnsi="Consolas"/>
          <w:sz w:val="18"/>
        </w:rPr>
        <w:t>IF([Tax Amount] &gt; 0, "Taxable", "Non-Taxable")</w:t>
      </w:r>
      <w:r>
        <w:t>. Display-grain-correct (matches today) and cleaner — it reverses the Finding-2 physical-column workaround, since Direct Lake allows measures (only calculated columns are forbidden). RECOMMENDED.</w:t>
      </w:r>
    </w:p>
    <w:p>
      <w:pPr>
        <w:pStyle w:val="ListBullet"/>
        <w:spacing w:after="60"/>
        <w:ind w:left="360"/>
      </w:pPr>
      <w:r>
        <w:t xml:space="preserve">If </w:t>
      </w:r>
      <w:r>
        <w:rPr>
          <w:rFonts w:ascii="Consolas" w:hAnsi="Consolas"/>
          <w:sz w:val="18"/>
        </w:rPr>
        <w:t>tax_status</w:t>
      </w:r>
      <w:r>
        <w:t xml:space="preserve"> is used as a SLICER / group-by: keep a physical per-pay-item column. A mixed display tuple then legitimately splits into a Taxable and a Non-Taxable row — confirm that matches Hubble's intent before choosing this.</w:t>
      </w:r>
    </w:p>
    <w:p>
      <w:pPr>
        <w:spacing w:before="120" w:after="160"/>
        <w:ind w:left="144"/>
        <w:shd w:val="clear" w:fill="EAF1FB"/>
        <w:pBdr>
          <w:top w:val="single" w:sz="4" w:space="4" w:color="9DB8E0"/>
          <w:left w:val="single" w:sz="4" w:space="4" w:color="9DB8E0"/>
          <w:bottom w:val="single" w:sz="4" w:space="4" w:color="9DB8E0"/>
          <w:right w:val="single" w:sz="4" w:space="4" w:color="9DB8E0"/>
        </w:pBdr>
      </w:pPr>
      <w:r>
        <w:rPr>
          <w:b/>
          <w:sz w:val="20"/>
        </w:rPr>
        <w:t xml:space="preserve">Action.  </w:t>
      </w:r>
      <w:r>
        <w:rPr>
          <w:sz w:val="20"/>
        </w:rPr>
        <w:t xml:space="preserve">Confirm how the report uses </w:t>
      </w:r>
      <w:r>
        <w:rPr>
          <w:rFonts w:ascii="Consolas" w:hAnsi="Consolas"/>
          <w:sz w:val="18"/>
        </w:rPr>
        <w:t>tax_status</w:t>
      </w:r>
      <w:r>
        <w:rPr>
          <w:sz w:val="20"/>
        </w:rPr>
        <w:t xml:space="preserve"> (display vs slicer). Default to the MEASURE.</w:t>
      </w:r>
    </w:p>
    <w:p>
      <w:pPr>
        <w:pStyle w:val="Heading1"/>
      </w:pPr>
      <w:r>
        <w:t>6. Reconciliation becomes an aggregation comparison</w:t>
      </w:r>
    </w:p>
    <w:p>
      <w:r>
        <w:rPr>
          <w:b w:val="0"/>
          <w:i w:val="0"/>
        </w:rPr>
        <w:t>Today: Hubble row maps to Gold row, one-for-one. Under Option B, the Gate-2 check sums the atomic fact up to the Hubble grain and compares — the same numbers, one aggregation away:</w:t>
      </w:r>
    </w:p>
    <w:p>
      <w:pPr>
        <w:spacing w:before="100" w:after="140" w:line="240" w:lineRule="auto"/>
        <w:shd w:val="clear" w:fill="F4F6F9"/>
        <w:pBdr>
          <w:top w:val="single" w:sz="4" w:space="4" w:color="D0D7E5"/>
          <w:left w:val="single" w:sz="4" w:space="4" w:color="D0D7E5"/>
          <w:bottom w:val="single" w:sz="4" w:space="4" w:color="D0D7E5"/>
          <w:right w:val="single" w:sz="4" w:space="4" w:color="D0D7E5"/>
        </w:pBdr>
      </w:pPr>
      <w:r>
        <w:rPr>
          <w:rFonts w:ascii="Consolas" w:hAnsi="Consolas"/>
          <w:sz w:val="16"/>
        </w:rPr>
        <w:t># Gate-2 tie-out (atomic fact -&gt; Hubble display grain):</w:t>
        <w:br/>
        <w:t>fact.groupBy(*HUBBLE_18_ATTRS).agg(F.sum("taxable_amount"), F.sum("non_taxable_amount"),</w:t>
        <w:br/>
        <w:t xml:space="preserve">                                   F.sum("tax_amount"), F.sum("gross_amount"))</w:t>
        <w:br/>
        <w:t># ...should equal the Hubble TX002 output row-for-row.</w:t>
      </w:r>
    </w:p>
    <w:p>
      <w:r>
        <w:rPr>
          <w:b w:val="0"/>
          <w:i w:val="0"/>
        </w:rPr>
        <w:t>The gate review's reconciliation ladder (row count -&gt; grand totals -&gt; by Business Stream -&gt; by jurisdiction -&gt; spot-check -&gt; Invoice Count) is unaffected; only the 'row count' step reframes to the pay-item count.</w:t>
      </w:r>
    </w:p>
    <w:p>
      <w:pPr>
        <w:pStyle w:val="Heading1"/>
      </w:pPr>
      <w:r>
        <w:t>7. What is UNCHANGED (the bulk of the build)</w:t>
      </w:r>
    </w:p>
    <w:p>
      <w:pPr>
        <w:pStyle w:val="ListBullet"/>
        <w:spacing w:after="60"/>
        <w:ind w:left="360"/>
      </w:pPr>
      <w:r>
        <w:t>All joins (F4211 INNER F03B11; F0006 LEFT; F0101 ⋈ F0116 LEFT) + the ABAT1 band + the latest-effective address pick.</w:t>
      </w:r>
    </w:p>
    <w:p>
      <w:pPr>
        <w:pStyle w:val="ListBullet"/>
        <w:spacing w:after="60"/>
        <w:ind w:left="360"/>
      </w:pPr>
      <w:r/>
      <w:r>
        <w:rPr>
          <w:rFonts w:ascii="Consolas" w:hAnsi="Consolas"/>
          <w:sz w:val="18"/>
        </w:rPr>
        <w:t>business_stream</w:t>
      </w:r>
      <w:r>
        <w:t xml:space="preserve"> CASE, </w:t>
      </w:r>
      <w:r>
        <w:rPr>
          <w:rFonts w:ascii="Consolas" w:hAnsi="Consolas"/>
          <w:sz w:val="18"/>
        </w:rPr>
        <w:t>avalara_code</w:t>
      </w:r>
      <w:r>
        <w:t xml:space="preserve">, the four amount expressions, </w:t>
      </w:r>
      <w:r>
        <w:rPr>
          <w:rFonts w:ascii="Consolas" w:hAnsi="Consolas"/>
          <w:sz w:val="18"/>
        </w:rPr>
        <w:t>SHIFT_FACTOR</w:t>
      </w:r>
      <w:r>
        <w:t>.</w:t>
      </w:r>
    </w:p>
    <w:p>
      <w:pPr>
        <w:pStyle w:val="ListBullet"/>
        <w:spacing w:after="60"/>
        <w:ind w:left="360"/>
      </w:pPr>
      <w:r>
        <w:t>The batch + ESO7 notebook structure (</w:t>
      </w:r>
      <w:r>
        <w:rPr>
          <w:rFonts w:ascii="Consolas" w:hAnsi="Consolas"/>
          <w:sz w:val="18"/>
        </w:rPr>
        <w:t>build_fact</w:t>
      </w:r>
      <w:r>
        <w:t xml:space="preserve">, </w:t>
      </w:r>
      <w:r>
        <w:rPr>
          <w:rFonts w:ascii="Consolas" w:hAnsi="Consolas"/>
          <w:sz w:val="18"/>
        </w:rPr>
        <w:t>sname</w:t>
      </w:r>
      <w:r>
        <w:t>/</w:t>
      </w:r>
      <w:r>
        <w:rPr>
          <w:rFonts w:ascii="Consolas" w:hAnsi="Consolas"/>
          <w:sz w:val="18"/>
        </w:rPr>
        <w:t>gname</w:t>
      </w:r>
      <w:r>
        <w:t xml:space="preserve">, </w:t>
      </w:r>
      <w:r>
        <w:rPr>
          <w:rFonts w:ascii="Consolas" w:hAnsi="Consolas"/>
          <w:sz w:val="18"/>
        </w:rPr>
        <w:t>MANUAL_OVERWRITE</w:t>
      </w:r>
      <w:r>
        <w:t xml:space="preserve">, </w:t>
      </w:r>
      <w:r>
        <w:rPr>
          <w:rFonts w:ascii="Consolas" w:hAnsi="Consolas"/>
          <w:sz w:val="18"/>
        </w:rPr>
        <w:t>FACT_SOURCES</w:t>
      </w:r>
      <w:r>
        <w:t>, RUN + exit payload).</w:t>
      </w:r>
    </w:p>
    <w:p>
      <w:pPr>
        <w:pStyle w:val="ListBullet"/>
        <w:spacing w:after="60"/>
        <w:ind w:left="360"/>
      </w:pPr>
      <w:r>
        <w:t>All three dims and all six relationships; four amount measures; Effective Tax Rate; Invoice Count.</w:t>
      </w:r>
    </w:p>
    <w:p>
      <w:pPr>
        <w:pStyle w:val="ListBullet"/>
        <w:spacing w:after="60"/>
        <w:ind w:left="360"/>
      </w:pPr>
      <w:r>
        <w:t xml:space="preserve">The </w:t>
      </w:r>
      <w:r>
        <w:rPr>
          <w:rFonts w:ascii="Consolas" w:hAnsi="Consolas"/>
          <w:sz w:val="18"/>
        </w:rPr>
        <w:t>document_scope_key</w:t>
      </w:r>
      <w:r>
        <w:t>.</w:t>
      </w:r>
    </w:p>
    <w:p>
      <w:pPr>
        <w:pStyle w:val="Heading1"/>
      </w:pPr>
      <w:r>
        <w:t>8. Findings resolved / improved by Option B</w:t>
      </w:r>
    </w:p>
    <w:p>
      <w:pPr>
        <w:pStyle w:val="ListBullet"/>
        <w:spacing w:after="60"/>
        <w:ind w:left="360"/>
      </w:pPr>
      <w:r>
        <w:t>Finding 1 (HIGH) — CLOSED. The fact is now atomic and reusable; no rule exception needed.</w:t>
      </w:r>
    </w:p>
    <w:p>
      <w:pPr>
        <w:pStyle w:val="ListBullet"/>
        <w:spacing w:after="60"/>
        <w:ind w:left="360"/>
      </w:pPr>
      <w:r>
        <w:t xml:space="preserve">Finding 7 (LOW) — CLOSED for free. </w:t>
      </w:r>
      <w:r>
        <w:rPr>
          <w:rFonts w:ascii="Consolas" w:hAnsi="Consolas"/>
          <w:sz w:val="18"/>
        </w:rPr>
        <w:t>Tax Lines = COUNTROWS(fact)</w:t>
      </w:r>
      <w:r>
        <w:t xml:space="preserve"> now counts real pay-item lines.</w:t>
      </w:r>
    </w:p>
    <w:p>
      <w:pPr>
        <w:pStyle w:val="ListBullet"/>
        <w:spacing w:after="60"/>
        <w:ind w:left="360"/>
      </w:pPr>
      <w:r>
        <w:t xml:space="preserve">Finding 2 (context). </w:t>
      </w:r>
      <w:r>
        <w:rPr>
          <w:rFonts w:ascii="Consolas" w:hAnsi="Consolas"/>
          <w:sz w:val="18"/>
        </w:rPr>
        <w:t>tax_status</w:t>
      </w:r>
      <w:r>
        <w:t xml:space="preserve"> can return to a clean DAX measure (section 5) instead of the physical-column workaround, if it is display-only.</w:t>
      </w:r>
    </w:p>
    <w:p>
      <w:pPr>
        <w:pStyle w:val="Heading1"/>
      </w:pPr>
      <w:r>
        <w:t>9. Step-by-step + effort</w:t>
      </w:r>
    </w:p>
    <w:p>
      <w:pPr>
        <w:pStyle w:val="ListNumber"/>
        <w:spacing w:after="60"/>
        <w:ind w:left="360"/>
      </w:pPr>
      <w:r>
        <w:t xml:space="preserve">Fact notebook — delete the </w:t>
      </w:r>
      <w:r>
        <w:rPr>
          <w:rFonts w:ascii="Consolas" w:hAnsi="Consolas"/>
          <w:sz w:val="18"/>
        </w:rPr>
        <w:t>groupBy/agg</w:t>
      </w:r>
      <w:r>
        <w:t xml:space="preserve">; return </w:t>
      </w:r>
      <w:r>
        <w:rPr>
          <w:rFonts w:ascii="Consolas" w:hAnsi="Consolas"/>
          <w:sz w:val="18"/>
        </w:rPr>
        <w:t>sel</w:t>
      </w:r>
      <w:r>
        <w:t xml:space="preserve"> (atomic); add the 4 PK columns to </w:t>
      </w:r>
      <w:r>
        <w:rPr>
          <w:rFonts w:ascii="Consolas" w:hAnsi="Consolas"/>
          <w:sz w:val="18"/>
        </w:rPr>
        <w:t>FACT_BUSINESS_COLS</w:t>
      </w:r>
      <w:r>
        <w:t xml:space="preserve">; re-key </w:t>
      </w:r>
      <w:r>
        <w:rPr>
          <w:rFonts w:ascii="Consolas" w:hAnsi="Consolas"/>
          <w:sz w:val="18"/>
        </w:rPr>
        <w:t>sales_tax_line_key</w:t>
      </w:r>
      <w:r>
        <w:t xml:space="preserve"> off the PK; decide </w:t>
      </w:r>
      <w:r>
        <w:rPr>
          <w:rFonts w:ascii="Consolas" w:hAnsi="Consolas"/>
          <w:sz w:val="18"/>
        </w:rPr>
        <w:t>tax_status</w:t>
      </w:r>
      <w:r>
        <w:t xml:space="preserve"> (section 5). Collapse the </w:t>
      </w:r>
      <w:r>
        <w:rPr>
          <w:rFonts w:ascii="Consolas" w:hAnsi="Consolas"/>
          <w:sz w:val="18"/>
        </w:rPr>
        <w:t>FACT_*</w:t>
      </w:r>
      <w:r>
        <w:t xml:space="preserve"> lists to one. (~half day)</w:t>
      </w:r>
    </w:p>
    <w:p>
      <w:pPr>
        <w:pStyle w:val="ListNumber"/>
        <w:spacing w:after="60"/>
        <w:ind w:left="360"/>
      </w:pPr>
      <w:r>
        <w:t xml:space="preserve">TMDL (fact) — add the 4 PK columns (hidden); if </w:t>
      </w:r>
      <w:r>
        <w:rPr>
          <w:rFonts w:ascii="Consolas" w:hAnsi="Consolas"/>
          <w:sz w:val="18"/>
        </w:rPr>
        <w:t>tax_status</w:t>
      </w:r>
      <w:r>
        <w:t xml:space="preserve"> -&gt; measure, remove the physical column + add the measure; re-point </w:t>
      </w:r>
      <w:r>
        <w:rPr>
          <w:rFonts w:ascii="Consolas" w:hAnsi="Consolas"/>
          <w:sz w:val="18"/>
        </w:rPr>
        <w:t>sales_tax_line_key</w:t>
      </w:r>
      <w:r>
        <w:t>. (~quarter day)</w:t>
      </w:r>
    </w:p>
    <w:p>
      <w:pPr>
        <w:pStyle w:val="ListNumber"/>
        <w:spacing w:after="60"/>
        <w:ind w:left="360"/>
      </w:pPr>
      <w:r>
        <w:t>Re-verify the 7 measures against the atomic fact (all unchanged except Tax Lines / tax_status). (~quarter day)</w:t>
      </w:r>
    </w:p>
    <w:p>
      <w:pPr>
        <w:pStyle w:val="ListNumber"/>
        <w:spacing w:after="60"/>
        <w:ind w:left="360"/>
      </w:pPr>
      <w:r>
        <w:t>Design doc — rewrite section 3 grain &amp; keys; note Findings 1 &amp; 7 closed. (~quarter day)</w:t>
      </w:r>
    </w:p>
    <w:p>
      <w:pPr>
        <w:pStyle w:val="ListNumber"/>
        <w:spacing w:after="60"/>
        <w:ind w:left="360"/>
      </w:pPr>
      <w:r>
        <w:t xml:space="preserve">First load </w:t>
      </w:r>
      <w:r>
        <w:rPr>
          <w:rFonts w:ascii="Consolas" w:hAnsi="Consolas"/>
          <w:sz w:val="18"/>
        </w:rPr>
        <w:t>MANUAL_OVERWRITE=True</w:t>
      </w:r>
      <w:r>
        <w:t>, then the Gate-2 aggregation tie-out (section 6). (gated on Fabric)</w:t>
      </w:r>
    </w:p>
    <w:p>
      <w:pPr>
        <w:spacing w:before="120" w:after="160"/>
        <w:ind w:left="144"/>
        <w:shd w:val="clear" w:fill="E2EFDA"/>
        <w:pBdr>
          <w:top w:val="single" w:sz="4" w:space="4" w:color="70AD47"/>
          <w:left w:val="single" w:sz="4" w:space="4" w:color="70AD47"/>
          <w:bottom w:val="single" w:sz="4" w:space="4" w:color="70AD47"/>
          <w:right w:val="single" w:sz="4" w:space="4" w:color="70AD47"/>
        </w:pBdr>
      </w:pPr>
      <w:r>
        <w:rPr>
          <w:b/>
          <w:sz w:val="20"/>
        </w:rPr>
        <w:t xml:space="preserve">Estimate.  </w:t>
      </w:r>
      <w:r>
        <w:rPr>
          <w:sz w:val="20"/>
        </w:rPr>
        <w:t>Roughly one build-and-review cycle (~1–1.5 days of build/doc work) before the same first-load + reconciliation that Option A also requires. No migration (nothing is live).</w:t>
      </w:r>
    </w:p>
    <w:p>
      <w:pPr>
        <w:pStyle w:val="Heading1"/>
      </w:pPr>
      <w:r>
        <w:t>10. Risks / open decisions</w:t>
      </w:r>
    </w:p>
    <w:p>
      <w:pPr>
        <w:pStyle w:val="ListBullet"/>
        <w:spacing w:after="60"/>
        <w:ind w:left="360"/>
      </w:pPr>
      <w:r/>
      <w:r>
        <w:rPr>
          <w:rFonts w:ascii="Consolas" w:hAnsi="Consolas"/>
          <w:sz w:val="18"/>
        </w:rPr>
        <w:t>tax_status</w:t>
      </w:r>
      <w:r>
        <w:t xml:space="preserve"> display-vs-slicer (section 5) — the only genuine design choice; default to a DAX measure.</w:t>
      </w:r>
    </w:p>
    <w:p>
      <w:pPr>
        <w:pStyle w:val="ListBullet"/>
        <w:spacing w:after="60"/>
        <w:ind w:left="360"/>
      </w:pPr>
      <w:r>
        <w:t>Row-count / performance — atomic grain is larger, but F03B11 sales-tax pay items are a bounded set and Direct Lake sums are cheap; no concern at F64.</w:t>
      </w:r>
    </w:p>
    <w:p>
      <w:pPr>
        <w:pStyle w:val="ListBullet"/>
        <w:spacing w:after="60"/>
        <w:ind w:left="360"/>
      </w:pPr>
      <w:r>
        <w:t>Nothing else regresses — every other number is identical (the SUM measures see the same total), so the reconciliation risk is LOWER than a redesign usually implies.</w:t>
      </w:r>
    </w:p>
    <w:p>
      <w:pPr>
        <w:spacing w:before="120" w:after="160"/>
        <w:ind w:left="144"/>
        <w:shd w:val="clear" w:fill="FFF2CC"/>
        <w:pBdr>
          <w:top w:val="single" w:sz="4" w:space="4" w:color="E8C48A"/>
          <w:left w:val="single" w:sz="4" w:space="4" w:color="E8C48A"/>
          <w:bottom w:val="single" w:sz="4" w:space="4" w:color="E8C48A"/>
          <w:right w:val="single" w:sz="4" w:space="4" w:color="E8C48A"/>
        </w:pBdr>
      </w:pPr>
      <w:r>
        <w:rPr>
          <w:b/>
          <w:sz w:val="20"/>
        </w:rPr>
        <w:t xml:space="preserve">Bottom line.  </w:t>
      </w:r>
      <w:r>
        <w:rPr>
          <w:sz w:val="20"/>
        </w:rPr>
        <w:t xml:space="preserve">Option B is mostly deletion (the GROUP BY) plus retention (the PK). It closes Findings 1 and 7, needs one small </w:t>
      </w:r>
      <w:r>
        <w:rPr>
          <w:rFonts w:ascii="Consolas" w:hAnsi="Consolas"/>
          <w:sz w:val="18"/>
        </w:rPr>
        <w:t>tax_status</w:t>
      </w:r>
      <w:r>
        <w:rPr>
          <w:sz w:val="20"/>
        </w:rPr>
        <w:t xml:space="preserve"> decision, and leaves every dollar figure identical — all for ~1 build cycle while nothing is live. This sketch is scoping only; no notebook has been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