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ESO4 — Finding 1 Decision Brief</w:t>
      </w:r>
    </w:p>
    <w:p>
      <w:pPr>
        <w:jc w:val="center"/>
      </w:pPr>
      <w:r>
        <w:rPr>
          <w:i/>
          <w:sz w:val="26"/>
        </w:rPr>
        <w:t>Fact Grain — Summary vs Atomic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8"/>
              </w:rPr>
              <w:t>Prepared for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Data Owner / Data Governance  (ESO4 sponsor: Lisa Covington, Tax Department)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8"/>
              </w:rPr>
              <w:t>Prepared by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Gold Layer build + review team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8"/>
              </w:rPr>
              <w:t>Date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2026-07-25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8"/>
              </w:rPr>
              <w:t>Status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OPEN — decision required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8"/>
              </w:rPr>
              <w:t>Decision needed before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 xml:space="preserve">the first load of </w:t>
            </w:r>
            <w:r>
              <w:rPr>
                <w:rFonts w:ascii="Consolas" w:hAnsi="Consolas"/>
                <w:sz w:val="17"/>
              </w:rPr>
              <w:t>fact_sales_tax_reconciliation</w:t>
            </w:r>
            <w:r>
              <w:rPr>
                <w:sz w:val="18"/>
              </w:rPr>
              <w:t xml:space="preserve"> onto Fabric (see 'Why now')</w:t>
            </w:r>
          </w:p>
        </w:tc>
      </w:tr>
    </w:tbl>
    <w:p>
      <w:pPr>
        <w:spacing w:after="80"/>
      </w:pPr>
    </w:p>
    <w:p>
      <w:pPr>
        <w:spacing w:before="120" w:after="160"/>
        <w:ind w:left="144"/>
        <w:shd w:val="clear" w:fill="FFF2CC"/>
        <w:pBdr>
          <w:top w:val="single" w:sz="4" w:space="4" w:color="E8C48A"/>
          <w:left w:val="single" w:sz="4" w:space="4" w:color="E8C48A"/>
          <w:bottom w:val="single" w:sz="4" w:space="4" w:color="E8C48A"/>
          <w:right w:val="single" w:sz="4" w:space="4" w:color="E8C48A"/>
        </w:pBdr>
      </w:pPr>
      <w:r>
        <w:rPr>
          <w:b/>
          <w:sz w:val="20"/>
        </w:rPr>
        <w:t xml:space="preserve">The decision, in one sentence.  </w:t>
      </w:r>
      <w:r>
        <w:rPr>
          <w:sz w:val="20"/>
        </w:rPr>
        <w:t>At what grain should the ESO4 Gold fact be stored — the report-shaped SUMMARY grain it is built at today, or the atomic INVOICE PAY-ITEM grain that keeps it reusable for future reporting? This is a design-governance decision, not a code bug; it needs an explicit ruling rather than being allowed to stand by default.</w:t>
      </w:r>
    </w:p>
    <w:p>
      <w:pPr>
        <w:pStyle w:val="Heading1"/>
      </w:pPr>
      <w:r>
        <w:t>Background</w:t>
      </w:r>
    </w:p>
    <w:p>
      <w:r>
        <w:rPr>
          <w:b w:val="0"/>
          <w:i w:val="0"/>
        </w:rPr>
        <w:t xml:space="preserve">ESO4 produces the Sales Tax with Business Stream Summary report, used to reconcile JDE sales tax against Avalara (mirrors Hubble report TX002). It is served by one Gold fact table, </w:t>
      </w:r>
      <w:r>
        <w:rPr>
          <w:rFonts w:ascii="Consolas" w:hAnsi="Consolas"/>
          <w:b w:val="0"/>
          <w:i w:val="0"/>
          <w:sz w:val="18"/>
        </w:rPr>
        <w:t>fact_sales_tax_reconciliation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That table is currently built pre-summarised to exactly the shape of this one report: one row per combination of the report's ~18 display attributes (company, invoice, document/order, plant, ship-to, sold-to, tax area, jurisdiction, business stream, dates, ...), with the four tax amounts already added up across the underlying invoice pay items. In doing so it drops the invoice pay-item identity (the F03B11 primary key) — the finest level of detail in the source.</w:t>
      </w:r>
    </w:p>
    <w:p>
      <w:r>
        <w:rPr>
          <w:b/>
          <w:i w:val="0"/>
        </w:rPr>
        <w:t>Nothing has been loaded to Fabric yet: no data exists, and no report or user consumes the table.</w:t>
      </w:r>
    </w:p>
    <w:p>
      <w:pPr>
        <w:pStyle w:val="Heading1"/>
      </w:pPr>
      <w:r>
        <w:t>The conflict</w:t>
      </w:r>
    </w:p>
    <w:p>
      <w:r>
        <w:rPr>
          <w:b w:val="0"/>
          <w:i w:val="0"/>
        </w:rPr>
        <w:t>The Gold Layer Design Rule requires facts to be reusable across future reporting needs — i.e. stored at an ATOMIC grain so that any future report can re-aggregate them, rather than baking one report's summary into the warehouse.</w:t>
      </w:r>
    </w:p>
    <w:p>
      <w:r>
        <w:rPr>
          <w:b w:val="0"/>
          <w:i w:val="0"/>
        </w:rPr>
        <w:t>The current fact is baked to ONE report's summary grain. It reconciles beautifully today (a Hubble row maps to a Gold row one-for-one), but it is single-purpose by construction.</w:t>
      </w:r>
    </w:p>
    <w:p>
      <w:pPr>
        <w:pStyle w:val="Heading1"/>
      </w:pPr>
      <w:r>
        <w:t>What today's design gives you — and what it costs</w:t>
      </w:r>
    </w:p>
    <w:p>
      <w:pPr>
        <w:pStyle w:val="Heading2"/>
      </w:pPr>
      <w:r>
        <w:t>Gives you (why it was built this way)</w:t>
      </w:r>
    </w:p>
    <w:p>
      <w:pPr>
        <w:pStyle w:val="ListBullet"/>
        <w:spacing w:after="60"/>
        <w:ind w:left="360"/>
      </w:pPr>
      <w:r>
        <w:t>Simplest possible Avalara reconciliation — Gold row maps to Hubble row directly, no re-aggregation.</w:t>
      </w:r>
    </w:p>
    <w:p>
      <w:pPr>
        <w:pStyle w:val="ListBullet"/>
        <w:spacing w:after="60"/>
        <w:ind w:left="360"/>
      </w:pPr>
      <w:r>
        <w:t>Smaller table; measures are plain sums.</w:t>
      </w:r>
    </w:p>
    <w:p>
      <w:pPr>
        <w:pStyle w:val="Heading2"/>
      </w:pPr>
      <w:r>
        <w:t>Costs you (given up — unrecoverable without a rebuild)</w:t>
      </w:r>
    </w:p>
    <w:p>
      <w:pPr>
        <w:pStyle w:val="ListBullet"/>
        <w:spacing w:after="60"/>
        <w:ind w:left="360"/>
      </w:pPr>
      <w:r>
        <w:t>No drill to pay-item level. The invoice pay-item key is summed away; the fact can never break a number down to the individual AR pay item, nor join to another AR-based fact at that level.</w:t>
      </w:r>
    </w:p>
    <w:p>
      <w:pPr>
        <w:pStyle w:val="ListBullet"/>
        <w:spacing w:after="60"/>
        <w:ind w:left="360"/>
      </w:pPr>
      <w:r>
        <w:t>No other breakdowns. One row is a fixed display tuple. A future report wanting sales tax by pay item, by due date, by AR status, or any attribute not already in the 18 CANNOT be served here.</w:t>
      </w:r>
    </w:p>
    <w:p>
      <w:pPr>
        <w:pStyle w:val="ListBullet"/>
        <w:spacing w:after="60"/>
        <w:ind w:left="360"/>
      </w:pPr>
      <w:r>
        <w:t>Fragile to change. Adding even one attribute changes the grain, forcing a full rebuild and re-verification of all seven measures — versus simply adding a column to an atomic fact.</w:t>
      </w:r>
    </w:p>
    <w:p>
      <w:pPr>
        <w:pStyle w:val="Heading1"/>
      </w:pPr>
      <w:r>
        <w:t>Options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Option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What it means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Trade-off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Cost to do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7"/>
              </w:rPr>
              <w:t>Accept the summary grain (documented exception)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7"/>
              </w:rPr>
              <w:t>Keep the fact as-is; record a formal exception to the reusability rule, treating it as a purpose-built reconciliation asset, not a general sales-tax fact.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7"/>
              </w:rPr>
              <w:t>Defensible IF this is genuinely a one-report utility. The cost lands later, on whoever needs the next sales-tax / AR report.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7"/>
              </w:rPr>
              <w:t>Zero now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7"/>
              </w:rPr>
              <w:t>Rebuild at atomic (pay-item) grain, aggregate in DAX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7"/>
              </w:rPr>
              <w:t>Store one row per F03B11 invoice pay item (keep the PK); the report sums in the semantic model instead of in Spark. Scoped in detail in the companion Option B rebuild sketch.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7"/>
              </w:rPr>
              <w:t>Fully satisfies the Gold rule and makes the data reusable. Hubble reconciliation becomes an aggregation comparison rather than row-by-row.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7"/>
              </w:rPr>
              <w:t>Fact redesign + re-verify 7 measures — cheapest done NOW (nothing to migrate)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7"/>
              </w:rPr>
              <w:t>Keep summary fact AND add an atomic fact later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7"/>
              </w:rPr>
              <w:t>Two facts over the same data.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7"/>
              </w:rPr>
              <w:t>Explicitly creates the duplicate table the rule exists to prevent; ongoing double-maintenance.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7"/>
              </w:rPr>
              <w:t>Highest over time — NOT recommended</w:t>
            </w:r>
          </w:p>
        </w:tc>
      </w:tr>
    </w:tbl>
    <w:p>
      <w:pPr>
        <w:spacing w:after="80"/>
      </w:pPr>
    </w:p>
    <w:p>
      <w:pPr>
        <w:pStyle w:val="Heading1"/>
      </w:pPr>
      <w:r>
        <w:t>Recommendation</w:t>
      </w:r>
    </w:p>
    <w:p>
      <w:pPr>
        <w:spacing w:before="120" w:after="160"/>
        <w:ind w:left="144"/>
        <w:shd w:val="clear" w:fill="E2EFDA"/>
        <w:pBdr>
          <w:top w:val="single" w:sz="4" w:space="4" w:color="70AD47"/>
          <w:left w:val="single" w:sz="4" w:space="4" w:color="70AD47"/>
          <w:bottom w:val="single" w:sz="4" w:space="4" w:color="70AD47"/>
          <w:right w:val="single" w:sz="4" w:space="4" w:color="70AD47"/>
        </w:pBdr>
      </w:pPr>
      <w:r>
        <w:rPr>
          <w:b/>
          <w:sz w:val="20"/>
        </w:rPr>
        <w:t xml:space="preserve">Default to Option B (atomic pay-item grain)  </w:t>
      </w:r>
      <w:r>
        <w:rPr>
          <w:sz w:val="20"/>
        </w:rPr>
        <w:t>unless the data owner affirms this is a permanent, single-report reconciliation utility — in which case Option A with a recorded exception. Option C is not recommended.</w:t>
      </w:r>
    </w:p>
    <w:p>
      <w:r>
        <w:rPr>
          <w:b w:val="0"/>
          <w:i w:val="0"/>
        </w:rPr>
        <w:t>A simple test decides it:</w:t>
      </w:r>
    </w:p>
    <w:p>
      <w:pPr>
        <w:spacing w:before="120" w:after="160"/>
        <w:ind w:left="144"/>
        <w:shd w:val="clear" w:fill="EAF1FB"/>
        <w:pBdr>
          <w:top w:val="single" w:sz="4" w:space="4" w:color="9DB8E0"/>
          <w:left w:val="single" w:sz="4" w:space="4" w:color="9DB8E0"/>
          <w:bottom w:val="single" w:sz="4" w:space="4" w:color="9DB8E0"/>
          <w:right w:val="single" w:sz="4" w:space="4" w:color="9DB8E0"/>
        </w:pBdr>
      </w:pPr>
      <w:r>
        <w:rPr>
          <w:b/>
          <w:sz w:val="20"/>
        </w:rPr>
        <w:t xml:space="preserve">Decision test.  </w:t>
      </w:r>
      <w:r>
        <w:rPr>
          <w:sz w:val="20"/>
        </w:rPr>
        <w:t>Is it plausible that, within ~12 months, another report or analysis will need JDE sales-tax / AR data at a different breakdown (by pay item, due date, AR status, or joined to another AR fact)?</w:t>
      </w:r>
    </w:p>
    <w:p>
      <w:pPr>
        <w:pStyle w:val="ListBullet"/>
        <w:spacing w:after="60"/>
        <w:ind w:left="360"/>
      </w:pPr>
      <w:r>
        <w:t>Yes / unsure  -&gt;  Option B. Reusability is the whole point of the Gold layer, and B is free right now but expensive once the table is live.</w:t>
      </w:r>
    </w:p>
    <w:p>
      <w:pPr>
        <w:pStyle w:val="ListBullet"/>
        <w:spacing w:after="60"/>
        <w:ind w:left="360"/>
      </w:pPr>
      <w:r>
        <w:t>No, this is genuinely one report forever  -&gt;  Option A, with a signed exception recorded below.</w:t>
      </w:r>
    </w:p>
    <w:p>
      <w:r>
        <w:rPr>
          <w:b w:val="0"/>
          <w:i/>
        </w:rPr>
        <w:t>The review team's lean: B, because the deciding cost (the rebuild) is at its minimum today and only grows, while the reusability benefit compounds.</w:t>
      </w:r>
    </w:p>
    <w:p>
      <w:pPr>
        <w:spacing w:before="120" w:after="160"/>
        <w:ind w:left="144"/>
        <w:shd w:val="clear" w:fill="EAF1FB"/>
        <w:pBdr>
          <w:top w:val="single" w:sz="4" w:space="4" w:color="9DB8E0"/>
          <w:left w:val="single" w:sz="4" w:space="4" w:color="9DB8E0"/>
          <w:bottom w:val="single" w:sz="4" w:space="4" w:color="9DB8E0"/>
          <w:right w:val="single" w:sz="4" w:space="4" w:color="9DB8E0"/>
        </w:pBdr>
      </w:pPr>
      <w:r>
        <w:rPr>
          <w:b/>
          <w:sz w:val="20"/>
        </w:rPr>
        <w:t xml:space="preserve">Option B is already scoped.  </w:t>
      </w:r>
      <w:r>
        <w:rPr>
          <w:sz w:val="20"/>
        </w:rPr>
        <w:t xml:space="preserve">The companion </w:t>
      </w:r>
      <w:r>
        <w:rPr>
          <w:rFonts w:ascii="Consolas" w:hAnsi="Consolas"/>
          <w:sz w:val="18"/>
        </w:rPr>
        <w:t>ESO4_Finding1_OptionB_Rebuild_Sketch</w:t>
      </w:r>
      <w:r>
        <w:rPr>
          <w:sz w:val="20"/>
        </w:rPr>
        <w:t xml:space="preserve"> (.md / .docx) shows the concrete before/after — it is mostly DELETE the Spark GROUP BY + RETAIN the pay-item key — and confirms every dollar figure stays identical, that Finding 7 auto-closes, and that the effort is ~1 build cycle with no migration. Read it before choosing, so the cost of B is a known quantity rather than an estimate.</w:t>
      </w:r>
    </w:p>
    <w:p>
      <w:pPr>
        <w:pStyle w:val="Heading1"/>
      </w:pPr>
      <w:r>
        <w:t>Why now (time-sensitivity)</w:t>
      </w:r>
    </w:p>
    <w:p>
      <w:r>
        <w:rPr>
          <w:b w:val="0"/>
          <w:i w:val="0"/>
        </w:rPr>
        <w:t>This decision is free to make today and expensive to reverse later, in one direction only:</w:t>
      </w:r>
    </w:p>
    <w:p>
      <w:pPr>
        <w:pStyle w:val="ListBullet"/>
        <w:spacing w:after="60"/>
        <w:ind w:left="360"/>
      </w:pPr>
      <w:r>
        <w:t>Nothing is loaded and nothing consumes the table, so switching to the atomic grain now is a code change with NO data migration and NO downstream breakage.</w:t>
      </w:r>
    </w:p>
    <w:p>
      <w:pPr>
        <w:pStyle w:val="ListBullet"/>
        <w:spacing w:after="60"/>
        <w:ind w:left="360"/>
      </w:pPr>
      <w:r>
        <w:t>The moment the table goes live — first load + a published report pointing at it — changing the grain means a migration, re-pointing every measure and visual, and coordinating with consumers.</w:t>
      </w:r>
    </w:p>
    <w:p>
      <w:pPr>
        <w:spacing w:before="120" w:after="160"/>
        <w:ind w:left="144"/>
        <w:shd w:val="clear" w:fill="FBE4E4"/>
        <w:pBdr>
          <w:top w:val="single" w:sz="4" w:space="4" w:color="C00000"/>
          <w:left w:val="single" w:sz="4" w:space="4" w:color="C00000"/>
          <w:bottom w:val="single" w:sz="4" w:space="4" w:color="C00000"/>
          <w:right w:val="single" w:sz="4" w:space="4" w:color="C00000"/>
        </w:pBdr>
      </w:pPr>
      <w:r>
        <w:rPr>
          <w:b/>
          <w:sz w:val="20"/>
        </w:rPr>
        <w:t xml:space="preserve">The window closes at first load.  </w:t>
      </w:r>
      <w:r>
        <w:rPr>
          <w:sz w:val="20"/>
        </w:rPr>
        <w:t xml:space="preserve">Please rule BEFORE the initial </w:t>
      </w:r>
      <w:r>
        <w:rPr>
          <w:rFonts w:ascii="Consolas" w:hAnsi="Consolas"/>
          <w:sz w:val="18"/>
        </w:rPr>
        <w:t>MANUAL_OVERWRITE=True</w:t>
      </w:r>
      <w:r>
        <w:rPr>
          <w:sz w:val="20"/>
        </w:rPr>
        <w:t xml:space="preserve"> build of </w:t>
      </w:r>
      <w:r>
        <w:rPr>
          <w:rFonts w:ascii="Consolas" w:hAnsi="Consolas"/>
          <w:sz w:val="18"/>
        </w:rPr>
        <w:t>fact_sales_tax_reconciliation</w:t>
      </w:r>
      <w:r>
        <w:rPr>
          <w:sz w:val="20"/>
        </w:rPr>
        <w:t>.</w:t>
      </w:r>
    </w:p>
    <w:p>
      <w:pPr>
        <w:pStyle w:val="Heading1"/>
      </w:pPr>
      <w:r>
        <w:t>What each choice triggers next</w:t>
      </w:r>
    </w:p>
    <w:p>
      <w:pPr>
        <w:pStyle w:val="ListBullet"/>
        <w:spacing w:after="60"/>
        <w:ind w:left="360"/>
      </w:pPr>
      <w:r>
        <w:t>Option A: record the exception (below); no code change; proceed to the first load and Gate 2 reconciliation as-is.</w:t>
      </w:r>
    </w:p>
    <w:p>
      <w:pPr>
        <w:pStyle w:val="ListBullet"/>
        <w:spacing w:after="60"/>
        <w:ind w:left="360"/>
      </w:pPr>
      <w:r>
        <w:t xml:space="preserve">Option B: rebuild </w:t>
      </w:r>
      <w:r>
        <w:rPr>
          <w:rFonts w:ascii="Consolas" w:hAnsi="Consolas"/>
          <w:sz w:val="18"/>
        </w:rPr>
        <w:t>fact_sales_tax_reconciliation</w:t>
      </w:r>
      <w:r>
        <w:t xml:space="preserve"> at F03B11 pay-item grain (retain the PK), move the four sums into DAX measures, re-verify the 7 measures + the fact-to-dim relationships, update the TMDL and the design doc; then first load. Adds roughly one build-and-review cycle — the full before/after and step-by-step are in </w:t>
      </w:r>
      <w:r>
        <w:rPr>
          <w:rFonts w:ascii="Consolas" w:hAnsi="Consolas"/>
          <w:sz w:val="18"/>
        </w:rPr>
        <w:t>ESO4_Finding1_OptionB_Rebuild_Sketch</w:t>
      </w:r>
      <w:r>
        <w:t>.</w:t>
      </w:r>
    </w:p>
    <w:p>
      <w:pPr>
        <w:pStyle w:val="Heading1"/>
      </w:pPr>
      <w:r>
        <w:t>Decision record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Decision (A / B / C)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Rationale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If A — exception approved by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 xml:space="preserve">                                        (name / role)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Reuse horizon considered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 xml:space="preserve">                                        (the decision test above)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Decided by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Date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80"/>
      </w:pPr>
    </w:p>
    <w:p>
      <w:r>
        <w:rPr>
          <w:b w:val="0"/>
          <w:i/>
          <w:sz w:val="18"/>
        </w:rPr>
        <w:t>References: eso4/docs/ESO4_Finding1_OptionB_Rebuild_Sketch (.md / .docx — the concrete Option B plan) · eso4/docs/ESO4_Gate_Review.docx (Finding 1, full analysis + what-is-lost table) · eso4/docs/ESO4_gold_layer_design.md (§3 grain &amp; keys). Everything else in ESO4 (joins, ABAT1 / Finding 5, star schema, measures) is settled — this grain ruling is the last open Gate 1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