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0"/>
        </w:rPr>
        <w:t>ESO4 — Sales Tax Reconciliation</w:t>
      </w:r>
    </w:p>
    <w:p>
      <w:pPr>
        <w:jc w:val="center"/>
      </w:pPr>
      <w:r>
        <w:rPr>
          <w:color w:val="2E5496"/>
          <w:sz w:val="34"/>
        </w:rPr>
        <w:t>Gate 1 and Gate 2 Review</w:t>
      </w:r>
    </w:p>
    <w:p>
      <w:pPr>
        <w:jc w:val="center"/>
      </w:pPr>
      <w:r>
        <w:rPr>
          <w:i/>
          <w:sz w:val="23"/>
        </w:rPr>
        <w:t>Gold Layer Design Review  ·  Report QA</w:t>
      </w:r>
    </w:p>
    <w:p>
      <w:pPr>
        <w:jc w:val="center"/>
      </w:pPr>
      <w:r>
        <w:rPr>
          <w:b/>
          <w:color w:val="70AD47"/>
          <w:sz w:val="22"/>
        </w:rPr>
        <w:t>Revision 6 — identifier .cast("long") reverted (Silver confirmed int64)</w:t>
      </w:r>
    </w:p>
    <w:p/>
    <w:tbl>
      <w:tblPr>
        <w:tblStyle w:val="LightGrid-Accent1"/>
        <w:tblW w:type="auto" w:w="0"/>
        <w:jc w:val="center"/>
        <w:tblLook w:firstColumn="1" w:firstRow="1" w:lastColumn="0" w:lastRow="0" w:noHBand="0" w:noVBand="1" w:val="04A0"/>
      </w:tblPr>
      <w:tblGrid>
        <w:gridCol w:w="4320"/>
        <w:gridCol w:w="4320"/>
      </w:tblGrid>
      <w:tr>
        <w:tc>
          <w:tcPr>
            <w:tcW w:type="dxa" w:w="1872"/>
          </w:tcPr>
          <w:p>
            <w:r/>
            <w:r>
              <w:rPr>
                <w:b/>
                <w:sz w:val="18"/>
              </w:rPr>
            </w:r>
          </w:p>
        </w:tc>
        <w:tc>
          <w:tcPr>
            <w:tcW w:type="dxa" w:w="7776"/>
          </w:tcPr>
          <w:p>
            <w:r/>
            <w:r>
              <w:rPr>
                <w:b/>
                <w:sz w:val="18"/>
              </w:rPr>
            </w:r>
          </w:p>
        </w:tc>
      </w:tr>
      <w:tr>
        <w:tc>
          <w:tcPr>
            <w:tcW w:type="dxa" w:w="1872"/>
          </w:tcPr>
          <w:p>
            <w:pPr>
              <w:spacing w:after="40"/>
            </w:pPr>
            <w:r/>
            <w:r>
              <w:rPr>
                <w:sz w:val="18"/>
              </w:rPr>
              <w:t>Report</w:t>
            </w:r>
          </w:p>
        </w:tc>
        <w:tc>
          <w:tcPr>
            <w:tcW w:type="dxa" w:w="7776"/>
          </w:tcPr>
          <w:p>
            <w:pPr>
              <w:spacing w:after="40"/>
            </w:pPr>
            <w:r/>
            <w:r>
              <w:rPr>
                <w:sz w:val="18"/>
              </w:rPr>
              <w:t>ESO4 — Sales Tax with Business Stream Summary (Avalara reconciliation); mirrors Hubble TX002</w:t>
            </w:r>
          </w:p>
        </w:tc>
      </w:tr>
      <w:tr>
        <w:tc>
          <w:tcPr>
            <w:tcW w:type="dxa" w:w="1872"/>
          </w:tcPr>
          <w:p>
            <w:pPr>
              <w:spacing w:after="40"/>
            </w:pPr>
            <w:r/>
            <w:r>
              <w:rPr>
                <w:sz w:val="18"/>
              </w:rPr>
              <w:t>Scope reviewed</w:t>
            </w:r>
          </w:p>
        </w:tc>
        <w:tc>
          <w:tcPr>
            <w:tcW w:type="dxa" w:w="7776"/>
          </w:tcPr>
          <w:p>
            <w:pPr>
              <w:spacing w:after="40"/>
            </w:pPr>
            <w:r/>
            <w:r>
              <w:rPr>
                <w:sz w:val="18"/>
              </w:rPr>
            </w:r>
            <w:r>
              <w:rPr>
                <w:rFonts w:ascii="Consolas" w:hAnsi="Consolas"/>
                <w:sz w:val="17"/>
              </w:rPr>
              <w:t>eso4/nb/</w:t>
            </w:r>
            <w:r>
              <w:rPr>
                <w:sz w:val="18"/>
              </w:rPr>
              <w:t xml:space="preserve"> (2 notebooks — fact + dim_udc; the reused </w:t>
            </w:r>
            <w:r>
              <w:rPr>
                <w:rFonts w:ascii="Consolas" w:hAnsi="Consolas"/>
                <w:sz w:val="17"/>
              </w:rPr>
              <w:t>dim_plant</w:t>
            </w:r>
            <w:r>
              <w:rPr>
                <w:sz w:val="18"/>
              </w:rPr>
              <w:t xml:space="preserve"> is built upstream), </w:t>
            </w:r>
            <w:r>
              <w:rPr>
                <w:rFonts w:ascii="Consolas" w:hAnsi="Consolas"/>
                <w:sz w:val="17"/>
              </w:rPr>
              <w:t>eso4/report/</w:t>
            </w:r>
            <w:r>
              <w:rPr>
                <w:sz w:val="18"/>
              </w:rPr>
              <w:t xml:space="preserve"> (semantic model + PBIR report), </w:t>
            </w:r>
            <w:r>
              <w:rPr>
                <w:rFonts w:ascii="Consolas" w:hAnsi="Consolas"/>
                <w:sz w:val="17"/>
              </w:rPr>
              <w:t>eso4/docs/</w:t>
            </w:r>
            <w:r>
              <w:rPr>
                <w:sz w:val="18"/>
              </w:rPr>
              <w:t xml:space="preserve"> (3 design docs), </w:t>
            </w:r>
            <w:r>
              <w:rPr>
                <w:rFonts w:ascii="Consolas" w:hAnsi="Consolas"/>
                <w:sz w:val="17"/>
              </w:rPr>
              <w:t>eso4/hubble query.txt</w:t>
            </w:r>
            <w:r>
              <w:rPr>
                <w:sz w:val="18"/>
              </w:rPr>
              <w:t xml:space="preserve">, </w:t>
            </w:r>
            <w:r>
              <w:rPr>
                <w:rFonts w:ascii="Consolas" w:hAnsi="Consolas"/>
                <w:sz w:val="17"/>
              </w:rPr>
              <w:t>eso4/converted_tables_21.json</w:t>
            </w:r>
            <w:r>
              <w:rPr>
                <w:sz w:val="18"/>
              </w:rPr>
            </w:r>
          </w:p>
        </w:tc>
      </w:tr>
      <w:tr>
        <w:tc>
          <w:tcPr>
            <w:tcW w:type="dxa" w:w="1872"/>
          </w:tcPr>
          <w:p>
            <w:pPr>
              <w:spacing w:after="40"/>
            </w:pPr>
            <w:r/>
            <w:r>
              <w:rPr>
                <w:sz w:val="18"/>
              </w:rPr>
              <w:t>Build status</w:t>
            </w:r>
          </w:p>
        </w:tc>
        <w:tc>
          <w:tcPr>
            <w:tcW w:type="dxa" w:w="7776"/>
          </w:tcPr>
          <w:p>
            <w:pPr>
              <w:spacing w:after="40"/>
            </w:pPr>
            <w:r/>
            <w:r>
              <w:rPr>
                <w:sz w:val="18"/>
              </w:rPr>
              <w:t>Code-complete; NOT yet executed on Fabric</w:t>
            </w:r>
          </w:p>
        </w:tc>
      </w:tr>
      <w:tr>
        <w:tc>
          <w:tcPr>
            <w:tcW w:type="dxa" w:w="1872"/>
          </w:tcPr>
          <w:p>
            <w:pPr>
              <w:spacing w:after="40"/>
            </w:pPr>
            <w:r/>
            <w:r>
              <w:rPr>
                <w:sz w:val="18"/>
              </w:rPr>
              <w:t>Review basis</w:t>
            </w:r>
          </w:p>
        </w:tc>
        <w:tc>
          <w:tcPr>
            <w:tcW w:type="dxa" w:w="7776"/>
          </w:tcPr>
          <w:p>
            <w:pPr>
              <w:spacing w:after="40"/>
            </w:pPr>
            <w:r/>
            <w:r>
              <w:rPr>
                <w:sz w:val="18"/>
              </w:rPr>
              <w:t>Static review of code, TMDL, and specification. No query results — see the scope limitation below.</w:t>
            </w:r>
          </w:p>
        </w:tc>
      </w:tr>
      <w:tr>
        <w:tc>
          <w:tcPr>
            <w:tcW w:type="dxa" w:w="1872"/>
          </w:tcPr>
          <w:p>
            <w:pPr>
              <w:spacing w:after="40"/>
            </w:pPr>
            <w:r/>
            <w:r>
              <w:rPr>
                <w:sz w:val="18"/>
              </w:rPr>
              <w:t>Revision 1</w:t>
            </w:r>
          </w:p>
        </w:tc>
        <w:tc>
          <w:tcPr>
            <w:tcW w:type="dxa" w:w="7776"/>
          </w:tcPr>
          <w:p>
            <w:pPr>
              <w:spacing w:after="40"/>
            </w:pPr>
            <w:r/>
            <w:r>
              <w:rPr>
                <w:sz w:val="18"/>
              </w:rPr>
              <w:t>Initial review. 7 findings raised: 3 HIGH, 3 MEDIUM, 1 LOW.</w:t>
            </w:r>
          </w:p>
        </w:tc>
      </w:tr>
      <w:tr>
        <w:tc>
          <w:tcPr>
            <w:tcW w:type="dxa" w:w="1872"/>
          </w:tcPr>
          <w:p>
            <w:pPr>
              <w:spacing w:after="40"/>
            </w:pPr>
            <w:r/>
            <w:r>
              <w:rPr>
                <w:sz w:val="18"/>
              </w:rPr>
              <w:t>Revision 2</w:t>
            </w:r>
          </w:p>
        </w:tc>
        <w:tc>
          <w:tcPr>
            <w:tcW w:type="dxa" w:w="7776"/>
          </w:tcPr>
          <w:p>
            <w:pPr>
              <w:spacing w:after="40"/>
            </w:pPr>
            <w:r/>
            <w:r>
              <w:rPr>
                <w:sz w:val="18"/>
              </w:rPr>
              <w:t>Findings 2, 3 and 4 REMEDIATED and re-verified against the amended code. Findings 5, 6 and 7 accepted as documented variances. Finding 1 remains open pending a data-owner ruling.</w:t>
            </w:r>
          </w:p>
        </w:tc>
      </w:tr>
      <w:tr>
        <w:tc>
          <w:tcPr>
            <w:tcW w:type="dxa" w:w="1872"/>
          </w:tcPr>
          <w:p>
            <w:pPr>
              <w:spacing w:after="40"/>
            </w:pPr>
            <w:r/>
            <w:r>
              <w:rPr>
                <w:sz w:val="18"/>
              </w:rPr>
              <w:t>Revision 3</w:t>
            </w:r>
          </w:p>
        </w:tc>
        <w:tc>
          <w:tcPr>
            <w:tcW w:type="dxa" w:w="7776"/>
          </w:tcPr>
          <w:p>
            <w:pPr>
              <w:spacing w:after="40"/>
            </w:pPr>
            <w:r/>
            <w:r>
              <w:rPr>
                <w:sz w:val="18"/>
              </w:rPr>
              <w:t>Finding 5 REMEDIATED (2026-07-25) — the Hubble ABAT1 search-type band is now applied to the F0101 ⋈ F0116 address lookup, as a value-qualification (not a fact-row filter), matching ESO5. Findings 6 and 7 still accepted/open; Finding 1 still open.</w:t>
            </w:r>
          </w:p>
        </w:tc>
      </w:tr>
      <w:tr>
        <w:tc>
          <w:tcPr>
            <w:tcW w:type="dxa" w:w="1872"/>
          </w:tcPr>
          <w:p>
            <w:pPr>
              <w:spacing w:after="40"/>
            </w:pPr>
            <w:r/>
            <w:r>
              <w:rPr>
                <w:sz w:val="18"/>
              </w:rPr>
              <w:t>Revision 4</w:t>
            </w:r>
          </w:p>
        </w:tc>
        <w:tc>
          <w:tcPr>
            <w:tcW w:type="dxa" w:w="7776"/>
          </w:tcPr>
          <w:p>
            <w:pPr>
              <w:spacing w:after="40"/>
            </w:pPr>
            <w:r/>
            <w:r>
              <w:rPr>
                <w:sz w:val="18"/>
              </w:rPr>
              <w:t xml:space="preserve">Notebook RESTRUCTURE (2026-07-25, no results change): streaming removed → batch builds, then aligned to the nb_silver_to_gold_eso7_v2_fact.py structure. </w:t>
            </w:r>
            <w:r>
              <w:rPr>
                <w:rFonts w:ascii="Consolas" w:hAnsi="Consolas"/>
                <w:sz w:val="17"/>
              </w:rPr>
              <w:t>transform_fact</w:t>
            </w:r>
            <w:r>
              <w:rPr>
                <w:sz w:val="18"/>
              </w:rPr>
              <w:t>→</w:t>
            </w:r>
            <w:r>
              <w:rPr>
                <w:rFonts w:ascii="Consolas" w:hAnsi="Consolas"/>
                <w:sz w:val="17"/>
              </w:rPr>
              <w:t>build_fact</w:t>
            </w:r>
            <w:r>
              <w:rPr>
                <w:sz w:val="18"/>
              </w:rPr>
              <w:t xml:space="preserve">, </w:t>
            </w:r>
            <w:r>
              <w:rPr>
                <w:rFonts w:ascii="Consolas" w:hAnsi="Consolas"/>
                <w:sz w:val="17"/>
              </w:rPr>
              <w:t>OVERWRITE</w:t>
            </w:r>
            <w:r>
              <w:rPr>
                <w:sz w:val="18"/>
              </w:rPr>
              <w:t>→</w:t>
            </w:r>
            <w:r>
              <w:rPr>
                <w:rFonts w:ascii="Consolas" w:hAnsi="Consolas"/>
                <w:sz w:val="17"/>
              </w:rPr>
              <w:t>MANUAL_OVERWRITE</w:t>
            </w:r>
            <w:r>
              <w:rPr>
                <w:sz w:val="18"/>
              </w:rPr>
              <w:t>; no more streams/handlers/checkpoints. Citations updated for the new names; the KEY evidence anchors are re-cited to the current file, the remaining line numbers + streaming-specific analysis are AS-REVIEWED — see the Rev 4 callout. No finding changed.</w:t>
            </w:r>
          </w:p>
        </w:tc>
      </w:tr>
      <w:tr>
        <w:tc>
          <w:tcPr>
            <w:tcW w:type="dxa" w:w="1872"/>
          </w:tcPr>
          <w:p>
            <w:pPr>
              <w:spacing w:after="40"/>
            </w:pPr>
            <w:r/>
            <w:r>
              <w:rPr>
                <w:sz w:val="18"/>
              </w:rPr>
              <w:t>Revision 5</w:t>
            </w:r>
          </w:p>
        </w:tc>
        <w:tc>
          <w:tcPr>
            <w:tcW w:type="dxa" w:w="7776"/>
          </w:tcPr>
          <w:p>
            <w:pPr>
              <w:spacing w:after="40"/>
            </w:pPr>
            <w:r/>
            <w:r>
              <w:rPr>
                <w:sz w:val="18"/>
              </w:rPr>
              <w:t xml:space="preserve">DIMENSION SWAP (2026-07-26, no results change): the </w:t>
            </w:r>
            <w:r>
              <w:rPr>
                <w:rFonts w:ascii="Consolas" w:hAnsi="Consolas"/>
                <w:sz w:val="17"/>
              </w:rPr>
              <w:t>plant</w:t>
            </w:r>
            <w:r>
              <w:rPr>
                <w:sz w:val="18"/>
              </w:rPr>
              <w:t xml:space="preserve"> FK now relates to the reused </w:t>
            </w:r>
            <w:r>
              <w:rPr>
                <w:rFonts w:ascii="Consolas" w:hAnsi="Consolas"/>
                <w:sz w:val="17"/>
              </w:rPr>
              <w:t>rpt.dim_plant</w:t>
            </w:r>
            <w:r>
              <w:rPr>
                <w:sz w:val="18"/>
              </w:rPr>
              <w:t xml:space="preserve"> (key </w:t>
            </w:r>
            <w:r>
              <w:rPr>
                <w:rFonts w:ascii="Consolas" w:hAnsi="Consolas"/>
                <w:sz w:val="17"/>
              </w:rPr>
              <w:t>plant_code</w:t>
            </w:r>
            <w:r>
              <w:rPr>
                <w:sz w:val="18"/>
              </w:rPr>
              <w:t xml:space="preserve"> = MCMCU — same F0006 master, built upstream). </w:t>
            </w:r>
            <w:r>
              <w:rPr>
                <w:rFonts w:ascii="Consolas" w:hAnsi="Consolas"/>
                <w:sz w:val="17"/>
              </w:rPr>
              <w:t>dim_business_unit.tmdl</w:t>
            </w:r>
            <w:r>
              <w:rPr>
                <w:sz w:val="18"/>
              </w:rPr>
              <w:t xml:space="preserve"> was removed from the model, and </w:t>
            </w:r>
            <w:r>
              <w:rPr>
                <w:rFonts w:ascii="Consolas" w:hAnsi="Consolas"/>
                <w:sz w:val="17"/>
              </w:rPr>
              <w:t>nb_eso4_gold_dim_business_unit.py</w:t>
            </w:r>
            <w:r>
              <w:rPr>
                <w:sz w:val="18"/>
              </w:rPr>
              <w:t xml:space="preserve"> was DELETED — ESO5 (its last consumer) was migrated to </w:t>
            </w:r>
            <w:r>
              <w:rPr>
                <w:rFonts w:ascii="Consolas" w:hAnsi="Consolas"/>
                <w:sz w:val="17"/>
              </w:rPr>
              <w:t>rpt.dim_plant</w:t>
            </w:r>
            <w:r>
              <w:rPr>
                <w:sz w:val="18"/>
              </w:rPr>
              <w:t xml:space="preserve"> the same day, so nothing builds or reads </w:t>
            </w:r>
            <w:r>
              <w:rPr>
                <w:rFonts w:ascii="Consolas" w:hAnsi="Consolas"/>
                <w:sz w:val="17"/>
              </w:rPr>
              <w:t>rpt.dim_business_unit</w:t>
            </w:r>
            <w:r>
              <w:rPr>
                <w:sz w:val="18"/>
              </w:rPr>
              <w:t xml:space="preserve"> any more. Report Plant Name resolves from </w:t>
            </w:r>
            <w:r>
              <w:rPr>
                <w:rFonts w:ascii="Consolas" w:hAnsi="Consolas"/>
                <w:sz w:val="17"/>
              </w:rPr>
              <w:t>dim_plant.plant_name</w:t>
            </w:r>
            <w:r>
              <w:rPr>
                <w:sz w:val="18"/>
              </w:rPr>
              <w:t xml:space="preserve"> (identical values). The fact is unchanged (same </w:t>
            </w:r>
            <w:r>
              <w:rPr>
                <w:rFonts w:ascii="Consolas" w:hAnsi="Consolas"/>
                <w:sz w:val="17"/>
              </w:rPr>
              <w:t>plant</w:t>
            </w:r>
            <w:r>
              <w:rPr>
                <w:sz w:val="18"/>
              </w:rPr>
              <w:t xml:space="preserve"> code; still reads F0006 for the business_stream calc). Plant-related citations re-pointed to </w:t>
            </w:r>
            <w:r>
              <w:rPr>
                <w:rFonts w:ascii="Consolas" w:hAnsi="Consolas"/>
                <w:sz w:val="17"/>
              </w:rPr>
              <w:t>dim_plant</w:t>
            </w:r>
            <w:r>
              <w:rPr>
                <w:sz w:val="18"/>
              </w:rPr>
              <w:t xml:space="preserve">; the Direct-Lake-rule evidence re-cited to the fact's own </w:t>
            </w:r>
            <w:r>
              <w:rPr>
                <w:rFonts w:ascii="Consolas" w:hAnsi="Consolas"/>
                <w:sz w:val="17"/>
              </w:rPr>
              <w:t>tax_status</w:t>
            </w:r>
            <w:r>
              <w:rPr>
                <w:sz w:val="18"/>
              </w:rPr>
              <w:t xml:space="preserve"> comment. No finding changed.</w:t>
            </w:r>
          </w:p>
        </w:tc>
      </w:tr>
      <w:tr>
        <w:tc>
          <w:tcPr>
            <w:tcW w:type="dxa" w:w="1872"/>
          </w:tcPr>
          <w:p>
            <w:pPr>
              <w:spacing w:after="40"/>
            </w:pPr>
            <w:r/>
            <w:r>
              <w:rPr>
                <w:sz w:val="18"/>
              </w:rPr>
              <w:t>Revision 6</w:t>
            </w:r>
          </w:p>
        </w:tc>
        <w:tc>
          <w:tcPr>
            <w:tcW w:type="dxa" w:w="7776"/>
          </w:tcPr>
          <w:p>
            <w:pPr>
              <w:spacing w:after="40"/>
            </w:pPr>
            <w:r/>
            <w:r>
              <w:rPr>
                <w:sz w:val="18"/>
              </w:rPr>
              <w:t>FINDING 4 PREMISE CORRECTED (2026-07-26, no results change): the data owner confirmed Silver stores the five JDE identifiers (</w:t>
            </w:r>
            <w:r>
              <w:rPr>
                <w:rFonts w:ascii="Consolas" w:hAnsi="Consolas"/>
                <w:sz w:val="17"/>
              </w:rPr>
              <w:t>invoice_number</w:t>
            </w:r>
            <w:r>
              <w:rPr>
                <w:sz w:val="18"/>
              </w:rPr>
              <w:t xml:space="preserve">, </w:t>
            </w:r>
            <w:r>
              <w:rPr>
                <w:rFonts w:ascii="Consolas" w:hAnsi="Consolas"/>
                <w:sz w:val="17"/>
              </w:rPr>
              <w:t>order_number</w:t>
            </w:r>
            <w:r>
              <w:rPr>
                <w:sz w:val="18"/>
              </w:rPr>
              <w:t xml:space="preserve">, </w:t>
            </w:r>
            <w:r>
              <w:rPr>
                <w:rFonts w:ascii="Consolas" w:hAnsi="Consolas"/>
                <w:sz w:val="17"/>
              </w:rPr>
              <w:t>ship_to</w:t>
            </w:r>
            <w:r>
              <w:rPr>
                <w:sz w:val="18"/>
              </w:rPr>
              <w:t xml:space="preserve">, </w:t>
            </w:r>
            <w:r>
              <w:rPr>
                <w:rFonts w:ascii="Consolas" w:hAnsi="Consolas"/>
                <w:sz w:val="17"/>
              </w:rPr>
              <w:t>sold_to</w:t>
            </w:r>
            <w:r>
              <w:rPr>
                <w:sz w:val="18"/>
              </w:rPr>
              <w:t xml:space="preserve">, </w:t>
            </w:r>
            <w:r>
              <w:rPr>
                <w:rFonts w:ascii="Consolas" w:hAnsi="Consolas"/>
                <w:sz w:val="17"/>
              </w:rPr>
              <w:t>parent_number</w:t>
            </w:r>
            <w:r>
              <w:rPr>
                <w:sz w:val="18"/>
              </w:rPr>
              <w:t xml:space="preserve">) as **int64** natively — the 'written from Silver decimals' premise behind Finding 4 was incorrect (the decimal artifact belonged to an earlier Silver schema). The defensive </w:t>
            </w:r>
            <w:r>
              <w:rPr>
                <w:rFonts w:ascii="Consolas" w:hAnsi="Consolas"/>
                <w:sz w:val="17"/>
              </w:rPr>
              <w:t>.cast("long")</w:t>
            </w:r>
            <w:r>
              <w:rPr>
                <w:sz w:val="18"/>
              </w:rPr>
              <w:t xml:space="preserve"> added in Rev 2 was therefore unnecessary and has been REVERTED so the notebook matches the old fab_25-07-2026 notebook the user runs on Fabric. The stored columns are int64 natively = the TMDL int64 declarations = the int64 </w:t>
            </w:r>
            <w:r>
              <w:rPr>
                <w:rFonts w:ascii="Consolas" w:hAnsi="Consolas"/>
                <w:sz w:val="17"/>
              </w:rPr>
              <w:t>dim_address_*.address_number</w:t>
            </w:r>
            <w:r>
              <w:rPr>
                <w:sz w:val="18"/>
              </w:rPr>
              <w:t xml:space="preserve"> PKs, so the model stays type-safe and no figure changes. Finding 4 is now resolved by native type rather than by cast.</w:t>
            </w:r>
          </w:p>
        </w:tc>
      </w:tr>
      <w:tr>
        <w:tc>
          <w:tcPr>
            <w:tcW w:type="dxa" w:w="1872"/>
          </w:tcPr>
          <w:p>
            <w:pPr>
              <w:spacing w:after="40"/>
            </w:pPr>
            <w:r/>
            <w:r>
              <w:rPr>
                <w:sz w:val="18"/>
              </w:rPr>
              <w:t>Gate 1 outcome</w:t>
            </w:r>
          </w:p>
        </w:tc>
        <w:tc>
          <w:tcPr>
            <w:tcW w:type="dxa" w:w="7776"/>
          </w:tcPr>
          <w:p>
            <w:pPr>
              <w:spacing w:after="40"/>
            </w:pPr>
            <w:r/>
            <w:r>
              <w:rPr>
                <w:sz w:val="18"/>
              </w:rPr>
              <w:t>PASS WITH FINDINGS — the 3 blocking items (2/3/4) plus Finding 5 are closed; 1 design-rule conflict still to decide (Finding 1)</w:t>
            </w:r>
          </w:p>
        </w:tc>
      </w:tr>
      <w:tr>
        <w:tc>
          <w:tcPr>
            <w:tcW w:type="dxa" w:w="1872"/>
          </w:tcPr>
          <w:p>
            <w:pPr>
              <w:spacing w:after="40"/>
            </w:pPr>
            <w:r/>
            <w:r>
              <w:rPr>
                <w:sz w:val="18"/>
              </w:rPr>
              <w:t>Gate 2 outcome</w:t>
            </w:r>
          </w:p>
        </w:tc>
        <w:tc>
          <w:tcPr>
            <w:tcW w:type="dxa" w:w="7776"/>
          </w:tcPr>
          <w:p>
            <w:pPr>
              <w:spacing w:after="40"/>
            </w:pPr>
            <w:r/>
            <w:r>
              <w:rPr>
                <w:sz w:val="18"/>
              </w:rPr>
              <w:t>BLOCKED — cannot be assessed until the pipeline has run</w:t>
            </w:r>
          </w:p>
        </w:tc>
      </w:tr>
    </w:tbl>
    <w:p>
      <w:pPr>
        <w:spacing w:after="80"/>
      </w:pPr>
    </w:p>
    <w:p/>
    <w:p>
      <w:pPr>
        <w:spacing w:before="120" w:after="160"/>
        <w:ind w:left="144"/>
        <w:shd w:val="clear" w:fill="E2EFDA"/>
        <w:pBdr>
          <w:top w:val="single" w:sz="4" w:space="4" w:color="70AD47"/>
          <w:left w:val="single" w:sz="4" w:space="4" w:color="70AD47"/>
          <w:bottom w:val="single" w:sz="4" w:space="4" w:color="70AD47"/>
          <w:right w:val="single" w:sz="4" w:space="4" w:color="70AD47"/>
        </w:pBdr>
      </w:pPr>
      <w:r>
        <w:rPr>
          <w:b/>
          <w:sz w:val="20"/>
        </w:rPr>
        <w:t xml:space="preserve">What changed in Revision 2.  </w:t>
      </w:r>
      <w:r>
        <w:rPr>
          <w:sz w:val="20"/>
        </w:rPr>
        <w:t xml:space="preserve">The three findings that blocked the first load — the Direct Lake calculated column (2), the non-deterministic address pick (3), and the five uncast decimal columns (4) — have been fixed in </w:t>
      </w:r>
      <w:r>
        <w:rPr>
          <w:rFonts w:ascii="Consolas" w:hAnsi="Consolas"/>
          <w:sz w:val="18"/>
        </w:rPr>
        <w:t>nb_eso4_gold_fact_sales_tax_reconciliation.py</w:t>
      </w:r>
      <w:r>
        <w:rPr>
          <w:sz w:val="20"/>
        </w:rPr>
        <w:t xml:space="preserve"> and the fact TMDL. Every claim below was re-verified against the amended source, not carried over from Revision 1. The fact's stored schema changed as a result: 24 business columns and 26 stored columns, up from 23 and 25. One additional hazard was discovered WHILE fixing Finding 4 and is documented in section 1.6 — it would have silently duplicated fact rows on every update.</w:t>
      </w:r>
    </w:p>
    <w:p/>
    <w:p>
      <w:pPr>
        <w:spacing w:before="120" w:after="160"/>
        <w:ind w:left="144"/>
        <w:shd w:val="clear" w:fill="E2EFDA"/>
        <w:pBdr>
          <w:top w:val="single" w:sz="4" w:space="4" w:color="70AD47"/>
          <w:left w:val="single" w:sz="4" w:space="4" w:color="70AD47"/>
          <w:bottom w:val="single" w:sz="4" w:space="4" w:color="70AD47"/>
          <w:right w:val="single" w:sz="4" w:space="4" w:color="70AD47"/>
        </w:pBdr>
      </w:pPr>
      <w:r>
        <w:rPr>
          <w:b/>
          <w:sz w:val="20"/>
        </w:rPr>
        <w:t xml:space="preserve">What changed in Revision 3 (2026-07-25).  </w:t>
      </w:r>
      <w:r>
        <w:rPr>
          <w:sz w:val="20"/>
        </w:rPr>
        <w:t xml:space="preserve">Finding 5 — the omitted ABAT1 search-type screen — has been remediated. The fact notebook's address collapse now applies Hubble's band </w:t>
      </w:r>
      <w:r>
        <w:rPr>
          <w:rFonts w:ascii="Consolas" w:hAnsi="Consolas"/>
          <w:sz w:val="18"/>
        </w:rPr>
        <w:t>WHERE (ABAT1 BETWEEN 'A  ' AND 'P  ') OR (ABAT1 BETWEEN 'R  ' AND 'ZZZ')</w:t>
      </w:r>
      <w:r>
        <w:rPr>
          <w:sz w:val="20"/>
        </w:rPr>
        <w:t xml:space="preserve"> (excludes the 'Q' band) to the F0101 ⋈ F0116 lookup ONLY, exactly as ESO5 does. Because that lookup is LEFT-joined to F4211, an out-of-band ship-to keeps its fact row and simply gets NULL sic_code / jurisdiction / county — the same result as Hubble's LEFT-join-of-a-WHERE-filtered subquery. No F4211 row is dropped, so the Gold 'no business filters' rule still holds, and ESO4 now matches Hubble on business_stream / jurisdiction / county. This is a single edit in </w:t>
      </w:r>
      <w:r>
        <w:rPr>
          <w:rFonts w:ascii="Consolas" w:hAnsi="Consolas"/>
          <w:sz w:val="18"/>
        </w:rPr>
        <w:t>transform_fact</w:t>
      </w:r>
      <w:r>
        <w:rPr>
          <w:sz w:val="20"/>
        </w:rPr>
        <w:t xml:space="preserve"> (the one build path used by both the seed and the CDC recompute). It changes stored ATTRIBUTE VALUES, so it requires a MANUAL_OVERWRITE=True reload — but nothing has run yet, so there is no migration. Still STATIC: the ABAT1 variance is now expected to be ZERO at Gate 2, but that remains unverified until the pipeline runs.</w:t>
      </w:r>
    </w:p>
    <w:p/>
    <w:p>
      <w:pPr>
        <w:spacing w:before="120" w:after="160"/>
        <w:ind w:left="144"/>
        <w:shd w:val="clear" w:fill="E2EFDA"/>
        <w:pBdr>
          <w:top w:val="single" w:sz="4" w:space="4" w:color="70AD47"/>
          <w:left w:val="single" w:sz="4" w:space="4" w:color="70AD47"/>
          <w:bottom w:val="single" w:sz="4" w:space="4" w:color="70AD47"/>
          <w:right w:val="single" w:sz="4" w:space="4" w:color="70AD47"/>
        </w:pBdr>
      </w:pPr>
      <w:r>
        <w:rPr>
          <w:b/>
          <w:sz w:val="20"/>
        </w:rPr>
        <w:t xml:space="preserve">What changed in Revision 4 (2026-07-25) — READ before trusting any line number.  </w:t>
      </w:r>
      <w:r>
        <w:rPr>
          <w:sz w:val="20"/>
        </w:rPr>
        <w:t xml:space="preserve">After Rev 3 the three notebooks were restructured (no change to any transform or result): FIRST streaming was removed — they are now plain BATCH builds (read the full Silver snapshot → build → overwrite-write; no Change Data Feed, foreachBatch, checkpoints, init_ver, recompute_fact, or stream handlers) — THEN their structure was aligned to nb_silver_to_gold_eso7_v2_fact.py (banner + numbered sections, SILVER_LH/GOLD_LH + sname()/gname(), a build_fact()/build_dim*() builder, a FACT_SOURCES list + source preflight, and a JSON exit payload). Two consequences for this review: (1) NAMES — </w:t>
      </w:r>
      <w:r>
        <w:rPr>
          <w:rFonts w:ascii="Consolas" w:hAnsi="Consolas"/>
          <w:sz w:val="18"/>
        </w:rPr>
        <w:t>transform_fact</w:t>
      </w:r>
      <w:r>
        <w:rPr>
          <w:sz w:val="20"/>
        </w:rPr>
        <w:t xml:space="preserve"> is now </w:t>
      </w:r>
      <w:r>
        <w:rPr>
          <w:rFonts w:ascii="Consolas" w:hAnsi="Consolas"/>
          <w:sz w:val="18"/>
        </w:rPr>
        <w:t>build_fact</w:t>
      </w:r>
      <w:r>
        <w:rPr>
          <w:sz w:val="20"/>
        </w:rPr>
        <w:t xml:space="preserve"> and the </w:t>
      </w:r>
      <w:r>
        <w:rPr>
          <w:rFonts w:ascii="Consolas" w:hAnsi="Consolas"/>
          <w:sz w:val="18"/>
        </w:rPr>
        <w:t>OVERWRITE</w:t>
      </w:r>
      <w:r>
        <w:rPr>
          <w:sz w:val="20"/>
        </w:rPr>
        <w:t xml:space="preserve"> flag is now </w:t>
      </w:r>
      <w:r>
        <w:rPr>
          <w:rFonts w:ascii="Consolas" w:hAnsi="Consolas"/>
          <w:sz w:val="18"/>
        </w:rPr>
        <w:t>MANUAL_OVERWRITE</w:t>
      </w:r>
      <w:r>
        <w:rPr>
          <w:sz w:val="20"/>
        </w:rPr>
        <w:t xml:space="preserve">; the current-tense citations below use the new names. (2) LINE NUMBERS — the KEY evidence anchors (the grain FACT_GROUP_BY_COLS + GROUP BY, the address collapse + ABAT1 band, the Business Stream CASE, and the inferred-value confirm-list in 'Gate 2 — what must happen') have been RE-CITED to the CURRENT file. The REMAINING </w:t>
      </w:r>
      <w:r>
        <w:rPr>
          <w:rFonts w:ascii="Consolas" w:hAnsi="Consolas"/>
          <w:sz w:val="18"/>
        </w:rPr>
        <w:t>lines N–M</w:t>
      </w:r>
      <w:r>
        <w:rPr>
          <w:sz w:val="20"/>
        </w:rPr>
        <w:t xml:space="preserve"> citations, and every passage about CDF / foreachBatch / recompute-by-scope / checkpoints / the 'both stream handlers' / the section 1.6 duplicate-key hazard / the 'once streaming is live' checks, describe the streaming version that was audited, NOT the current batch code. The BUSINESS fixes all persist verbatim in the batch build (the physical tax_status, the latest-effective address window, the five .cast("long"), and the ABAT1 band). NOTABLY, section 1.6's duplicate-row-on-update hazard is now ELIMINATED, not merely mitigated: the invoice_number cast lives in ONE place (build_fact) — there are no stream handlers left to fall out of lockstep, and a batch overwrite cannot append duplicates. No finding's status changed; the code re-verification stands.</w:t>
      </w:r>
    </w:p>
    <w:p/>
    <w:p>
      <w:pPr>
        <w:spacing w:before="120" w:after="160"/>
        <w:ind w:left="144"/>
        <w:shd w:val="clear" w:fill="E2EFDA"/>
        <w:pBdr>
          <w:top w:val="single" w:sz="4" w:space="4" w:color="70AD47"/>
          <w:left w:val="single" w:sz="4" w:space="4" w:color="70AD47"/>
          <w:bottom w:val="single" w:sz="4" w:space="4" w:color="70AD47"/>
          <w:right w:val="single" w:sz="4" w:space="4" w:color="70AD47"/>
        </w:pBdr>
      </w:pPr>
      <w:r>
        <w:rPr>
          <w:b/>
          <w:sz w:val="20"/>
        </w:rPr>
        <w:t xml:space="preserve">What changed in Revision 5 (2026-07-26) — dimension swap, no results change.  </w:t>
      </w:r>
      <w:r>
        <w:rPr>
          <w:sz w:val="20"/>
        </w:rPr>
        <w:t xml:space="preserve">ESO4's </w:t>
      </w:r>
      <w:r>
        <w:rPr>
          <w:rFonts w:ascii="Consolas" w:hAnsi="Consolas"/>
          <w:sz w:val="18"/>
        </w:rPr>
        <w:t>dim_business_unit.tmdl</w:t>
      </w:r>
      <w:r>
        <w:rPr>
          <w:sz w:val="20"/>
        </w:rPr>
        <w:t xml:space="preserve"> was REMOVED from the semantic model. The </w:t>
      </w:r>
      <w:r>
        <w:rPr>
          <w:rFonts w:ascii="Consolas" w:hAnsi="Consolas"/>
          <w:sz w:val="18"/>
        </w:rPr>
        <w:t>plant</w:t>
      </w:r>
      <w:r>
        <w:rPr>
          <w:sz w:val="20"/>
        </w:rPr>
        <w:t xml:space="preserve"> FK now relates to the existing reused Gold dim </w:t>
      </w:r>
      <w:r>
        <w:rPr>
          <w:rFonts w:ascii="Consolas" w:hAnsi="Consolas"/>
          <w:sz w:val="18"/>
        </w:rPr>
        <w:t>rpt.dim_plant</w:t>
      </w:r>
      <w:r>
        <w:rPr>
          <w:sz w:val="20"/>
        </w:rPr>
        <w:t xml:space="preserve"> (key </w:t>
      </w:r>
      <w:r>
        <w:rPr>
          <w:rFonts w:ascii="Consolas" w:hAnsi="Consolas"/>
          <w:sz w:val="18"/>
        </w:rPr>
        <w:t>plant_code</w:t>
      </w:r>
      <w:r>
        <w:rPr>
          <w:sz w:val="20"/>
        </w:rPr>
        <w:t xml:space="preserve"> = MCMCU) — the same F0006 business-unit/plant master, already built by another job, so ESO4 no longer models a business-unit dim of its own and its pipeline is now TWO notebooks (fact + dim_udc). The report's Plant Name resolves from </w:t>
      </w:r>
      <w:r>
        <w:rPr>
          <w:rFonts w:ascii="Consolas" w:hAnsi="Consolas"/>
          <w:sz w:val="18"/>
        </w:rPr>
        <w:t>dim_plant.plant_name</w:t>
      </w:r>
      <w:r>
        <w:rPr>
          <w:sz w:val="20"/>
        </w:rPr>
        <w:t xml:space="preserve"> (identical values — same F0006 MCDL01 source); the plant's business-stream code (MCRP20) is available on </w:t>
      </w:r>
      <w:r>
        <w:rPr>
          <w:rFonts w:ascii="Consolas" w:hAnsi="Consolas"/>
          <w:sz w:val="18"/>
        </w:rPr>
        <w:t>dim_plant.category_code_cost_ct_020</w:t>
      </w:r>
      <w:r>
        <w:rPr>
          <w:sz w:val="20"/>
        </w:rPr>
        <w:t xml:space="preserve">. The FACT is unchanged: it still carries the same </w:t>
      </w:r>
      <w:r>
        <w:rPr>
          <w:rFonts w:ascii="Consolas" w:hAnsi="Consolas"/>
          <w:sz w:val="18"/>
        </w:rPr>
        <w:t>plant</w:t>
      </w:r>
      <w:r>
        <w:rPr>
          <w:sz w:val="20"/>
        </w:rPr>
        <w:t xml:space="preserve"> FK code and still reads F0006 for the </w:t>
      </w:r>
      <w:r>
        <w:rPr>
          <w:rFonts w:ascii="Consolas" w:hAnsi="Consolas"/>
          <w:sz w:val="18"/>
        </w:rPr>
        <w:t>business_stream</w:t>
      </w:r>
      <w:r>
        <w:rPr>
          <w:sz w:val="20"/>
        </w:rPr>
        <w:t xml:space="preserve"> calc — only the dimension the FK points at changed, so every figure is identical. In this review, plant-relationship citations were re-pointed to </w:t>
      </w:r>
      <w:r>
        <w:rPr>
          <w:rFonts w:ascii="Consolas" w:hAnsi="Consolas"/>
          <w:sz w:val="18"/>
        </w:rPr>
        <w:t>dim_plant</w:t>
      </w:r>
      <w:r>
        <w:rPr>
          <w:sz w:val="20"/>
        </w:rPr>
        <w:t xml:space="preserve">, and the Direct-Lake-rule evidence (Finding 2) — formerly the dim notebook's </w:t>
      </w:r>
      <w:r>
        <w:rPr>
          <w:rFonts w:ascii="Consolas" w:hAnsi="Consolas"/>
          <w:sz w:val="18"/>
        </w:rPr>
        <w:t>business_unit_display</w:t>
      </w:r>
      <w:r>
        <w:rPr>
          <w:sz w:val="20"/>
        </w:rPr>
        <w:t xml:space="preserve"> comment — was re-cited to the fact notebook's own </w:t>
      </w:r>
      <w:r>
        <w:rPr>
          <w:rFonts w:ascii="Consolas" w:hAnsi="Consolas"/>
          <w:sz w:val="18"/>
        </w:rPr>
        <w:t>tax_status</w:t>
      </w:r>
      <w:r>
        <w:rPr>
          <w:sz w:val="20"/>
        </w:rPr>
        <w:t xml:space="preserve"> comment, which states the same rule in the file under review. </w:t>
      </w:r>
      <w:r>
        <w:rPr>
          <w:rFonts w:ascii="Consolas" w:hAnsi="Consolas"/>
          <w:sz w:val="18"/>
        </w:rPr>
        <w:t>nb_eso4_gold_dim_business_unit.py</w:t>
      </w:r>
      <w:r>
        <w:rPr>
          <w:sz w:val="20"/>
        </w:rPr>
        <w:t xml:space="preserve"> and its TMDL were DELETED — ESO5, the only other consumer of </w:t>
      </w:r>
      <w:r>
        <w:rPr>
          <w:rFonts w:ascii="Consolas" w:hAnsi="Consolas"/>
          <w:sz w:val="18"/>
        </w:rPr>
        <w:t>rpt.dim_business_unit</w:t>
      </w:r>
      <w:r>
        <w:rPr>
          <w:sz w:val="20"/>
        </w:rPr>
        <w:t xml:space="preserve">, was migrated to </w:t>
      </w:r>
      <w:r>
        <w:rPr>
          <w:rFonts w:ascii="Consolas" w:hAnsi="Consolas"/>
          <w:sz w:val="18"/>
        </w:rPr>
        <w:t>rpt.dim_plant</w:t>
      </w:r>
      <w:r>
        <w:rPr>
          <w:sz w:val="20"/>
        </w:rPr>
        <w:t xml:space="preserve"> the same day, so nothing builds or reads that table any more (an existing Delta table from a prior run would be orphaned and can be dropped). No finding's status changed.</w:t>
      </w:r>
    </w:p>
    <w:p>
      <w:pPr>
        <w:spacing w:before="120" w:after="160"/>
        <w:ind w:left="144"/>
        <w:shd w:val="clear" w:fill="E2EFDA"/>
        <w:pBdr>
          <w:top w:val="single" w:sz="4" w:space="4" w:color="70AD47"/>
          <w:left w:val="single" w:sz="4" w:space="4" w:color="70AD47"/>
          <w:bottom w:val="single" w:sz="4" w:space="4" w:color="70AD47"/>
          <w:right w:val="single" w:sz="4" w:space="4" w:color="70AD47"/>
        </w:pBdr>
      </w:pPr>
      <w:r>
        <w:rPr>
          <w:b/>
          <w:sz w:val="20"/>
        </w:rPr>
        <w:t xml:space="preserve">What changed in Revision 6 (2026-07-26) — Finding 4 premise corrected, no results change.  </w:t>
      </w:r>
      <w:r>
        <w:rPr>
          <w:sz w:val="20"/>
        </w:rPr>
        <w:t>Finding 4 was raised on the belief that Silver wrote the five JDE identifiers (</w:t>
      </w:r>
      <w:r>
        <w:rPr>
          <w:rFonts w:ascii="Consolas" w:hAnsi="Consolas"/>
          <w:sz w:val="18"/>
        </w:rPr>
        <w:t>invoice_number</w:t>
      </w:r>
      <w:r>
        <w:rPr>
          <w:sz w:val="20"/>
        </w:rPr>
        <w:t xml:space="preserve">, </w:t>
      </w:r>
      <w:r>
        <w:rPr>
          <w:rFonts w:ascii="Consolas" w:hAnsi="Consolas"/>
          <w:sz w:val="18"/>
        </w:rPr>
        <w:t>order_number</w:t>
      </w:r>
      <w:r>
        <w:rPr>
          <w:sz w:val="20"/>
        </w:rPr>
        <w:t xml:space="preserve">, </w:t>
      </w:r>
      <w:r>
        <w:rPr>
          <w:rFonts w:ascii="Consolas" w:hAnsi="Consolas"/>
          <w:sz w:val="18"/>
        </w:rPr>
        <w:t>ship_to</w:t>
      </w:r>
      <w:r>
        <w:rPr>
          <w:sz w:val="20"/>
        </w:rPr>
        <w:t xml:space="preserve">, </w:t>
      </w:r>
      <w:r>
        <w:rPr>
          <w:rFonts w:ascii="Consolas" w:hAnsi="Consolas"/>
          <w:sz w:val="18"/>
        </w:rPr>
        <w:t>sold_to</w:t>
      </w:r>
      <w:r>
        <w:rPr>
          <w:sz w:val="20"/>
        </w:rPr>
        <w:t xml:space="preserve">, </w:t>
      </w:r>
      <w:r>
        <w:rPr>
          <w:rFonts w:ascii="Consolas" w:hAnsi="Consolas"/>
          <w:sz w:val="18"/>
        </w:rPr>
        <w:t>parent_number</w:t>
      </w:r>
      <w:r>
        <w:rPr>
          <w:sz w:val="20"/>
        </w:rPr>
        <w:t xml:space="preserve">) as decimals, and Rev 2 'resolved' it by adding </w:t>
      </w:r>
      <w:r>
        <w:rPr>
          <w:rFonts w:ascii="Consolas" w:hAnsi="Consolas"/>
          <w:sz w:val="18"/>
        </w:rPr>
        <w:t>.cast("long")</w:t>
      </w:r>
      <w:r>
        <w:rPr>
          <w:sz w:val="20"/>
        </w:rPr>
        <w:t xml:space="preserve"> to each. The DATA OWNER has since confirmed Silver stores all five as int64 natively — the decimal artifact the review saw belonged to an earlier Silver schema, not the current one. The casts were therefore unnecessary and have been REVERTED, so the notebook now matches the old fab_25-07-2026 notebook the user runs on Fabric. Because the stored columns are int64 natively, they still equal the TMDL's int64 declarations and the int64 </w:t>
      </w:r>
      <w:r>
        <w:rPr>
          <w:rFonts w:ascii="Consolas" w:hAnsi="Consolas"/>
          <w:sz w:val="18"/>
        </w:rPr>
        <w:t>dim_address_*.address_number</w:t>
      </w:r>
      <w:r>
        <w:rPr>
          <w:sz w:val="20"/>
        </w:rPr>
        <w:t xml:space="preserve"> PKs — the model is type-safe and every figure is identical. Finding 4 is now RESOLVED BY NATIVE TYPE. The section-1.6 CDC-propagation concern is moot (there is no projection cast to propagate), and ESO4 is a batch build with no stream handlers regardless. No other finding changed.</w:t>
      </w:r>
    </w:p>
    <w:p/>
    <w:p>
      <w:pPr>
        <w:spacing w:before="120" w:after="160"/>
        <w:ind w:left="144"/>
        <w:shd w:val="clear" w:fill="FBE4E4"/>
        <w:pBdr>
          <w:top w:val="single" w:sz="4" w:space="4" w:color="C00000"/>
          <w:left w:val="single" w:sz="4" w:space="4" w:color="C00000"/>
          <w:bottom w:val="single" w:sz="4" w:space="4" w:color="C00000"/>
          <w:right w:val="single" w:sz="4" w:space="4" w:color="C00000"/>
        </w:pBdr>
      </w:pPr>
      <w:r>
        <w:rPr>
          <w:b/>
          <w:sz w:val="20"/>
        </w:rPr>
        <w:t xml:space="preserve">Scope limitation — please read before relying on this document.  </w:t>
      </w:r>
      <w:r>
        <w:rPr>
          <w:sz w:val="20"/>
        </w:rPr>
        <w:t>The ESO4 pipeline has never been executed on Fabric. No Gold table exists, no row has been produced, and no figure has been compared with Hubble. Everything in this review is therefore a STATIC assessment: it is what can be established by reading the code, the TMDL, the specification and the source metadata. Gate 1's design questions can largely be answered this way. Gate 2's questions — reconciliation, slicer behaviour, visual correctness, publishing — fundamentally cannot: they require a running pipeline and a report open in the Service. Nothing in this document should be read as a statement that ESO4's numbers have been verified. They have not.</w:t>
      </w:r>
    </w:p>
    <w:p>
      <w:r>
        <w:br w:type="page"/>
      </w:r>
    </w:p>
    <w:p>
      <w:pPr>
        <w:pStyle w:val="Heading1"/>
      </w:pPr>
      <w:r>
        <w:t>Executive summary</w:t>
      </w:r>
    </w:p>
    <w:p>
      <w:pPr>
        <w:pStyle w:val="Heading2"/>
      </w:pPr>
      <w:r>
        <w:t>Verdicts at a glance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
              <w:rPr>
                <w:b/>
                <w:sz w:val="18"/>
              </w:rPr>
              <w:t>Gate</w:t>
            </w:r>
          </w:p>
        </w:tc>
        <w:tc>
          <w:tcPr>
            <w:tcW w:type="dxa" w:w="4320"/>
          </w:tcPr>
          <w:p>
            <w:r/>
            <w:r>
              <w:rPr>
                <w:b/>
                <w:sz w:val="18"/>
              </w:rPr>
              <w:t>Check</w:t>
            </w:r>
          </w:p>
        </w:tc>
        <w:tc>
          <w:tcPr>
            <w:tcW w:type="dxa" w:w="1152"/>
          </w:tcPr>
          <w:p>
            <w:r/>
            <w:r>
              <w:rPr>
                <w:b/>
                <w:sz w:val="18"/>
              </w:rPr>
              <w:t>Rev 1</w:t>
            </w:r>
          </w:p>
        </w:tc>
        <w:tc>
          <w:tcPr>
            <w:tcW w:type="dxa" w:w="3600"/>
          </w:tcPr>
          <w:p>
            <w:r/>
            <w:r>
              <w:rPr>
                <w:b/>
                <w:sz w:val="18"/>
              </w:rPr>
              <w:t>Rev 2 verdict</w:t>
            </w:r>
          </w:p>
        </w:tc>
      </w:tr>
      <w:tr>
        <w:tc>
          <w:tcPr>
            <w:tcW w:type="dxa" w:w="576"/>
          </w:tcPr>
          <w:p>
            <w:pPr>
              <w:spacing w:after="40"/>
            </w:pPr>
            <w:r/>
            <w:r>
              <w:rPr>
                <w:sz w:val="17"/>
              </w:rPr>
              <w:t>1</w:t>
            </w:r>
          </w:p>
        </w:tc>
        <w:tc>
          <w:tcPr>
            <w:tcW w:type="dxa" w:w="4320"/>
          </w:tcPr>
          <w:p>
            <w:pPr>
              <w:spacing w:after="40"/>
            </w:pPr>
            <w:r/>
            <w:r>
              <w:rPr>
                <w:sz w:val="17"/>
              </w:rPr>
              <w:t>Grain clearly defined and documented</w:t>
            </w:r>
          </w:p>
        </w:tc>
        <w:tc>
          <w:tcPr>
            <w:tcW w:type="dxa" w:w="1152"/>
          </w:tcPr>
          <w:p>
            <w:pPr>
              <w:spacing w:after="40"/>
            </w:pPr>
            <w:r/>
            <w:r>
              <w:rPr>
                <w:sz w:val="17"/>
              </w:rPr>
              <w:t>PASS</w:t>
            </w:r>
          </w:p>
        </w:tc>
        <w:tc>
          <w:tcPr>
            <w:tcW w:type="dxa" w:w="3600"/>
          </w:tcPr>
          <w:p>
            <w:pPr>
              <w:spacing w:after="40"/>
            </w:pPr>
            <w:r/>
            <w:r>
              <w:rPr>
                <w:sz w:val="17"/>
              </w:rPr>
              <w:t>PASS</w:t>
            </w:r>
          </w:p>
        </w:tc>
      </w:tr>
      <w:tr>
        <w:tc>
          <w:tcPr>
            <w:tcW w:type="dxa" w:w="576"/>
          </w:tcPr>
          <w:p>
            <w:pPr>
              <w:spacing w:after="40"/>
            </w:pPr>
            <w:r/>
            <w:r>
              <w:rPr>
                <w:sz w:val="17"/>
              </w:rPr>
              <w:t>1</w:t>
            </w:r>
          </w:p>
        </w:tc>
        <w:tc>
          <w:tcPr>
            <w:tcW w:type="dxa" w:w="4320"/>
          </w:tcPr>
          <w:p>
            <w:pPr>
              <w:spacing w:after="40"/>
            </w:pPr>
            <w:r/>
            <w:r>
              <w:rPr>
                <w:sz w:val="17"/>
              </w:rPr>
              <w:t>Star schema — clean fact/dim split, no fan-out or double-counting</w:t>
            </w:r>
          </w:p>
        </w:tc>
        <w:tc>
          <w:tcPr>
            <w:tcW w:type="dxa" w:w="1152"/>
          </w:tcPr>
          <w:p>
            <w:pPr>
              <w:spacing w:after="40"/>
            </w:pPr>
            <w:r/>
            <w:r>
              <w:rPr>
                <w:sz w:val="17"/>
              </w:rPr>
              <w:t>PWF</w:t>
            </w:r>
          </w:p>
        </w:tc>
        <w:tc>
          <w:tcPr>
            <w:tcW w:type="dxa" w:w="3600"/>
          </w:tcPr>
          <w:p>
            <w:pPr>
              <w:spacing w:after="40"/>
            </w:pPr>
            <w:r/>
            <w:r>
              <w:rPr>
                <w:sz w:val="17"/>
              </w:rPr>
              <w:t>PASS — Finding 3 resolved</w:t>
            </w:r>
          </w:p>
        </w:tc>
      </w:tr>
      <w:tr>
        <w:tc>
          <w:tcPr>
            <w:tcW w:type="dxa" w:w="576"/>
          </w:tcPr>
          <w:p>
            <w:pPr>
              <w:spacing w:after="40"/>
            </w:pPr>
            <w:r/>
            <w:r>
              <w:rPr>
                <w:sz w:val="17"/>
              </w:rPr>
              <w:t>1</w:t>
            </w:r>
          </w:p>
        </w:tc>
        <w:tc>
          <w:tcPr>
            <w:tcW w:type="dxa" w:w="4320"/>
          </w:tcPr>
          <w:p>
            <w:pPr>
              <w:spacing w:after="40"/>
            </w:pPr>
            <w:r/>
            <w:r>
              <w:rPr>
                <w:sz w:val="17"/>
              </w:rPr>
              <w:t>Keys and relationships accurate, no ambiguous joins</w:t>
            </w:r>
          </w:p>
        </w:tc>
        <w:tc>
          <w:tcPr>
            <w:tcW w:type="dxa" w:w="1152"/>
          </w:tcPr>
          <w:p>
            <w:pPr>
              <w:spacing w:after="40"/>
            </w:pPr>
            <w:r/>
            <w:r>
              <w:rPr>
                <w:sz w:val="17"/>
              </w:rPr>
              <w:t>PWF</w:t>
            </w:r>
          </w:p>
        </w:tc>
        <w:tc>
          <w:tcPr>
            <w:tcW w:type="dxa" w:w="3600"/>
          </w:tcPr>
          <w:p>
            <w:pPr>
              <w:spacing w:after="40"/>
            </w:pPr>
            <w:r/>
            <w:r>
              <w:rPr>
                <w:sz w:val="17"/>
              </w:rPr>
              <w:t>PASS WITH FINDINGS — strengthened by Finding 4's fix; RI still unverified</w:t>
            </w:r>
          </w:p>
        </w:tc>
      </w:tr>
      <w:tr>
        <w:tc>
          <w:tcPr>
            <w:tcW w:type="dxa" w:w="576"/>
          </w:tcPr>
          <w:p>
            <w:pPr>
              <w:spacing w:after="40"/>
            </w:pPr>
            <w:r/>
            <w:r>
              <w:rPr>
                <w:sz w:val="17"/>
              </w:rPr>
              <w:t>1</w:t>
            </w:r>
          </w:p>
        </w:tc>
        <w:tc>
          <w:tcPr>
            <w:tcW w:type="dxa" w:w="4320"/>
          </w:tcPr>
          <w:p>
            <w:pPr>
              <w:spacing w:after="40"/>
            </w:pPr>
            <w:r/>
            <w:r>
              <w:rPr>
                <w:sz w:val="17"/>
              </w:rPr>
              <w:t>Measures and business logic align with spec and reconcile to source</w:t>
            </w:r>
          </w:p>
        </w:tc>
        <w:tc>
          <w:tcPr>
            <w:tcW w:type="dxa" w:w="1152"/>
          </w:tcPr>
          <w:p>
            <w:pPr>
              <w:spacing w:after="40"/>
            </w:pPr>
            <w:r/>
            <w:r>
              <w:rPr>
                <w:sz w:val="17"/>
              </w:rPr>
              <w:t>PWF</w:t>
            </w:r>
          </w:p>
        </w:tc>
        <w:tc>
          <w:tcPr>
            <w:tcW w:type="dxa" w:w="3600"/>
          </w:tcPr>
          <w:p>
            <w:pPr>
              <w:spacing w:after="40"/>
            </w:pPr>
            <w:r/>
            <w:r>
              <w:rPr>
                <w:sz w:val="17"/>
              </w:rPr>
              <w:t>PASS WITH FINDINGS — unchanged; reconciliation still untested</w:t>
            </w:r>
          </w:p>
        </w:tc>
      </w:tr>
      <w:tr>
        <w:tc>
          <w:tcPr>
            <w:tcW w:type="dxa" w:w="576"/>
          </w:tcPr>
          <w:p>
            <w:pPr>
              <w:spacing w:after="40"/>
            </w:pPr>
            <w:r/>
            <w:r>
              <w:rPr>
                <w:sz w:val="17"/>
              </w:rPr>
              <w:t>1</w:t>
            </w:r>
          </w:p>
        </w:tc>
        <w:tc>
          <w:tcPr>
            <w:tcW w:type="dxa" w:w="4320"/>
          </w:tcPr>
          <w:p>
            <w:pPr>
              <w:spacing w:after="40"/>
            </w:pPr>
            <w:r/>
            <w:r>
              <w:rPr>
                <w:sz w:val="17"/>
              </w:rPr>
              <w:t>Naming, column names and data types clean and consistent</w:t>
            </w:r>
          </w:p>
        </w:tc>
        <w:tc>
          <w:tcPr>
            <w:tcW w:type="dxa" w:w="1152"/>
          </w:tcPr>
          <w:p>
            <w:pPr>
              <w:spacing w:after="40"/>
            </w:pPr>
            <w:r/>
            <w:r>
              <w:rPr>
                <w:sz w:val="17"/>
              </w:rPr>
              <w:t>PWF</w:t>
            </w:r>
          </w:p>
        </w:tc>
        <w:tc>
          <w:tcPr>
            <w:tcW w:type="dxa" w:w="3600"/>
          </w:tcPr>
          <w:p>
            <w:pPr>
              <w:spacing w:after="40"/>
            </w:pPr>
            <w:r/>
            <w:r>
              <w:rPr>
                <w:sz w:val="17"/>
              </w:rPr>
              <w:t>PASS — Findings 2 and 4 resolved</w:t>
            </w:r>
          </w:p>
        </w:tc>
      </w:tr>
      <w:tr>
        <w:tc>
          <w:tcPr>
            <w:tcW w:type="dxa" w:w="576"/>
          </w:tcPr>
          <w:p>
            <w:pPr>
              <w:spacing w:after="40"/>
            </w:pPr>
            <w:r/>
            <w:r>
              <w:rPr>
                <w:sz w:val="17"/>
              </w:rPr>
              <w:t>1</w:t>
            </w:r>
          </w:p>
        </w:tc>
        <w:tc>
          <w:tcPr>
            <w:tcW w:type="dxa" w:w="4320"/>
          </w:tcPr>
          <w:p>
            <w:pPr>
              <w:spacing w:after="40"/>
            </w:pPr>
            <w:r/>
            <w:r>
              <w:rPr>
                <w:sz w:val="17"/>
              </w:rPr>
              <w:t>Incremental loading and historical data handled correctly</w:t>
            </w:r>
          </w:p>
        </w:tc>
        <w:tc>
          <w:tcPr>
            <w:tcW w:type="dxa" w:w="1152"/>
          </w:tcPr>
          <w:p>
            <w:pPr>
              <w:spacing w:after="40"/>
            </w:pPr>
            <w:r/>
            <w:r>
              <w:rPr>
                <w:sz w:val="17"/>
              </w:rPr>
              <w:t>PWF</w:t>
            </w:r>
          </w:p>
        </w:tc>
        <w:tc>
          <w:tcPr>
            <w:tcW w:type="dxa" w:w="3600"/>
          </w:tcPr>
          <w:p>
            <w:pPr>
              <w:spacing w:after="40"/>
            </w:pPr>
            <w:r/>
            <w:r>
              <w:rPr>
                <w:sz w:val="17"/>
              </w:rPr>
              <w:t>PASS WITH FINDINGS — unchanged</w:t>
            </w:r>
          </w:p>
        </w:tc>
      </w:tr>
      <w:tr>
        <w:tc>
          <w:tcPr>
            <w:tcW w:type="dxa" w:w="576"/>
          </w:tcPr>
          <w:p>
            <w:pPr>
              <w:spacing w:after="40"/>
            </w:pPr>
            <w:r/>
            <w:r>
              <w:rPr>
                <w:sz w:val="17"/>
              </w:rPr>
              <w:t>1</w:t>
            </w:r>
          </w:p>
        </w:tc>
        <w:tc>
          <w:tcPr>
            <w:tcW w:type="dxa" w:w="4320"/>
          </w:tcPr>
          <w:p>
            <w:pPr>
              <w:spacing w:after="40"/>
            </w:pPr>
            <w:r/>
            <w:r>
              <w:rPr>
                <w:sz w:val="17"/>
              </w:rPr>
              <w:t>Gold rule — universal exclusions only</w:t>
            </w:r>
          </w:p>
        </w:tc>
        <w:tc>
          <w:tcPr>
            <w:tcW w:type="dxa" w:w="1152"/>
          </w:tcPr>
          <w:p>
            <w:pPr>
              <w:spacing w:after="40"/>
            </w:pPr>
            <w:r/>
            <w:r>
              <w:rPr>
                <w:sz w:val="17"/>
              </w:rPr>
              <w:t>PASS</w:t>
            </w:r>
          </w:p>
        </w:tc>
        <w:tc>
          <w:tcPr>
            <w:tcW w:type="dxa" w:w="3600"/>
          </w:tcPr>
          <w:p>
            <w:pPr>
              <w:spacing w:after="40"/>
            </w:pPr>
            <w:r/>
            <w:r>
              <w:rPr>
                <w:sz w:val="17"/>
              </w:rPr>
              <w:t>PASS</w:t>
            </w:r>
          </w:p>
        </w:tc>
      </w:tr>
      <w:tr>
        <w:tc>
          <w:tcPr>
            <w:tcW w:type="dxa" w:w="576"/>
          </w:tcPr>
          <w:p>
            <w:pPr>
              <w:spacing w:after="40"/>
            </w:pPr>
            <w:r/>
            <w:r>
              <w:rPr>
                <w:sz w:val="17"/>
              </w:rPr>
              <w:t>1</w:t>
            </w:r>
          </w:p>
        </w:tc>
        <w:tc>
          <w:tcPr>
            <w:tcW w:type="dxa" w:w="4320"/>
          </w:tcPr>
          <w:p>
            <w:pPr>
              <w:spacing w:after="40"/>
            </w:pPr>
            <w:r/>
            <w:r>
              <w:rPr>
                <w:sz w:val="17"/>
              </w:rPr>
              <w:t>Gold rule — no business-specific filters in Gold</w:t>
            </w:r>
          </w:p>
        </w:tc>
        <w:tc>
          <w:tcPr>
            <w:tcW w:type="dxa" w:w="1152"/>
          </w:tcPr>
          <w:p>
            <w:pPr>
              <w:spacing w:after="40"/>
            </w:pPr>
            <w:r/>
            <w:r>
              <w:rPr>
                <w:sz w:val="17"/>
              </w:rPr>
              <w:t>PASS</w:t>
            </w:r>
          </w:p>
        </w:tc>
        <w:tc>
          <w:tcPr>
            <w:tcW w:type="dxa" w:w="3600"/>
          </w:tcPr>
          <w:p>
            <w:pPr>
              <w:spacing w:after="40"/>
            </w:pPr>
            <w:r/>
            <w:r>
              <w:rPr>
                <w:sz w:val="17"/>
              </w:rPr>
              <w:t>PASS</w:t>
            </w:r>
          </w:p>
        </w:tc>
      </w:tr>
      <w:tr>
        <w:tc>
          <w:tcPr>
            <w:tcW w:type="dxa" w:w="576"/>
          </w:tcPr>
          <w:p>
            <w:pPr>
              <w:spacing w:after="40"/>
            </w:pPr>
            <w:r/>
            <w:r>
              <w:rPr>
                <w:sz w:val="17"/>
              </w:rPr>
              <w:t>1</w:t>
            </w:r>
          </w:p>
        </w:tc>
        <w:tc>
          <w:tcPr>
            <w:tcW w:type="dxa" w:w="4320"/>
          </w:tcPr>
          <w:p>
            <w:pPr>
              <w:spacing w:after="40"/>
            </w:pPr>
            <w:r/>
            <w:r>
              <w:rPr>
                <w:sz w:val="17"/>
              </w:rPr>
              <w:t>Gold rule — reusable across future reporting needs</w:t>
            </w:r>
          </w:p>
        </w:tc>
        <w:tc>
          <w:tcPr>
            <w:tcW w:type="dxa" w:w="1152"/>
          </w:tcPr>
          <w:p>
            <w:pPr>
              <w:spacing w:after="40"/>
            </w:pPr>
            <w:r/>
            <w:r>
              <w:rPr>
                <w:sz w:val="17"/>
              </w:rPr>
              <w:t>FAIL</w:t>
            </w:r>
          </w:p>
        </w:tc>
        <w:tc>
          <w:tcPr>
            <w:tcW w:type="dxa" w:w="3600"/>
          </w:tcPr>
          <w:p>
            <w:pPr>
              <w:spacing w:after="40"/>
            </w:pPr>
            <w:r/>
            <w:r>
              <w:rPr>
                <w:sz w:val="17"/>
              </w:rPr>
              <w:t>FAIL — Finding 1 still open</w:t>
            </w:r>
          </w:p>
        </w:tc>
      </w:tr>
      <w:tr>
        <w:tc>
          <w:tcPr>
            <w:tcW w:type="dxa" w:w="576"/>
          </w:tcPr>
          <w:p>
            <w:pPr>
              <w:spacing w:after="40"/>
            </w:pPr>
            <w:r/>
            <w:r>
              <w:rPr>
                <w:sz w:val="17"/>
              </w:rPr>
              <w:t>2</w:t>
            </w:r>
          </w:p>
        </w:tc>
        <w:tc>
          <w:tcPr>
            <w:tcW w:type="dxa" w:w="4320"/>
          </w:tcPr>
          <w:p>
            <w:pPr>
              <w:spacing w:after="40"/>
            </w:pPr>
            <w:r/>
            <w:r>
              <w:rPr>
                <w:sz w:val="17"/>
              </w:rPr>
              <w:t>Totals, key measures and spot checks reconcile with Hubble</w:t>
            </w:r>
          </w:p>
        </w:tc>
        <w:tc>
          <w:tcPr>
            <w:tcW w:type="dxa" w:w="1152"/>
          </w:tcPr>
          <w:p>
            <w:pPr>
              <w:spacing w:after="40"/>
            </w:pPr>
            <w:r/>
            <w:r>
              <w:rPr>
                <w:sz w:val="17"/>
              </w:rPr>
              <w:t>BLOCKED</w:t>
            </w:r>
          </w:p>
        </w:tc>
        <w:tc>
          <w:tcPr>
            <w:tcW w:type="dxa" w:w="3600"/>
          </w:tcPr>
          <w:p>
            <w:pPr>
              <w:spacing w:after="40"/>
            </w:pPr>
            <w:r/>
            <w:r>
              <w:rPr>
                <w:sz w:val="17"/>
              </w:rPr>
              <w:t>BLOCKED</w:t>
            </w:r>
          </w:p>
        </w:tc>
      </w:tr>
      <w:tr>
        <w:tc>
          <w:tcPr>
            <w:tcW w:type="dxa" w:w="576"/>
          </w:tcPr>
          <w:p>
            <w:pPr>
              <w:spacing w:after="40"/>
            </w:pPr>
            <w:r/>
            <w:r>
              <w:rPr>
                <w:sz w:val="17"/>
              </w:rPr>
              <w:t>2</w:t>
            </w:r>
          </w:p>
        </w:tc>
        <w:tc>
          <w:tcPr>
            <w:tcW w:type="dxa" w:w="4320"/>
          </w:tcPr>
          <w:p>
            <w:pPr>
              <w:spacing w:after="40"/>
            </w:pPr>
            <w:r/>
            <w:r>
              <w:rPr>
                <w:sz w:val="17"/>
              </w:rPr>
              <w:t>Filters, slicers and Field Parameters work across variations</w:t>
            </w:r>
          </w:p>
        </w:tc>
        <w:tc>
          <w:tcPr>
            <w:tcW w:type="dxa" w:w="1152"/>
          </w:tcPr>
          <w:p>
            <w:pPr>
              <w:spacing w:after="40"/>
            </w:pPr>
            <w:r/>
            <w:r>
              <w:rPr>
                <w:sz w:val="17"/>
              </w:rPr>
              <w:t>BLOCKED</w:t>
            </w:r>
          </w:p>
        </w:tc>
        <w:tc>
          <w:tcPr>
            <w:tcW w:type="dxa" w:w="3600"/>
          </w:tcPr>
          <w:p>
            <w:pPr>
              <w:spacing w:after="40"/>
            </w:pPr>
            <w:r/>
            <w:r>
              <w:rPr>
                <w:sz w:val="17"/>
              </w:rPr>
              <w:t>BLOCKED (static checks pass)</w:t>
            </w:r>
          </w:p>
        </w:tc>
      </w:tr>
      <w:tr>
        <w:tc>
          <w:tcPr>
            <w:tcW w:type="dxa" w:w="576"/>
          </w:tcPr>
          <w:p>
            <w:pPr>
              <w:spacing w:after="40"/>
            </w:pPr>
            <w:r/>
            <w:r>
              <w:rPr>
                <w:sz w:val="17"/>
              </w:rPr>
              <w:t>2</w:t>
            </w:r>
          </w:p>
        </w:tc>
        <w:tc>
          <w:tcPr>
            <w:tcW w:type="dxa" w:w="4320"/>
          </w:tcPr>
          <w:p>
            <w:pPr>
              <w:spacing w:after="40"/>
            </w:pPr>
            <w:r/>
            <w:r>
              <w:rPr>
                <w:sz w:val="17"/>
              </w:rPr>
              <w:t>Measures and Gold logic match the functional specification</w:t>
            </w:r>
          </w:p>
        </w:tc>
        <w:tc>
          <w:tcPr>
            <w:tcW w:type="dxa" w:w="1152"/>
          </w:tcPr>
          <w:p>
            <w:pPr>
              <w:spacing w:after="40"/>
            </w:pPr>
            <w:r/>
            <w:r>
              <w:rPr>
                <w:sz w:val="17"/>
              </w:rPr>
              <w:t>PWF</w:t>
            </w:r>
          </w:p>
        </w:tc>
        <w:tc>
          <w:tcPr>
            <w:tcW w:type="dxa" w:w="3600"/>
          </w:tcPr>
          <w:p>
            <w:pPr>
              <w:spacing w:after="40"/>
            </w:pPr>
            <w:r/>
            <w:r>
              <w:rPr>
                <w:sz w:val="17"/>
              </w:rPr>
              <w:t>PASS WITH FINDINGS (static)</w:t>
            </w:r>
          </w:p>
        </w:tc>
      </w:tr>
      <w:tr>
        <w:tc>
          <w:tcPr>
            <w:tcW w:type="dxa" w:w="576"/>
          </w:tcPr>
          <w:p>
            <w:pPr>
              <w:spacing w:after="40"/>
            </w:pPr>
            <w:r/>
            <w:r>
              <w:rPr>
                <w:sz w:val="17"/>
              </w:rPr>
              <w:t>2</w:t>
            </w:r>
          </w:p>
        </w:tc>
        <w:tc>
          <w:tcPr>
            <w:tcW w:type="dxa" w:w="4320"/>
          </w:tcPr>
          <w:p>
            <w:pPr>
              <w:spacing w:after="40"/>
            </w:pPr>
            <w:r/>
            <w:r>
              <w:rPr>
                <w:sz w:val="17"/>
              </w:rPr>
              <w:t>Visuals, labels and formatting correct</w:t>
            </w:r>
          </w:p>
        </w:tc>
        <w:tc>
          <w:tcPr>
            <w:tcW w:type="dxa" w:w="1152"/>
          </w:tcPr>
          <w:p>
            <w:pPr>
              <w:spacing w:after="40"/>
            </w:pPr>
            <w:r/>
            <w:r>
              <w:rPr>
                <w:sz w:val="17"/>
              </w:rPr>
              <w:t>BLOCKED</w:t>
            </w:r>
          </w:p>
        </w:tc>
        <w:tc>
          <w:tcPr>
            <w:tcW w:type="dxa" w:w="3600"/>
          </w:tcPr>
          <w:p>
            <w:pPr>
              <w:spacing w:after="40"/>
            </w:pPr>
            <w:r/>
            <w:r>
              <w:rPr>
                <w:sz w:val="17"/>
              </w:rPr>
              <w:t>BLOCKED (static checks pass)</w:t>
            </w:r>
          </w:p>
        </w:tc>
      </w:tr>
      <w:tr>
        <w:tc>
          <w:tcPr>
            <w:tcW w:type="dxa" w:w="576"/>
          </w:tcPr>
          <w:p>
            <w:pPr>
              <w:spacing w:after="40"/>
            </w:pPr>
            <w:r/>
            <w:r>
              <w:rPr>
                <w:sz w:val="17"/>
              </w:rPr>
              <w:t>2</w:t>
            </w:r>
          </w:p>
        </w:tc>
        <w:tc>
          <w:tcPr>
            <w:tcW w:type="dxa" w:w="4320"/>
          </w:tcPr>
          <w:p>
            <w:pPr>
              <w:spacing w:after="40"/>
            </w:pPr>
            <w:r/>
            <w:r>
              <w:rPr>
                <w:sz w:val="17"/>
              </w:rPr>
              <w:t>Published with settings allowing download from the Service</w:t>
            </w:r>
          </w:p>
        </w:tc>
        <w:tc>
          <w:tcPr>
            <w:tcW w:type="dxa" w:w="1152"/>
          </w:tcPr>
          <w:p>
            <w:pPr>
              <w:spacing w:after="40"/>
            </w:pPr>
            <w:r/>
            <w:r>
              <w:rPr>
                <w:sz w:val="17"/>
              </w:rPr>
              <w:t>BLOCKED</w:t>
            </w:r>
          </w:p>
        </w:tc>
        <w:tc>
          <w:tcPr>
            <w:tcW w:type="dxa" w:w="3600"/>
          </w:tcPr>
          <w:p>
            <w:pPr>
              <w:spacing w:after="40"/>
            </w:pPr>
            <w:r/>
            <w:r>
              <w:rPr>
                <w:sz w:val="17"/>
              </w:rPr>
              <w:t>BLOCKED — not published</w:t>
            </w:r>
          </w:p>
        </w:tc>
      </w:tr>
    </w:tbl>
    <w:p>
      <w:pPr>
        <w:spacing w:after="80"/>
      </w:pPr>
    </w:p>
    <w:p>
      <w:r>
        <w:rPr>
          <w:b w:val="0"/>
          <w:i w:val="0"/>
        </w:rPr>
        <w:t>'PWF' = PASS WITH FINDINGS.</w:t>
      </w:r>
    </w:p>
    <w:p>
      <w:pPr>
        <w:pStyle w:val="Heading2"/>
      </w:pPr>
      <w:r>
        <w:t>Findings status</w:t>
      </w:r>
    </w:p>
    <w:p>
      <w:r>
        <w:rPr>
          <w:b w:val="0"/>
          <w:i w:val="0"/>
        </w:rPr>
        <w:t>Seven findings were raised in Revision 1. Four are now closed (2, 3, 4 in Rev 2; 5 in Rev 3). Each is expanded in the gate section that raised 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tcPr>
          <w:p>
            <w:r/>
            <w:r>
              <w:rPr>
                <w:b/>
                <w:sz w:val="18"/>
              </w:rPr>
              <w:t>#</w:t>
            </w:r>
          </w:p>
        </w:tc>
        <w:tc>
          <w:tcPr>
            <w:tcW w:type="dxa" w:w="648"/>
          </w:tcPr>
          <w:p>
            <w:r/>
            <w:r>
              <w:rPr>
                <w:b/>
                <w:sz w:val="18"/>
              </w:rPr>
              <w:t>Sev</w:t>
            </w:r>
          </w:p>
        </w:tc>
        <w:tc>
          <w:tcPr>
            <w:tcW w:type="dxa" w:w="5256"/>
          </w:tcPr>
          <w:p>
            <w:r/>
            <w:r>
              <w:rPr>
                <w:b/>
                <w:sz w:val="18"/>
              </w:rPr>
              <w:t>Finding</w:t>
            </w:r>
          </w:p>
        </w:tc>
        <w:tc>
          <w:tcPr>
            <w:tcW w:type="dxa" w:w="3312"/>
          </w:tcPr>
          <w:p>
            <w:r/>
            <w:r>
              <w:rPr>
                <w:b/>
                <w:sz w:val="18"/>
              </w:rPr>
              <w:t>Status</w:t>
            </w:r>
          </w:p>
        </w:tc>
      </w:tr>
      <w:tr>
        <w:tc>
          <w:tcPr>
            <w:tcW w:type="dxa" w:w="432"/>
          </w:tcPr>
          <w:p>
            <w:pPr>
              <w:spacing w:after="40"/>
            </w:pPr>
            <w:r/>
            <w:r>
              <w:rPr>
                <w:sz w:val="16"/>
              </w:rPr>
              <w:t>1</w:t>
            </w:r>
          </w:p>
        </w:tc>
        <w:tc>
          <w:tcPr>
            <w:tcW w:type="dxa" w:w="648"/>
          </w:tcPr>
          <w:p>
            <w:pPr>
              <w:spacing w:after="40"/>
            </w:pPr>
            <w:r/>
            <w:r>
              <w:rPr>
                <w:sz w:val="16"/>
              </w:rPr>
              <w:t>HIGH</w:t>
            </w:r>
          </w:p>
        </w:tc>
        <w:tc>
          <w:tcPr>
            <w:tcW w:type="dxa" w:w="5256"/>
          </w:tcPr>
          <w:p>
            <w:pPr>
              <w:spacing w:after="40"/>
            </w:pPr>
            <w:r/>
            <w:r>
              <w:rPr>
                <w:sz w:val="16"/>
              </w:rPr>
              <w:t>The fact is pre-aggregated to one report's GROUP BY grain, which conflicts with the Gold Layer Design Rule on reusability. A deliberate past decision, not an accident — but it needs an explicit ruling.</w:t>
            </w:r>
          </w:p>
        </w:tc>
        <w:tc>
          <w:tcPr>
            <w:tcW w:type="dxa" w:w="3312"/>
          </w:tcPr>
          <w:p>
            <w:pPr>
              <w:spacing w:after="40"/>
            </w:pPr>
            <w:r/>
            <w:r>
              <w:rPr>
                <w:sz w:val="16"/>
              </w:rPr>
              <w:t>OPEN — needs a data-owner decision, not code. Still the cheapest it will ever be to change.</w:t>
            </w:r>
          </w:p>
        </w:tc>
      </w:tr>
      <w:tr>
        <w:tc>
          <w:tcPr>
            <w:tcW w:type="dxa" w:w="432"/>
          </w:tcPr>
          <w:p>
            <w:pPr>
              <w:spacing w:after="40"/>
            </w:pPr>
            <w:r/>
            <w:r>
              <w:rPr>
                <w:sz w:val="16"/>
              </w:rPr>
              <w:t>2</w:t>
            </w:r>
          </w:p>
        </w:tc>
        <w:tc>
          <w:tcPr>
            <w:tcW w:type="dxa" w:w="648"/>
          </w:tcPr>
          <w:p>
            <w:pPr>
              <w:spacing w:after="40"/>
            </w:pPr>
            <w:r/>
            <w:r>
              <w:rPr>
                <w:sz w:val="16"/>
              </w:rPr>
              <w:t>HIGH</w:t>
            </w:r>
          </w:p>
        </w:tc>
        <w:tc>
          <w:tcPr>
            <w:tcW w:type="dxa" w:w="5256"/>
          </w:tcPr>
          <w:p>
            <w:pPr>
              <w:spacing w:after="40"/>
            </w:pPr>
            <w:r/>
            <w:r>
              <w:rPr>
                <w:sz w:val="16"/>
              </w:rPr>
            </w:r>
            <w:r>
              <w:rPr>
                <w:rFonts w:ascii="Consolas" w:hAnsi="Consolas"/>
                <w:sz w:val="15"/>
              </w:rPr>
              <w:t>Tax Status</w:t>
            </w:r>
            <w:r>
              <w:rPr>
                <w:sz w:val="16"/>
              </w:rPr>
              <w:t xml:space="preserve"> was a DAX calculated column on a Direct Lake table, which is unsupported.</w:t>
            </w:r>
          </w:p>
        </w:tc>
        <w:tc>
          <w:tcPr>
            <w:tcW w:type="dxa" w:w="3312"/>
          </w:tcPr>
          <w:p>
            <w:pPr>
              <w:spacing w:after="40"/>
            </w:pPr>
            <w:r/>
            <w:r>
              <w:rPr>
                <w:sz w:val="16"/>
              </w:rPr>
              <w:t xml:space="preserve">✔ RESOLVED in Rev 2 — now the physical column </w:t>
            </w:r>
            <w:r>
              <w:rPr>
                <w:rFonts w:ascii="Consolas" w:hAnsi="Consolas"/>
                <w:sz w:val="15"/>
              </w:rPr>
              <w:t>tax_status</w:t>
            </w:r>
            <w:r>
              <w:rPr>
                <w:sz w:val="16"/>
              </w:rPr>
              <w:t>, materialised post-aggregation.</w:t>
            </w:r>
          </w:p>
        </w:tc>
      </w:tr>
      <w:tr>
        <w:tc>
          <w:tcPr>
            <w:tcW w:type="dxa" w:w="432"/>
          </w:tcPr>
          <w:p>
            <w:pPr>
              <w:spacing w:after="40"/>
            </w:pPr>
            <w:r/>
            <w:r>
              <w:rPr>
                <w:sz w:val="16"/>
              </w:rPr>
              <w:t>3</w:t>
            </w:r>
          </w:p>
        </w:tc>
        <w:tc>
          <w:tcPr>
            <w:tcW w:type="dxa" w:w="648"/>
          </w:tcPr>
          <w:p>
            <w:pPr>
              <w:spacing w:after="40"/>
            </w:pPr>
            <w:r/>
            <w:r>
              <w:rPr>
                <w:sz w:val="16"/>
              </w:rPr>
              <w:t>HIGH</w:t>
            </w:r>
          </w:p>
        </w:tc>
        <w:tc>
          <w:tcPr>
            <w:tcW w:type="dxa" w:w="5256"/>
          </w:tcPr>
          <w:p>
            <w:pPr>
              <w:spacing w:after="40"/>
            </w:pPr>
            <w:r/>
            <w:r>
              <w:rPr>
                <w:sz w:val="16"/>
              </w:rPr>
              <w:t xml:space="preserve">The address collapse was non-deterministic: </w:t>
            </w:r>
            <w:r>
              <w:rPr>
                <w:rFonts w:ascii="Consolas" w:hAnsi="Consolas"/>
                <w:sz w:val="15"/>
              </w:rPr>
              <w:t>F.first()</w:t>
            </w:r>
            <w:r>
              <w:rPr>
                <w:sz w:val="16"/>
              </w:rPr>
              <w:t xml:space="preserve"> over effective-dated F0116 with no ordering.</w:t>
            </w:r>
          </w:p>
        </w:tc>
        <w:tc>
          <w:tcPr>
            <w:tcW w:type="dxa" w:w="3312"/>
          </w:tcPr>
          <w:p>
            <w:pPr>
              <w:spacing w:after="40"/>
            </w:pPr>
            <w:r/>
            <w:r>
              <w:rPr>
                <w:sz w:val="16"/>
              </w:rPr>
              <w:t xml:space="preserve">✔ RESOLVED in Rev 2 — replaced with a </w:t>
            </w:r>
            <w:r>
              <w:rPr>
                <w:rFonts w:ascii="Consolas" w:hAnsi="Consolas"/>
                <w:sz w:val="15"/>
              </w:rPr>
              <w:t>row_number()</w:t>
            </w:r>
            <w:r>
              <w:rPr>
                <w:sz w:val="16"/>
              </w:rPr>
              <w:t xml:space="preserve"> latest-effective window.</w:t>
            </w:r>
          </w:p>
        </w:tc>
      </w:tr>
      <w:tr>
        <w:tc>
          <w:tcPr>
            <w:tcW w:type="dxa" w:w="432"/>
          </w:tcPr>
          <w:p>
            <w:pPr>
              <w:spacing w:after="40"/>
            </w:pPr>
            <w:r/>
            <w:r>
              <w:rPr>
                <w:sz w:val="16"/>
              </w:rPr>
              <w:t>4</w:t>
            </w:r>
          </w:p>
        </w:tc>
        <w:tc>
          <w:tcPr>
            <w:tcW w:type="dxa" w:w="648"/>
          </w:tcPr>
          <w:p>
            <w:pPr>
              <w:spacing w:after="40"/>
            </w:pPr>
            <w:r/>
            <w:r>
              <w:rPr>
                <w:sz w:val="16"/>
              </w:rPr>
              <w:t>MED</w:t>
            </w:r>
          </w:p>
        </w:tc>
        <w:tc>
          <w:tcPr>
            <w:tcW w:type="dxa" w:w="5256"/>
          </w:tcPr>
          <w:p>
            <w:pPr>
              <w:spacing w:after="40"/>
            </w:pPr>
            <w:r/>
            <w:r>
              <w:rPr>
                <w:sz w:val="16"/>
              </w:rPr>
              <w:t xml:space="preserve">Five key columns were declared </w:t>
            </w:r>
            <w:r>
              <w:rPr>
                <w:rFonts w:ascii="Consolas" w:hAnsi="Consolas"/>
                <w:sz w:val="15"/>
              </w:rPr>
              <w:t>int64</w:t>
            </w:r>
            <w:r>
              <w:rPr>
                <w:sz w:val="16"/>
              </w:rPr>
              <w:t xml:space="preserve"> in the TMDL; the review believed Silver wrote them as decimals with no cast.</w:t>
            </w:r>
          </w:p>
        </w:tc>
        <w:tc>
          <w:tcPr>
            <w:tcW w:type="dxa" w:w="3312"/>
          </w:tcPr>
          <w:p>
            <w:pPr>
              <w:spacing w:after="40"/>
            </w:pPr>
            <w:r/>
            <w:r>
              <w:rPr>
                <w:sz w:val="16"/>
              </w:rPr>
              <w:t xml:space="preserve">✔ RESOLVED — premise corrected in Rev 6: Silver stores all five as int64 natively (data-owner confirmed), so they match the TMDL int64 with no cast. The defensive Rev-2 </w:t>
            </w:r>
            <w:r>
              <w:rPr>
                <w:rFonts w:ascii="Consolas" w:hAnsi="Consolas"/>
                <w:sz w:val="15"/>
              </w:rPr>
              <w:t>.cast("long")</w:t>
            </w:r>
            <w:r>
              <w:rPr>
                <w:sz w:val="16"/>
              </w:rPr>
              <w:t xml:space="preserve"> was reverted.</w:t>
            </w:r>
          </w:p>
        </w:tc>
      </w:tr>
      <w:tr>
        <w:tc>
          <w:tcPr>
            <w:tcW w:type="dxa" w:w="432"/>
          </w:tcPr>
          <w:p>
            <w:pPr>
              <w:spacing w:after="40"/>
            </w:pPr>
            <w:r/>
            <w:r>
              <w:rPr>
                <w:sz w:val="16"/>
              </w:rPr>
              <w:t>5</w:t>
            </w:r>
          </w:p>
        </w:tc>
        <w:tc>
          <w:tcPr>
            <w:tcW w:type="dxa" w:w="648"/>
          </w:tcPr>
          <w:p>
            <w:pPr>
              <w:spacing w:after="40"/>
            </w:pPr>
            <w:r/>
            <w:r>
              <w:rPr>
                <w:sz w:val="16"/>
              </w:rPr>
              <w:t>MED</w:t>
            </w:r>
          </w:p>
        </w:tc>
        <w:tc>
          <w:tcPr>
            <w:tcW w:type="dxa" w:w="5256"/>
          </w:tcPr>
          <w:p>
            <w:pPr>
              <w:spacing w:after="40"/>
            </w:pPr>
            <w:r/>
            <w:r>
              <w:rPr>
                <w:sz w:val="16"/>
              </w:rPr>
              <w:t xml:space="preserve">Omitting Hubble's ABAT1 screen is documented as filter-neutral, but it is not: it changes computed </w:t>
            </w:r>
            <w:r>
              <w:rPr>
                <w:rFonts w:ascii="Consolas" w:hAnsi="Consolas"/>
                <w:sz w:val="15"/>
              </w:rPr>
              <w:t>business_stream</w:t>
            </w:r>
            <w:r>
              <w:rPr>
                <w:sz w:val="16"/>
              </w:rPr>
              <w:t xml:space="preserve">, </w:t>
            </w:r>
            <w:r>
              <w:rPr>
                <w:rFonts w:ascii="Consolas" w:hAnsi="Consolas"/>
                <w:sz w:val="15"/>
              </w:rPr>
              <w:t>jurisdiction</w:t>
            </w:r>
            <w:r>
              <w:rPr>
                <w:sz w:val="16"/>
              </w:rPr>
              <w:t xml:space="preserve"> and </w:t>
            </w:r>
            <w:r>
              <w:rPr>
                <w:rFonts w:ascii="Consolas" w:hAnsi="Consolas"/>
                <w:sz w:val="15"/>
              </w:rPr>
              <w:t>county</w:t>
            </w:r>
            <w:r>
              <w:rPr>
                <w:sz w:val="16"/>
              </w:rPr>
              <w:t xml:space="preserve"> values.</w:t>
            </w:r>
          </w:p>
        </w:tc>
        <w:tc>
          <w:tcPr>
            <w:tcW w:type="dxa" w:w="3312"/>
          </w:tcPr>
          <w:p>
            <w:pPr>
              <w:spacing w:after="40"/>
            </w:pPr>
            <w:r/>
            <w:r>
              <w:rPr>
                <w:sz w:val="16"/>
              </w:rPr>
              <w:t>✔ RESOLVED in Rev 3 — ABAT1 band now applied to the F0101 ⋈ F0116 address lookup (value-qualification, not a fact filter; ESO5 pattern). Out-of-band ship-to → NULL sic/jurisdiction/county via the LEFT join, matching Hubble. Needs MANUAL_OVERWRITE=True reload.</w:t>
            </w:r>
          </w:p>
        </w:tc>
      </w:tr>
      <w:tr>
        <w:tc>
          <w:tcPr>
            <w:tcW w:type="dxa" w:w="432"/>
          </w:tcPr>
          <w:p>
            <w:pPr>
              <w:spacing w:after="40"/>
            </w:pPr>
            <w:r/>
            <w:r>
              <w:rPr>
                <w:sz w:val="16"/>
              </w:rPr>
              <w:t>6</w:t>
            </w:r>
          </w:p>
        </w:tc>
        <w:tc>
          <w:tcPr>
            <w:tcW w:type="dxa" w:w="648"/>
          </w:tcPr>
          <w:p>
            <w:pPr>
              <w:spacing w:after="40"/>
            </w:pPr>
            <w:r/>
            <w:r>
              <w:rPr>
                <w:sz w:val="16"/>
              </w:rPr>
              <w:t>MED</w:t>
            </w:r>
          </w:p>
        </w:tc>
        <w:tc>
          <w:tcPr>
            <w:tcW w:type="dxa" w:w="5256"/>
          </w:tcPr>
          <w:p>
            <w:pPr>
              <w:spacing w:after="40"/>
            </w:pPr>
            <w:r/>
            <w:r>
              <w:rPr>
                <w:sz w:val="16"/>
              </w:rPr>
              <w:t>Business Stream is computed from unwatched static sources at recompute time, so two invoices from the same day can classify differently.</w:t>
            </w:r>
          </w:p>
        </w:tc>
        <w:tc>
          <w:tcPr>
            <w:tcW w:type="dxa" w:w="3312"/>
          </w:tcPr>
          <w:p>
            <w:pPr>
              <w:spacing w:after="40"/>
            </w:pPr>
            <w:r/>
            <w:r>
              <w:rPr>
                <w:sz w:val="16"/>
              </w:rPr>
              <w:t>ACCEPTED — document; consider a periodic full reload.</w:t>
            </w:r>
          </w:p>
        </w:tc>
      </w:tr>
      <w:tr>
        <w:tc>
          <w:tcPr>
            <w:tcW w:type="dxa" w:w="432"/>
          </w:tcPr>
          <w:p>
            <w:pPr>
              <w:spacing w:after="40"/>
            </w:pPr>
            <w:r/>
            <w:r>
              <w:rPr>
                <w:sz w:val="16"/>
              </w:rPr>
              <w:t>7</w:t>
            </w:r>
          </w:p>
        </w:tc>
        <w:tc>
          <w:tcPr>
            <w:tcW w:type="dxa" w:w="648"/>
          </w:tcPr>
          <w:p>
            <w:pPr>
              <w:spacing w:after="40"/>
            </w:pPr>
            <w:r/>
            <w:r>
              <w:rPr>
                <w:sz w:val="16"/>
              </w:rPr>
              <w:t>LOW</w:t>
            </w:r>
          </w:p>
        </w:tc>
        <w:tc>
          <w:tcPr>
            <w:tcW w:type="dxa" w:w="5256"/>
          </w:tcPr>
          <w:p>
            <w:pPr>
              <w:spacing w:after="40"/>
            </w:pPr>
            <w:r/>
            <w:r>
              <w:rPr>
                <w:sz w:val="16"/>
              </w:rPr>
              <w:t xml:space="preserve">The </w:t>
            </w:r>
            <w:r>
              <w:rPr>
                <w:rFonts w:ascii="Consolas" w:hAnsi="Consolas"/>
                <w:sz w:val="15"/>
              </w:rPr>
              <w:t>Tax Lines</w:t>
            </w:r>
            <w:r>
              <w:rPr>
                <w:sz w:val="16"/>
              </w:rPr>
              <w:t xml:space="preserve"> measure counts grouped display tuples, not tax lines. The name misleads.</w:t>
            </w:r>
          </w:p>
        </w:tc>
        <w:tc>
          <w:tcPr>
            <w:tcW w:type="dxa" w:w="3312"/>
          </w:tcPr>
          <w:p>
            <w:pPr>
              <w:spacing w:after="40"/>
            </w:pPr>
            <w:r/>
            <w:r>
              <w:rPr>
                <w:sz w:val="16"/>
              </w:rPr>
              <w:t>OPEN — cosmetic rename, not blocking.</w:t>
            </w:r>
          </w:p>
        </w:tc>
      </w:tr>
    </w:tbl>
    <w:p>
      <w:pPr>
        <w:spacing w:after="80"/>
      </w:pPr>
    </w:p>
    <w:p>
      <w:pPr>
        <w:pStyle w:val="Heading2"/>
      </w:pPr>
      <w:r>
        <w:t>Recommendation</w:t>
      </w:r>
    </w:p>
    <w:p>
      <w:r>
        <w:rPr>
          <w:b w:val="0"/>
          <w:i w:val="0"/>
        </w:rPr>
        <w:t>The three findings that blocked the first load are closed, and each fix was re-verified against the amended source rather than taken on trust. Gate 1 now turns on a single question: Finding 1.</w:t>
      </w:r>
    </w:p>
    <w:p>
      <w:r>
        <w:rPr>
          <w:b w:val="0"/>
          <w:i w:val="0"/>
        </w:rPr>
        <w:t>Finding 1 is not a defect and cannot be fixed by better code — it is a design decision that conflicts with a stated rule, and it needs an explicit ruling from the data owner rather than being allowed to stand by default. The decision is time-sensitive in one direction only: nothing has been loaded and nothing consumes the table, so changing the grain is free today and expensive once the table is live. Finding 5 was remediated in Rev 3 (the ABAT1 band is now reproduced). Finding 6 should be accepted and documented as a known variance; Finding 7 is a rename that can happen whenever convenient.</w:t>
      </w:r>
    </w:p>
    <w:p>
      <w:r>
        <w:rPr>
          <w:b w:val="0"/>
          <w:i w:val="0"/>
        </w:rPr>
        <w:t>Gate 2 remains closed until the pipeline runs. The work to open it is listed in section 'Gate 2 — what must happen'.</w:t>
      </w:r>
    </w:p>
    <w:p>
      <w:r>
        <w:br w:type="page"/>
      </w:r>
    </w:p>
    <w:p>
      <w:pPr>
        <w:pStyle w:val="Heading1"/>
      </w:pPr>
      <w:r>
        <w:t>Gate 1 — Gold Layer Design Review</w:t>
      </w:r>
    </w:p>
    <w:p>
      <w:pPr>
        <w:pStyle w:val="Heading2"/>
      </w:pPr>
      <w:r>
        <w:t>1.1  The grain is clearly defined and documented</w:t>
      </w:r>
    </w:p>
    <w:p>
      <w:r>
        <w:rPr>
          <w:b w:val="0"/>
          <w:i w:val="0"/>
        </w:rPr>
        <w:t>One row of `rpt.fact_sales_tax_reconciliation` represents one distinct combination of 18 reporting attributes — document company, invoice number, document type, order number, order type, plant, ship-to, sold-to, parent, tax explanation code, tax area, Avalara code, business stream, SIC code, jurisdiction, county, GL date and service/tax date — with the four amounts summed across every F03B11 pay item that shares that combination.</w:t>
      </w:r>
    </w:p>
    <w:p>
      <w:r>
        <w:rPr>
          <w:b w:val="0"/>
          <w:i w:val="0"/>
        </w:rPr>
        <w:t>The grain is declared as code, not prose: the list `FACT_GROUP_BY_COLS` at lines 98–123 of the fact notebook is the single definition, and it drives the GROUP BY, the surrogate key and the final projection. There is no way for the three to disagree. Each entry carries a comment naming the Hubble column it derives from.</w:t>
      </w:r>
    </w:p>
    <w:p>
      <w:r>
        <w:rPr>
          <w:b w:val="0"/>
          <w:i w:val="0"/>
        </w:rPr>
        <w:t>It is documented in three places that agree with each other: the notebook header, `ESO4_gold_layer_design.md`, and `ESO4_Notebook_Code_Walkthrough.docx`. The column arithmetic reconciles — 18 grain + 1 carried + 4 measures + 1 derived (`tax_status`, added in Rev 2) = 24 business columns, plus 2 keys = 26 stored. This was verified programmatically against the TMDL rather than by inspection.</w:t>
      </w:r>
    </w:p>
    <w:p>
      <w:pPr>
        <w:spacing w:before="120" w:after="160"/>
        <w:ind w:left="144"/>
        <w:shd w:val="clear" w:fill="E2EFDA"/>
        <w:pBdr>
          <w:top w:val="single" w:sz="4" w:space="4" w:color="70AD47"/>
          <w:left w:val="single" w:sz="4" w:space="4" w:color="70AD47"/>
          <w:bottom w:val="single" w:sz="4" w:space="4" w:color="70AD47"/>
          <w:right w:val="single" w:sz="4" w:space="4" w:color="70AD47"/>
        </w:pBdr>
      </w:pPr>
      <w:r>
        <w:rPr>
          <w:b/>
          <w:sz w:val="20"/>
        </w:rPr>
        <w:t xml:space="preserve">Note for Rev 2 — the grain itself did not change.  </w:t>
      </w:r>
      <w:r>
        <w:rPr>
          <w:sz w:val="20"/>
        </w:rPr>
        <w:t xml:space="preserve">Finding 2's fix added a column to the fact, so the stored schema went from 23 business columns to 24. </w:t>
      </w:r>
      <w:r>
        <w:rPr>
          <w:rFonts w:ascii="Consolas" w:hAnsi="Consolas"/>
          <w:sz w:val="18"/>
        </w:rPr>
        <w:t>FACT_GROUP_BY_COLS</w:t>
      </w:r>
      <w:r>
        <w:rPr>
          <w:sz w:val="20"/>
        </w:rPr>
        <w:t xml:space="preserve"> is untouched at 18: </w:t>
      </w:r>
      <w:r>
        <w:rPr>
          <w:rFonts w:ascii="Consolas" w:hAnsi="Consolas"/>
          <w:sz w:val="18"/>
        </w:rPr>
        <w:t>tax_status</w:t>
      </w:r>
      <w:r>
        <w:rPr>
          <w:sz w:val="20"/>
        </w:rPr>
        <w:t xml:space="preserve"> is derived AFTER the aggregate and is deliberately excluded from the grain, which was confirmed by extracting both lists from the source. One row of this fact still means exactly what it meant in Revision 1.</w:t>
      </w:r>
    </w:p>
    <w:p>
      <w:pPr>
        <w:spacing w:after="40"/>
      </w:pPr>
      <w:r>
        <w:rPr>
          <w:b/>
          <w:sz w:val="19"/>
        </w:rPr>
        <w:t>Evidence examined</w:t>
      </w:r>
    </w:p>
    <w:p>
      <w:pPr>
        <w:pStyle w:val="ListBullet"/>
        <w:spacing w:after="20"/>
        <w:ind w:left="403"/>
      </w:pPr>
      <w:r>
        <w:rPr>
          <w:sz w:val="18"/>
        </w:rPr>
      </w:r>
      <w:r>
        <w:rPr>
          <w:rFonts w:ascii="Consolas" w:hAnsi="Consolas"/>
          <w:sz w:val="17"/>
        </w:rPr>
        <w:t>nb_eso4_gold_fact_sales_tax_reconciliation.py</w:t>
      </w:r>
      <w:r>
        <w:rPr>
          <w:sz w:val="18"/>
        </w:rPr>
        <w:t xml:space="preserve"> lines 98–142 (the four column lists) and 271–277 (the GROUP BY that enforces them)</w:t>
      </w:r>
    </w:p>
    <w:p>
      <w:pPr>
        <w:pStyle w:val="ListBullet"/>
        <w:spacing w:after="20"/>
        <w:ind w:left="403"/>
      </w:pPr>
      <w:r>
        <w:rPr>
          <w:sz w:val="18"/>
        </w:rPr>
      </w:r>
      <w:r>
        <w:rPr>
          <w:rFonts w:ascii="Consolas" w:hAnsi="Consolas"/>
          <w:sz w:val="17"/>
        </w:rPr>
        <w:t>eso4/docs/ESO4_gold_layer_design.md</w:t>
      </w:r>
      <w:r>
        <w:rPr>
          <w:sz w:val="18"/>
        </w:rPr>
        <w:t xml:space="preserve"> grain section</w:t>
      </w:r>
    </w:p>
    <w:p>
      <w:pPr>
        <w:pStyle w:val="ListBullet"/>
        <w:spacing w:after="20"/>
        <w:ind w:left="403"/>
      </w:pPr>
      <w:r>
        <w:rPr>
          <w:sz w:val="18"/>
        </w:rPr>
      </w:r>
      <w:r>
        <w:rPr>
          <w:rFonts w:ascii="Consolas" w:hAnsi="Consolas"/>
          <w:sz w:val="17"/>
        </w:rPr>
        <w:t>eso4/hubble query.txt</w:t>
      </w:r>
      <w:r>
        <w:rPr>
          <w:sz w:val="18"/>
        </w:rPr>
        <w:t xml:space="preserve"> lines 122–146 (the GROUP BY being reproduced)</w:t>
      </w:r>
    </w:p>
    <w:p>
      <w:pPr>
        <w:spacing w:after="40"/>
      </w:pPr>
    </w:p>
    <w:p>
      <w:pPr>
        <w:spacing w:before="120" w:after="200"/>
        <w:shd w:val="clear" w:fill="E2EFDA"/>
        <w:pBdr>
          <w:top w:val="single" w:sz="4" w:space="4" w:color="70AD47"/>
          <w:left w:val="single" w:sz="4" w:space="4" w:color="70AD47"/>
          <w:bottom w:val="single" w:sz="4" w:space="4" w:color="70AD47"/>
          <w:right w:val="single" w:sz="4" w:space="4" w:color="70AD47"/>
        </w:pBdr>
      </w:pPr>
      <w:r>
        <w:rPr>
          <w:b/>
          <w:sz w:val="21"/>
        </w:rPr>
        <w:t xml:space="preserve">VERDICT: PASS  </w:t>
      </w:r>
      <w:r>
        <w:rPr>
          <w:sz w:val="20"/>
        </w:rPr>
        <w:t>The grain is unambiguous, expressed as code, and consistently documented. Note that whether this is the RIGHT grain is a separate question — see Finding 1.</w:t>
      </w:r>
    </w:p>
    <w:p>
      <w:pPr>
        <w:pStyle w:val="Heading2"/>
      </w:pPr>
      <w:r>
        <w:t>1.2  Star schema — clean fact/dimension split, no fan-out or double-counting</w:t>
      </w:r>
    </w:p>
    <w:p>
      <w:pPr>
        <w:pStyle w:val="Heading3"/>
      </w:pPr>
      <w:r>
        <w:t>The split is clean</w:t>
      </w:r>
    </w:p>
    <w:p>
      <w:r>
        <w:rPr>
          <w:b w:val="0"/>
          <w:i w:val="0"/>
        </w:rPr>
        <w:t>The fact stores foreign-key codes and measures only. Descriptions live in dimensions. This was enforced deliberately during the full-star-schema conversion, when `sic_description`, `plant_name` and `business_stream_code` were removed from the fact and `jurisdiction` was reverted from a resolved name to a raw code. The fact notebook does not read F0005 at all — the SIC and state descriptions are the dim_udc notebook's responsibility.</w:t>
      </w:r>
    </w:p>
    <w:p>
      <w:r>
        <w:rPr>
          <w:b w:val="0"/>
          <w:i w:val="0"/>
        </w:rPr>
        <w:t>Two attributes remain on the fact as degenerate dimensions, and both are justified: `county`, which has no dimension table anywhere in the model, and `business_stream`, which is derived from two tables at once and so belongs to no single dimension.</w:t>
      </w:r>
    </w:p>
    <w:p>
      <w:pPr>
        <w:pStyle w:val="Heading3"/>
      </w:pPr>
      <w:r>
        <w:t>Fan-out is actively defended against</w:t>
      </w:r>
    </w:p>
    <w:p>
      <w:r>
        <w:rPr>
          <w:b w:val="0"/>
          <w:i w:val="0"/>
        </w:rPr>
        <w:t>Every many-row source is collapsed to one row per key before it is joined to the line-grain fact:</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8"/>
              </w:rPr>
              <w:t>Source</w:t>
            </w:r>
          </w:p>
        </w:tc>
        <w:tc>
          <w:tcPr>
            <w:tcW w:type="dxa" w:w="4896"/>
          </w:tcPr>
          <w:p>
            <w:r/>
            <w:r>
              <w:rPr>
                <w:b/>
                <w:sz w:val="18"/>
              </w:rPr>
              <w:t>Collapse</w:t>
            </w:r>
          </w:p>
        </w:tc>
        <w:tc>
          <w:tcPr>
            <w:tcW w:type="dxa" w:w="2592"/>
          </w:tcPr>
          <w:p>
            <w:r/>
            <w:r>
              <w:rPr>
                <w:b/>
                <w:sz w:val="18"/>
              </w:rPr>
              <w:t>Result</w:t>
            </w:r>
          </w:p>
        </w:tc>
      </w:tr>
      <w:tr>
        <w:tc>
          <w:tcPr>
            <w:tcW w:type="dxa" w:w="2160"/>
          </w:tcPr>
          <w:p>
            <w:pPr>
              <w:spacing w:after="40"/>
            </w:pPr>
            <w:r/>
            <w:r>
              <w:rPr>
                <w:sz w:val="17"/>
              </w:rPr>
              <w:t>F0101 ⋈ F0116</w:t>
            </w:r>
          </w:p>
        </w:tc>
        <w:tc>
          <w:tcPr>
            <w:tcW w:type="dxa" w:w="4896"/>
          </w:tcPr>
          <w:p>
            <w:pPr>
              <w:spacing w:after="40"/>
            </w:pPr>
            <w:r/>
            <w:r>
              <w:rPr>
                <w:sz w:val="17"/>
              </w:rPr>
            </w:r>
            <w:r>
              <w:rPr>
                <w:rFonts w:ascii="Consolas" w:hAnsi="Consolas"/>
                <w:sz w:val="16"/>
              </w:rPr>
              <w:t>row_number()</w:t>
            </w:r>
            <w:r>
              <w:rPr>
                <w:sz w:val="17"/>
              </w:rPr>
              <w:t xml:space="preserve"> latest-effective over </w:t>
            </w:r>
            <w:r>
              <w:rPr>
                <w:rFonts w:ascii="Consolas" w:hAnsi="Consolas"/>
                <w:sz w:val="16"/>
              </w:rPr>
              <w:t>date_beginning_effective</w:t>
            </w:r>
            <w:r>
              <w:rPr>
                <w:sz w:val="17"/>
              </w:rPr>
              <w:t xml:space="preserve"> — fact notebook lines 164–187</w:t>
            </w:r>
          </w:p>
        </w:tc>
        <w:tc>
          <w:tcPr>
            <w:tcW w:type="dxa" w:w="2592"/>
          </w:tcPr>
          <w:p>
            <w:pPr>
              <w:spacing w:after="40"/>
            </w:pPr>
            <w:r/>
            <w:r>
              <w:rPr>
                <w:sz w:val="17"/>
              </w:rPr>
              <w:t>One row per address</w:t>
            </w:r>
          </w:p>
        </w:tc>
      </w:tr>
      <w:tr>
        <w:tc>
          <w:tcPr>
            <w:tcW w:type="dxa" w:w="2160"/>
          </w:tcPr>
          <w:p>
            <w:pPr>
              <w:spacing w:after="40"/>
            </w:pPr>
            <w:r/>
            <w:r>
              <w:rPr>
                <w:sz w:val="17"/>
              </w:rPr>
              <w:t>F0006</w:t>
            </w:r>
          </w:p>
        </w:tc>
        <w:tc>
          <w:tcPr>
            <w:tcW w:type="dxa" w:w="4896"/>
          </w:tcPr>
          <w:p>
            <w:pPr>
              <w:spacing w:after="40"/>
            </w:pPr>
            <w:r/>
            <w:r>
              <w:rPr>
                <w:sz w:val="17"/>
              </w:rPr>
            </w:r>
            <w:r>
              <w:rPr>
                <w:rFonts w:ascii="Consolas" w:hAnsi="Consolas"/>
                <w:sz w:val="16"/>
              </w:rPr>
              <w:t>groupBy(cost_center).agg(first(...))</w:t>
            </w:r>
            <w:r>
              <w:rPr>
                <w:sz w:val="17"/>
              </w:rPr>
              <w:t xml:space="preserve"> — lines 191–192</w:t>
            </w:r>
          </w:p>
        </w:tc>
        <w:tc>
          <w:tcPr>
            <w:tcW w:type="dxa" w:w="2592"/>
          </w:tcPr>
          <w:p>
            <w:pPr>
              <w:spacing w:after="40"/>
            </w:pPr>
            <w:r/>
            <w:r>
              <w:rPr>
                <w:sz w:val="17"/>
              </w:rPr>
              <w:t>One row per business unit</w:t>
            </w:r>
          </w:p>
        </w:tc>
      </w:tr>
      <w:tr>
        <w:tc>
          <w:tcPr>
            <w:tcW w:type="dxa" w:w="2160"/>
          </w:tcPr>
          <w:p>
            <w:pPr>
              <w:spacing w:after="40"/>
            </w:pPr>
            <w:r/>
            <w:r>
              <w:rPr>
                <w:sz w:val="17"/>
              </w:rPr>
            </w:r>
            <w:r>
              <w:rPr>
                <w:rFonts w:ascii="Consolas" w:hAnsi="Consolas"/>
                <w:sz w:val="16"/>
              </w:rPr>
              <w:t>dim_plant</w:t>
            </w:r>
            <w:r>
              <w:rPr>
                <w:sz w:val="17"/>
              </w:rPr>
            </w:r>
          </w:p>
        </w:tc>
        <w:tc>
          <w:tcPr>
            <w:tcW w:type="dxa" w:w="4896"/>
          </w:tcPr>
          <w:p>
            <w:pPr>
              <w:spacing w:after="40"/>
            </w:pPr>
            <w:r/>
            <w:r>
              <w:rPr>
                <w:sz w:val="17"/>
              </w:rPr>
              <w:t xml:space="preserve">reused Gold dim — already one row per </w:t>
            </w:r>
            <w:r>
              <w:rPr>
                <w:rFonts w:ascii="Consolas" w:hAnsi="Consolas"/>
                <w:sz w:val="16"/>
              </w:rPr>
              <w:t>plant_code</w:t>
            </w:r>
            <w:r>
              <w:rPr>
                <w:sz w:val="17"/>
              </w:rPr>
              <w:t xml:space="preserve"> (built by its own upstream job)</w:t>
            </w:r>
          </w:p>
        </w:tc>
        <w:tc>
          <w:tcPr>
            <w:tcW w:type="dxa" w:w="2592"/>
          </w:tcPr>
          <w:p>
            <w:pPr>
              <w:spacing w:after="40"/>
            </w:pPr>
            <w:r/>
            <w:r>
              <w:rPr>
                <w:sz w:val="17"/>
              </w:rPr>
              <w:t>Unique key</w:t>
            </w:r>
          </w:p>
        </w:tc>
      </w:tr>
      <w:tr>
        <w:tc>
          <w:tcPr>
            <w:tcW w:type="dxa" w:w="2160"/>
          </w:tcPr>
          <w:p>
            <w:pPr>
              <w:spacing w:after="40"/>
            </w:pPr>
            <w:r/>
            <w:r>
              <w:rPr>
                <w:sz w:val="17"/>
              </w:rPr>
            </w:r>
            <w:r>
              <w:rPr>
                <w:rFonts w:ascii="Consolas" w:hAnsi="Consolas"/>
                <w:sz w:val="16"/>
              </w:rPr>
              <w:t>dim_sic</w:t>
            </w:r>
            <w:r>
              <w:rPr>
                <w:sz w:val="17"/>
              </w:rPr>
              <w:t xml:space="preserve"> / </w:t>
            </w:r>
            <w:r>
              <w:rPr>
                <w:rFonts w:ascii="Consolas" w:hAnsi="Consolas"/>
                <w:sz w:val="16"/>
              </w:rPr>
              <w:t>dim_state</w:t>
            </w:r>
            <w:r>
              <w:rPr>
                <w:sz w:val="17"/>
              </w:rPr>
            </w:r>
          </w:p>
        </w:tc>
        <w:tc>
          <w:tcPr>
            <w:tcW w:type="dxa" w:w="4896"/>
          </w:tcPr>
          <w:p>
            <w:pPr>
              <w:spacing w:after="40"/>
            </w:pPr>
            <w:r/>
            <w:r>
              <w:rPr>
                <w:sz w:val="17"/>
              </w:rPr>
            </w:r>
            <w:r>
              <w:rPr>
                <w:rFonts w:ascii="Consolas" w:hAnsi="Consolas"/>
                <w:sz w:val="16"/>
              </w:rPr>
              <w:t>dropDuplicates([key])</w:t>
            </w:r>
            <w:r>
              <w:rPr>
                <w:sz w:val="17"/>
              </w:rPr>
              <w:t xml:space="preserve"> after filtering to one UDC system/type</w:t>
            </w:r>
          </w:p>
        </w:tc>
        <w:tc>
          <w:tcPr>
            <w:tcW w:type="dxa" w:w="2592"/>
          </w:tcPr>
          <w:p>
            <w:pPr>
              <w:spacing w:after="40"/>
            </w:pPr>
            <w:r/>
            <w:r>
              <w:rPr>
                <w:sz w:val="17"/>
              </w:rPr>
              <w:t>Unique key</w:t>
            </w:r>
          </w:p>
        </w:tc>
      </w:tr>
      <w:tr>
        <w:tc>
          <w:tcPr>
            <w:tcW w:type="dxa" w:w="2160"/>
          </w:tcPr>
          <w:p>
            <w:pPr>
              <w:spacing w:after="40"/>
            </w:pPr>
            <w:r/>
            <w:r>
              <w:rPr>
                <w:sz w:val="17"/>
              </w:rPr>
              <w:t>The fact itself</w:t>
            </w:r>
          </w:p>
        </w:tc>
        <w:tc>
          <w:tcPr>
            <w:tcW w:type="dxa" w:w="4896"/>
          </w:tcPr>
          <w:p>
            <w:pPr>
              <w:spacing w:after="40"/>
            </w:pPr>
            <w:r/>
            <w:r>
              <w:rPr>
                <w:sz w:val="17"/>
              </w:rPr>
            </w:r>
            <w:r>
              <w:rPr>
                <w:rFonts w:ascii="Consolas" w:hAnsi="Consolas"/>
                <w:sz w:val="16"/>
              </w:rPr>
              <w:t>dropDuplicates(["sales_tax_line_key"])</w:t>
            </w:r>
            <w:r>
              <w:rPr>
                <w:sz w:val="17"/>
              </w:rPr>
            </w:r>
          </w:p>
        </w:tc>
        <w:tc>
          <w:tcPr>
            <w:tcW w:type="dxa" w:w="2592"/>
          </w:tcPr>
          <w:p>
            <w:pPr>
              <w:spacing w:after="40"/>
            </w:pPr>
            <w:r/>
            <w:r>
              <w:rPr>
                <w:sz w:val="17"/>
              </w:rPr>
              <w:t>Unique row key</w:t>
            </w:r>
          </w:p>
        </w:tc>
      </w:tr>
    </w:tbl>
    <w:p>
      <w:pPr>
        <w:spacing w:after="80"/>
      </w:pPr>
    </w:p>
    <w:p>
      <w:r>
        <w:rPr>
          <w:b w:val="0"/>
          <w:i w:val="0"/>
        </w:rPr>
        <w:t>The F03B11 join cannot fan out either, because it is INNER on the full four-column key — document, type, company and line number — which is the invoice line's identity in JDE.</w:t>
      </w:r>
    </w:p>
    <w:p>
      <w:r>
        <w:rPr>
          <w:b w:val="0"/>
          <w:i w:val="0"/>
        </w:rPr>
        <w:t>So structurally, no fan-out. Revision 1 found a real defect inside one of those collapses — not a fan-out, but a non-determinism — which Revision 2 has since fixed.</w:t>
      </w:r>
    </w:p>
    <w:p>
      <w:pPr>
        <w:pStyle w:val="Heading4"/>
      </w:pPr>
      <w:r>
        <w:t>Finding 3 (HIGH) — the address collapse was non-deterministic  ·  RESOLVED IN REV 2</w:t>
      </w:r>
    </w:p>
    <w:p>
      <w:r>
        <w:rPr>
          <w:b w:val="0"/>
          <w:i w:val="0"/>
        </w:rPr>
        <w:t>As raised in Revision 1, the collapse read:</w:t>
      </w:r>
    </w:p>
    <w:p>
      <w:pPr>
        <w:spacing w:before="100" w:after="140" w:line="240" w:lineRule="auto"/>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address = (ab.alias("ab")</w:t>
        <w:br/>
        <w:t xml:space="preserve">           .join(adr.alias("ad"), F.col("ab.address_number") == F.col("ad.address_number"), "inner")</w:t>
        <w:br/>
        <w:t xml:space="preserve">           .groupBy(F.col("ab.address_number").alias("addr_key"))</w:t>
        <w:br/>
        <w:t xml:space="preserve">           .agg(F.first(F.trim(F.col("ab.standard_industry_code")), ignorenulls=True).alias("sic_code"),</w:t>
        <w:br/>
        <w:t xml:space="preserve">                F.first(F.trim(F.col("ad.state")),                   ignorenulls=True).alias("jurisdiction"),</w:t>
        <w:br/>
        <w:t xml:space="preserve">                F.first(F.trim(F.col("ad.county_address")),          ignorenulls=True).alias("county")))</w:t>
        <w:br/>
        <w:t xml:space="preserve">                                    — Rev 1 code, then at lines 222–227</w:t>
      </w:r>
    </w:p>
    <w:p>
      <w:r>
        <w:rPr>
          <w:b w:val="0"/>
          <w:i w:val="0"/>
        </w:rPr>
        <w:t>F0116 is effective-dated. The metadata confirms it carries `ALEFTB` → `date_beginning_effective` and `ALEFTF` → `effective_date_existence_10`. An address that has moved has more than one row.</w:t>
      </w:r>
    </w:p>
    <w:p>
      <w:r>
        <w:rPr>
          <w:b w:val="0"/>
          <w:i w:val="0"/>
        </w:rPr>
        <w:t>`F.first()` with no `orderBy` returns whichever row Spark happens to encounter first. That depends on partitioning and task scheduling — it is not stable across runs. So an address with two F0116 rows, one in Colorado and one in Texas, can be assigned either state, and the choice can change between runs of the same code over the same data.</w:t>
      </w:r>
    </w:p>
    <w:p>
      <w:r>
        <w:rPr>
          <w:b w:val="0"/>
          <w:i w:val="0"/>
        </w:rPr>
        <w:t>This is not a theoretical concern. `jurisdiction` is a reporting attribute on a tax report, `county` feeds tax analysis, and `sic_code` feeds the Business Stream calculation — so an unstable pick can flip an invoice between O&amp;G and ISP. It also undermines the recompute-by-scope design, which relies on a recompute reproducing what the seed produced.</w:t>
      </w:r>
    </w:p>
    <w:p>
      <w:r>
        <w:rPr>
          <w:b w:val="0"/>
          <w:i w:val="0"/>
        </w:rPr>
        <w:t>The project already knows the right answer, which makes this an inconsistency rather than an open question. `ESO4_gold_layer_design.md` describes the reused address dimension as 'F0101 ⋈ F0116 latest-effective' in three separate places, and ESO1 resolves the identical problem with a `row_number()` window picking the latest effective row. Only the ESO4 fact's inline collapse skips the ordering.</w:t>
      </w:r>
    </w:p>
    <w:p>
      <w:pPr>
        <w:spacing w:before="120" w:after="160"/>
        <w:ind w:left="144"/>
        <w:shd w:val="clear" w:fill="E2EFDA"/>
        <w:pBdr>
          <w:top w:val="single" w:sz="4" w:space="4" w:color="70AD47"/>
          <w:left w:val="single" w:sz="4" w:space="4" w:color="70AD47"/>
          <w:bottom w:val="single" w:sz="4" w:space="4" w:color="70AD47"/>
          <w:right w:val="single" w:sz="4" w:space="4" w:color="70AD47"/>
        </w:pBdr>
      </w:pPr>
      <w:r>
        <w:rPr>
          <w:b/>
          <w:sz w:val="20"/>
        </w:rPr>
        <w:t xml:space="preserve">✔ RESOLVED — Finding 3  </w:t>
      </w:r>
      <w:r>
        <w:rPr>
          <w:sz w:val="20"/>
        </w:rPr>
        <w:t xml:space="preserve">Fixed in </w:t>
      </w:r>
      <w:r>
        <w:rPr>
          <w:rFonts w:ascii="Consolas" w:hAnsi="Consolas"/>
          <w:sz w:val="18"/>
        </w:rPr>
        <w:t>nb_eso4_gold_fact_sales_tax_reconciliation.py</w:t>
      </w:r>
      <w:r>
        <w:rPr>
          <w:sz w:val="20"/>
        </w:rPr>
        <w:t xml:space="preserve"> lines 164–187 (current file). The groupBy/first was replaced with a </w:t>
      </w:r>
      <w:r>
        <w:rPr>
          <w:rFonts w:ascii="Consolas" w:hAnsi="Consolas"/>
          <w:sz w:val="18"/>
        </w:rPr>
        <w:t>row_number()</w:t>
      </w:r>
      <w:r>
        <w:rPr>
          <w:sz w:val="20"/>
        </w:rPr>
        <w:t xml:space="preserve"> latest-effective window, and </w:t>
      </w:r>
      <w:r>
        <w:rPr>
          <w:rFonts w:ascii="Consolas" w:hAnsi="Consolas"/>
          <w:sz w:val="18"/>
        </w:rPr>
        <w:t>Window</w:t>
      </w:r>
      <w:r>
        <w:rPr>
          <w:sz w:val="20"/>
        </w:rPr>
        <w:t xml:space="preserve"> is imported at the top (</w:t>
      </w:r>
      <w:r>
        <w:rPr>
          <w:rFonts w:ascii="Consolas" w:hAnsi="Consolas"/>
          <w:sz w:val="18"/>
        </w:rPr>
        <w:t>from pyspark.sql import functions as F, Window</w:t>
      </w:r>
      <w:r>
        <w:rPr>
          <w:sz w:val="20"/>
        </w:rPr>
        <w:t>). The code now reads:</w:t>
      </w:r>
    </w:p>
    <w:p>
      <w:pPr>
        <w:spacing w:before="100" w:after="140" w:line="240" w:lineRule="auto"/>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_adr_w = Window.partitionBy(F.col("ad.address_number")).orderBy(</w:t>
        <w:br/>
        <w:t xml:space="preserve">    F.col("ad.date_beginning_effective").desc_nulls_last(),</w:t>
        <w:br/>
        <w:t xml:space="preserve">    F.col("ad.date_updated").desc_nulls_last())</w:t>
        <w:br/>
        <w:t>address = (ab.alias("ab")</w:t>
        <w:br/>
        <w:t xml:space="preserve">           .join(adr.alias("ad"), F.col("ab.address_number") == F.col("ad.address_number"), "inner")</w:t>
        <w:br/>
        <w:t xml:space="preserve">           .withColumn("_arn", F.row_number().over(_adr_w))</w:t>
        <w:br/>
        <w:t xml:space="preserve">           .where(F.col("_arn") == 1)</w:t>
        <w:br/>
        <w:t xml:space="preserve">           .select(F.col("ab.address_number").alias("addr_key"),</w:t>
        <w:br/>
        <w:t xml:space="preserve">                   F.trim(F.col("ab.standard_industry_code")).alias("sic_code"),      # ABSIC  (FK dim_sic)</w:t>
        <w:br/>
        <w:t xml:space="preserve">                   F.trim(F.col("ad.state")).alias("jurisdiction"),                   # ALADDS (FK dim_state)</w:t>
        <w:br/>
        <w:t xml:space="preserve">                   F.trim(F.col("ad.county_address")).alias("county")))               # ALCOUN</w:t>
        <w:br/>
        <w:t xml:space="preserve">                                    — fact notebook, lines 164–187 (current file)</w:t>
      </w:r>
    </w:p>
    <w:p>
      <w:r>
        <w:rPr>
          <w:b w:val="0"/>
          <w:i w:val="0"/>
        </w:rPr>
        <w:t>Both column names were confirmed against `converted_tables_21.json` before use: ALEFTB maps to `date_beginning_effective` and ALUPMJ to `date_updated`. The tie-break on `date_updated` matters — two F0116 rows sharing an effective date would otherwise reintroduce the very non-determinism being removed.</w:t>
      </w:r>
    </w:p>
    <w:p>
      <w:r>
        <w:rPr>
          <w:b w:val="0"/>
          <w:i w:val="0"/>
        </w:rPr>
        <w:t>The pick is now stable across runs, which also restores a property the recompute-by-scope design depends on: a recompute reproduces what the seed produced. And it aligns the fact with the reused `rpt.dim_address_book` beside it in the model, which already resolves F0116 latest-effective — so the fact and the dimension can no longer disagree about where a customer is.</w:t>
      </w:r>
    </w:p>
    <w:p>
      <w:r>
        <w:rPr>
          <w:b w:val="0"/>
          <w:i w:val="0"/>
        </w:rPr>
        <w:t>One incidental improvement worth noting. The window partitions the JOINED set by address number, so it guarantees one row per address even if F0101 itself were to contain duplicates. The old groupBy gave the same guarantee, so this is not a change in behaviour — but the guarantee is now independent of an assumption about F0101 that was never verified.</w:t>
      </w:r>
    </w:p>
    <w:p>
      <w:pPr>
        <w:spacing w:before="120" w:after="160"/>
        <w:ind w:left="144"/>
        <w:shd w:val="clear" w:fill="FFF4E5"/>
        <w:pBdr>
          <w:top w:val="single" w:sz="4" w:space="4" w:color="E8C48A"/>
          <w:left w:val="single" w:sz="4" w:space="4" w:color="E8C48A"/>
          <w:bottom w:val="single" w:sz="4" w:space="4" w:color="E8C48A"/>
          <w:right w:val="single" w:sz="4" w:space="4" w:color="E8C48A"/>
        </w:pBdr>
      </w:pPr>
      <w:r>
        <w:rPr>
          <w:b/>
          <w:sz w:val="20"/>
        </w:rPr>
        <w:t xml:space="preserve">Residual — the F0116 multiplicity question is still open.  </w:t>
      </w:r>
      <w:r>
        <w:rPr>
          <w:sz w:val="20"/>
        </w:rPr>
        <w:t>Determinism is fixed; the question of WHICH row is correct is a data question this fix does not answer, because latest-effective is an assumption about intent. It is also what decides whether the Hubble variance below is real. Run the multiplicity query at the first load.</w:t>
      </w:r>
    </w:p>
    <w:p>
      <w:pPr>
        <w:pStyle w:val="Heading4"/>
      </w:pPr>
      <w:r>
        <w:t>Finding 5 rider — a conditional variance against Hubble</w:t>
      </w:r>
    </w:p>
    <w:p>
      <w:r>
        <w:rPr>
          <w:b w:val="0"/>
          <w:i w:val="0"/>
        </w:rPr>
        <w:t>Worth recording here because it looks like a fan-out question and is not quite one.</w:t>
      </w:r>
    </w:p>
    <w:p>
      <w:r>
        <w:rPr>
          <w:b w:val="0"/>
          <w:i w:val="0"/>
        </w:rPr>
        <w:t>Hubble does NOT collapse F0116. It joins every matching row, and its GROUP BY includes ALADDS and ALCOUN. So if an address has two effective-dated rows with different states, Hubble emits two rows for the same invoice — each carrying the FULL invoice amounts — and the report total counts that invoice twice. Our collapse emits one row and counts it once.</w:t>
      </w:r>
    </w:p>
    <w:p>
      <w:r>
        <w:rPr>
          <w:b w:val="0"/>
          <w:i w:val="0"/>
        </w:rPr>
        <w:t>Our behaviour is the correct one, and it is what Gate 1 asks for. But it means that where this situation occurs, ESO4 will legitimately NOT tie to Hubble — and Gate 2 asks for reconciliation. These two requirements are in genuine tension, and the resolution is to document the variance rather than to reintroduce the double-count.</w:t>
      </w:r>
    </w:p>
    <w:p>
      <w:r>
        <w:rPr>
          <w:b w:val="0"/>
          <w:i w:val="0"/>
        </w:rPr>
        <w:t>Whether it occurs at all is a data question nobody has answered yet, because nothing has run. It is cheap to answer on first load:</w:t>
      </w:r>
    </w:p>
    <w:p>
      <w:pPr>
        <w:spacing w:before="100" w:after="140" w:line="240" w:lineRule="auto"/>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Does any address actually have more than one F0116 row?</w:t>
        <w:br/>
        <w:t>spark.sql('''</w:t>
        <w:br/>
        <w:t xml:space="preserve">  SELECT COUNT(*) AS addresses_with_multiple_f0116_rows</w:t>
        <w:br/>
        <w:t xml:space="preserve">  FROM (SELECT address_number</w:t>
        <w:br/>
        <w:t xml:space="preserve">        FROM lh_jde_silver.jde_cdc.f0116_address_by_date</w:t>
        <w:br/>
        <w:t xml:space="preserve">        WHERE is_delete = 0</w:t>
        <w:br/>
        <w:t xml:space="preserve">        GROUP BY address_number</w:t>
        <w:br/>
        <w:t xml:space="preserve">        HAVING COUNT(*) &gt; 1)</w:t>
        <w:br/>
        <w:t>''').show()</w:t>
        <w:br/>
        <w:t># 0  -&gt; the variance is theoretical; Hubble and ESO4 agree; Finding 3 becomes cosmetic.</w:t>
        <w:br/>
        <w:t># &gt;0 -&gt; the variance is real; quantify it before reconciling, and Finding 3 is a live defect.</w:t>
      </w:r>
    </w:p>
    <w:p>
      <w:pPr>
        <w:spacing w:after="40"/>
      </w:pPr>
      <w:r>
        <w:rPr>
          <w:b/>
          <w:sz w:val="19"/>
        </w:rPr>
        <w:t>Evidence examined</w:t>
      </w:r>
    </w:p>
    <w:p>
      <w:pPr>
        <w:pStyle w:val="ListBullet"/>
        <w:spacing w:after="20"/>
        <w:ind w:left="403"/>
      </w:pPr>
      <w:r>
        <w:rPr>
          <w:sz w:val="18"/>
        </w:rPr>
        <w:t>fact notebook lines 164–192 (both pre-collapses)</w:t>
      </w:r>
    </w:p>
    <w:p>
      <w:pPr>
        <w:pStyle w:val="ListBullet"/>
        <w:spacing w:after="20"/>
        <w:ind w:left="403"/>
      </w:pPr>
      <w:r>
        <w:rPr>
          <w:sz w:val="18"/>
        </w:rPr>
      </w:r>
      <w:r>
        <w:rPr>
          <w:rFonts w:ascii="Consolas" w:hAnsi="Consolas"/>
          <w:sz w:val="17"/>
        </w:rPr>
        <w:t>converted_tables_21.json</w:t>
      </w:r>
      <w:r>
        <w:rPr>
          <w:sz w:val="18"/>
        </w:rPr>
        <w:t xml:space="preserve"> — F0116 carries </w:t>
      </w:r>
      <w:r>
        <w:rPr>
          <w:rFonts w:ascii="Consolas" w:hAnsi="Consolas"/>
          <w:sz w:val="17"/>
        </w:rPr>
        <w:t>ALEFTB</w:t>
      </w:r>
      <w:r>
        <w:rPr>
          <w:sz w:val="18"/>
        </w:rPr>
        <w:t>/</w:t>
      </w:r>
      <w:r>
        <w:rPr>
          <w:rFonts w:ascii="Consolas" w:hAnsi="Consolas"/>
          <w:sz w:val="17"/>
        </w:rPr>
        <w:t>date_beginning_effective</w:t>
      </w:r>
      <w:r>
        <w:rPr>
          <w:sz w:val="18"/>
        </w:rPr>
        <w:t>, confirming effective dating</w:t>
      </w:r>
    </w:p>
    <w:p>
      <w:pPr>
        <w:pStyle w:val="ListBullet"/>
        <w:spacing w:after="20"/>
        <w:ind w:left="403"/>
      </w:pPr>
      <w:r>
        <w:rPr>
          <w:sz w:val="18"/>
        </w:rPr>
      </w:r>
      <w:r>
        <w:rPr>
          <w:rFonts w:ascii="Consolas" w:hAnsi="Consolas"/>
          <w:sz w:val="17"/>
        </w:rPr>
        <w:t>ESO4_gold_layer_design.md</w:t>
      </w:r>
      <w:r>
        <w:rPr>
          <w:sz w:val="18"/>
        </w:rPr>
        <w:t xml:space="preserve"> lines 35, 201, 211 — 'F0101 ⋈ F0116 latest-effective' as the project's stated convention</w:t>
      </w:r>
    </w:p>
    <w:p>
      <w:pPr>
        <w:pStyle w:val="ListBullet"/>
        <w:spacing w:after="20"/>
        <w:ind w:left="403"/>
      </w:pPr>
      <w:r>
        <w:rPr>
          <w:sz w:val="18"/>
        </w:rPr>
      </w:r>
      <w:r>
        <w:rPr>
          <w:rFonts w:ascii="Consolas" w:hAnsi="Consolas"/>
          <w:sz w:val="17"/>
        </w:rPr>
        <w:t>eso4/hubble query.txt</w:t>
      </w:r>
      <w:r>
        <w:rPr>
          <w:sz w:val="18"/>
        </w:rPr>
        <w:t xml:space="preserve"> lines 109–116 (Hubble's uncollapsed join) and 122–146 (ALADDS/ALCOUN in the GROUP BY)</w:t>
      </w:r>
    </w:p>
    <w:p>
      <w:pPr>
        <w:spacing w:after="40"/>
      </w:pPr>
    </w:p>
    <w:p>
      <w:pPr>
        <w:spacing w:before="120" w:after="200"/>
        <w:shd w:val="clear" w:fill="E2EFDA"/>
        <w:pBdr>
          <w:top w:val="single" w:sz="4" w:space="4" w:color="70AD47"/>
          <w:left w:val="single" w:sz="4" w:space="4" w:color="70AD47"/>
          <w:bottom w:val="single" w:sz="4" w:space="4" w:color="70AD47"/>
          <w:right w:val="single" w:sz="4" w:space="4" w:color="70AD47"/>
        </w:pBdr>
      </w:pPr>
      <w:r>
        <w:rPr>
          <w:b/>
          <w:sz w:val="21"/>
        </w:rPr>
        <w:t xml:space="preserve">VERDICT: PASS — RESOLVED IN REV 2  </w:t>
      </w:r>
      <w:r>
        <w:rPr>
          <w:sz w:val="20"/>
        </w:rPr>
        <w:t>The fact/dimension split is clean and structurally correct, and fan-out is systematically prevented. Finding 3 is fixed and re-verified: the address pick is now deterministic and consistent with the reused address dimension. The conditional Hubble variance from the F0116 collapse remains a data question for Gate 2, not a design defect — our behaviour is the correct one.</w:t>
      </w:r>
    </w:p>
    <w:p>
      <w:pPr>
        <w:pStyle w:val="Heading2"/>
      </w:pPr>
      <w:r>
        <w:t>1.3  Keys and relationships are accurate, with no ambiguous joins</w:t>
      </w:r>
    </w:p>
    <w:p>
      <w:pPr>
        <w:pStyle w:val="Heading3"/>
      </w:pPr>
      <w:r>
        <w:t>Keys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sz w:val="18"/>
              </w:rPr>
              <w:t>Key</w:t>
            </w:r>
          </w:p>
        </w:tc>
        <w:tc>
          <w:tcPr>
            <w:tcW w:type="dxa" w:w="3312"/>
          </w:tcPr>
          <w:p>
            <w:r/>
            <w:r>
              <w:rPr>
                <w:b/>
                <w:sz w:val="18"/>
              </w:rPr>
              <w:t>Definition</w:t>
            </w:r>
          </w:p>
        </w:tc>
        <w:tc>
          <w:tcPr>
            <w:tcW w:type="dxa" w:w="4320"/>
          </w:tcPr>
          <w:p>
            <w:r/>
            <w:r>
              <w:rPr>
                <w:b/>
                <w:sz w:val="18"/>
              </w:rPr>
              <w:t>Assessment</w:t>
            </w:r>
          </w:p>
        </w:tc>
      </w:tr>
      <w:tr>
        <w:tc>
          <w:tcPr>
            <w:tcW w:type="dxa" w:w="2016"/>
          </w:tcPr>
          <w:p>
            <w:pPr>
              <w:spacing w:after="40"/>
            </w:pPr>
            <w:r/>
            <w:r>
              <w:rPr>
                <w:sz w:val="17"/>
              </w:rPr>
            </w:r>
            <w:r>
              <w:rPr>
                <w:rFonts w:ascii="Consolas" w:hAnsi="Consolas"/>
                <w:sz w:val="16"/>
              </w:rPr>
              <w:t>sales_tax_line_key</w:t>
            </w:r>
            <w:r>
              <w:rPr>
                <w:sz w:val="17"/>
              </w:rPr>
            </w:r>
          </w:p>
        </w:tc>
        <w:tc>
          <w:tcPr>
            <w:tcW w:type="dxa" w:w="3312"/>
          </w:tcPr>
          <w:p>
            <w:pPr>
              <w:spacing w:after="40"/>
            </w:pPr>
            <w:r/>
            <w:r>
              <w:rPr>
                <w:sz w:val="17"/>
              </w:rPr>
              <w:t>SHA-256 of all 18 grain columns</w:t>
            </w:r>
          </w:p>
        </w:tc>
        <w:tc>
          <w:tcPr>
            <w:tcW w:type="dxa" w:w="4320"/>
          </w:tcPr>
          <w:p>
            <w:pPr>
              <w:spacing w:after="40"/>
            </w:pPr>
            <w:r/>
            <w:r>
              <w:rPr>
                <w:sz w:val="17"/>
              </w:rPr>
              <w:t xml:space="preserve">Correct. Unique by construction after the GROUP BY, with a defensive </w:t>
            </w:r>
            <w:r>
              <w:rPr>
                <w:rFonts w:ascii="Consolas" w:hAnsi="Consolas"/>
                <w:sz w:val="16"/>
              </w:rPr>
              <w:t>dropDuplicates</w:t>
            </w:r>
            <w:r>
              <w:rPr>
                <w:sz w:val="17"/>
              </w:rPr>
              <w:t xml:space="preserve"> behind it. Hidden in the model.</w:t>
            </w:r>
          </w:p>
        </w:tc>
      </w:tr>
      <w:tr>
        <w:tc>
          <w:tcPr>
            <w:tcW w:type="dxa" w:w="2016"/>
          </w:tcPr>
          <w:p>
            <w:pPr>
              <w:spacing w:after="40"/>
            </w:pPr>
            <w:r/>
            <w:r>
              <w:rPr>
                <w:sz w:val="17"/>
              </w:rPr>
            </w:r>
            <w:r>
              <w:rPr>
                <w:rFonts w:ascii="Consolas" w:hAnsi="Consolas"/>
                <w:sz w:val="16"/>
              </w:rPr>
              <w:t>document_scope_key</w:t>
            </w:r>
            <w:r>
              <w:rPr>
                <w:sz w:val="17"/>
              </w:rPr>
            </w:r>
          </w:p>
        </w:tc>
        <w:tc>
          <w:tcPr>
            <w:tcW w:type="dxa" w:w="3312"/>
          </w:tcPr>
          <w:p>
            <w:pPr>
              <w:spacing w:after="40"/>
            </w:pPr>
            <w:r/>
            <w:r>
              <w:rPr>
                <w:sz w:val="17"/>
              </w:rPr>
              <w:t>SHA-256 of company + document type + invoice number</w:t>
            </w:r>
          </w:p>
        </w:tc>
        <w:tc>
          <w:tcPr>
            <w:tcW w:type="dxa" w:w="4320"/>
          </w:tcPr>
          <w:p>
            <w:pPr>
              <w:spacing w:after="40"/>
            </w:pPr>
            <w:r/>
            <w:r>
              <w:rPr>
                <w:sz w:val="17"/>
              </w:rPr>
              <w:t>Correct, and correctly COARSER than the row key — many rows share one scope, which is what lets an invoice's rows be deleted as a set. Hidden in the model.</w:t>
            </w:r>
          </w:p>
        </w:tc>
      </w:tr>
    </w:tbl>
    <w:p>
      <w:pPr>
        <w:spacing w:after="80"/>
      </w:pPr>
    </w:p>
    <w:p>
      <w:r>
        <w:rPr>
          <w:b w:val="0"/>
          <w:i w:val="0"/>
        </w:rPr>
        <w:t>The `sk()` helper concatenates with a `||` separator before hashing, which prevents the collision that ('AB','C') and ('A','BC') would otherwise produce. Correct.</w:t>
      </w:r>
    </w:p>
    <w:p>
      <w:pPr>
        <w:pStyle w:val="Heading3"/>
      </w:pPr>
      <w:r>
        <w:t>Relationships</w:t>
      </w:r>
    </w:p>
    <w:p>
      <w:r>
        <w:rPr>
          <w:b w:val="0"/>
          <w:i w:val="0"/>
        </w:rPr>
        <w:t>Six relationships, all single-direction many-to-one by TMDL default. Every one was checked for a data-type match on both sides: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872"/>
          </w:tcPr>
          <w:p>
            <w:r/>
            <w:r>
              <w:rPr>
                <w:b/>
                <w:sz w:val="18"/>
              </w:rPr>
              <w:t>From (fact)</w:t>
            </w:r>
          </w:p>
        </w:tc>
        <w:tc>
          <w:tcPr>
            <w:tcW w:type="dxa" w:w="864"/>
          </w:tcPr>
          <w:p>
            <w:r/>
            <w:r>
              <w:rPr>
                <w:b/>
                <w:sz w:val="18"/>
              </w:rPr>
              <w:t>Type</w:t>
            </w:r>
          </w:p>
        </w:tc>
        <w:tc>
          <w:tcPr>
            <w:tcW w:type="dxa" w:w="2736"/>
          </w:tcPr>
          <w:p>
            <w:r/>
            <w:r>
              <w:rPr>
                <w:b/>
                <w:sz w:val="18"/>
              </w:rPr>
              <w:t>To (dimension)</w:t>
            </w:r>
          </w:p>
        </w:tc>
        <w:tc>
          <w:tcPr>
            <w:tcW w:type="dxa" w:w="864"/>
          </w:tcPr>
          <w:p>
            <w:r/>
            <w:r>
              <w:rPr>
                <w:b/>
                <w:sz w:val="18"/>
              </w:rPr>
              <w:t>Type</w:t>
            </w:r>
          </w:p>
        </w:tc>
        <w:tc>
          <w:tcPr>
            <w:tcW w:type="dxa" w:w="3312"/>
          </w:tcPr>
          <w:p>
            <w:r/>
            <w:r>
              <w:rPr>
                <w:b/>
                <w:sz w:val="18"/>
              </w:rPr>
              <w:t>Match</w:t>
            </w:r>
          </w:p>
        </w:tc>
      </w:tr>
      <w:tr>
        <w:tc>
          <w:tcPr>
            <w:tcW w:type="dxa" w:w="1872"/>
          </w:tcPr>
          <w:p>
            <w:pPr>
              <w:spacing w:after="40"/>
            </w:pPr>
            <w:r/>
            <w:r>
              <w:rPr>
                <w:sz w:val="16"/>
              </w:rPr>
            </w:r>
            <w:r>
              <w:rPr>
                <w:rFonts w:ascii="Consolas" w:hAnsi="Consolas"/>
                <w:sz w:val="15"/>
              </w:rPr>
              <w:t>plant</w:t>
            </w:r>
            <w:r>
              <w:rPr>
                <w:sz w:val="16"/>
              </w:rPr>
            </w:r>
          </w:p>
        </w:tc>
        <w:tc>
          <w:tcPr>
            <w:tcW w:type="dxa" w:w="864"/>
          </w:tcPr>
          <w:p>
            <w:pPr>
              <w:spacing w:after="40"/>
            </w:pPr>
            <w:r/>
            <w:r>
              <w:rPr>
                <w:sz w:val="16"/>
              </w:rPr>
              <w:t>string</w:t>
            </w:r>
          </w:p>
        </w:tc>
        <w:tc>
          <w:tcPr>
            <w:tcW w:type="dxa" w:w="2736"/>
          </w:tcPr>
          <w:p>
            <w:pPr>
              <w:spacing w:after="40"/>
            </w:pPr>
            <w:r/>
            <w:r>
              <w:rPr>
                <w:sz w:val="16"/>
              </w:rPr>
            </w:r>
            <w:r>
              <w:rPr>
                <w:rFonts w:ascii="Consolas" w:hAnsi="Consolas"/>
                <w:sz w:val="15"/>
              </w:rPr>
              <w:t>dim_plant.plant_code</w:t>
            </w:r>
            <w:r>
              <w:rPr>
                <w:sz w:val="16"/>
              </w:rPr>
            </w:r>
          </w:p>
        </w:tc>
        <w:tc>
          <w:tcPr>
            <w:tcW w:type="dxa" w:w="864"/>
          </w:tcPr>
          <w:p>
            <w:pPr>
              <w:spacing w:after="40"/>
            </w:pPr>
            <w:r/>
            <w:r>
              <w:rPr>
                <w:sz w:val="16"/>
              </w:rPr>
              <w:t>string</w:t>
            </w:r>
          </w:p>
        </w:tc>
        <w:tc>
          <w:tcPr>
            <w:tcW w:type="dxa" w:w="3312"/>
          </w:tcPr>
          <w:p>
            <w:pPr>
              <w:spacing w:after="40"/>
            </w:pPr>
            <w:r/>
            <w:r>
              <w:rPr>
                <w:sz w:val="16"/>
              </w:rPr>
              <w:t xml:space="preserve">OK — the fact </w:t>
            </w:r>
            <w:r>
              <w:rPr>
                <w:rFonts w:ascii="Consolas" w:hAnsi="Consolas"/>
                <w:sz w:val="15"/>
              </w:rPr>
              <w:t>trim()</w:t>
            </w:r>
            <w:r>
              <w:rPr>
                <w:sz w:val="16"/>
              </w:rPr>
              <w:t xml:space="preserve">s the plant key and the reused </w:t>
            </w:r>
            <w:r>
              <w:rPr>
                <w:rFonts w:ascii="Consolas" w:hAnsi="Consolas"/>
                <w:sz w:val="15"/>
              </w:rPr>
              <w:t>dim_plant</w:t>
            </w:r>
            <w:r>
              <w:rPr>
                <w:sz w:val="16"/>
              </w:rPr>
              <w:t xml:space="preserve"> is keyed on the trimmed MCU, so JDE space-padding cannot break the join</w:t>
            </w:r>
          </w:p>
        </w:tc>
      </w:tr>
      <w:tr>
        <w:tc>
          <w:tcPr>
            <w:tcW w:type="dxa" w:w="1872"/>
          </w:tcPr>
          <w:p>
            <w:pPr>
              <w:spacing w:after="40"/>
            </w:pPr>
            <w:r/>
            <w:r>
              <w:rPr>
                <w:sz w:val="16"/>
              </w:rPr>
            </w:r>
            <w:r>
              <w:rPr>
                <w:rFonts w:ascii="Consolas" w:hAnsi="Consolas"/>
                <w:sz w:val="15"/>
              </w:rPr>
              <w:t>ship_to</w:t>
            </w:r>
            <w:r>
              <w:rPr>
                <w:sz w:val="16"/>
              </w:rPr>
            </w:r>
          </w:p>
        </w:tc>
        <w:tc>
          <w:tcPr>
            <w:tcW w:type="dxa" w:w="864"/>
          </w:tcPr>
          <w:p>
            <w:pPr>
              <w:spacing w:after="40"/>
            </w:pPr>
            <w:r/>
            <w:r>
              <w:rPr>
                <w:sz w:val="16"/>
              </w:rPr>
              <w:t>int64</w:t>
            </w:r>
          </w:p>
        </w:tc>
        <w:tc>
          <w:tcPr>
            <w:tcW w:type="dxa" w:w="2736"/>
          </w:tcPr>
          <w:p>
            <w:pPr>
              <w:spacing w:after="40"/>
            </w:pPr>
            <w:r/>
            <w:r>
              <w:rPr>
                <w:sz w:val="16"/>
              </w:rPr>
            </w:r>
            <w:r>
              <w:rPr>
                <w:rFonts w:ascii="Consolas" w:hAnsi="Consolas"/>
                <w:sz w:val="15"/>
              </w:rPr>
              <w:t>dim_address_ship_to.address_number</w:t>
            </w:r>
            <w:r>
              <w:rPr>
                <w:sz w:val="16"/>
              </w:rPr>
            </w:r>
          </w:p>
        </w:tc>
        <w:tc>
          <w:tcPr>
            <w:tcW w:type="dxa" w:w="864"/>
          </w:tcPr>
          <w:p>
            <w:pPr>
              <w:spacing w:after="40"/>
            </w:pPr>
            <w:r/>
            <w:r>
              <w:rPr>
                <w:sz w:val="16"/>
              </w:rPr>
              <w:t>int64</w:t>
            </w:r>
          </w:p>
        </w:tc>
        <w:tc>
          <w:tcPr>
            <w:tcW w:type="dxa" w:w="3312"/>
          </w:tcPr>
          <w:p>
            <w:pPr>
              <w:spacing w:after="40"/>
            </w:pPr>
            <w:r/>
            <w:r>
              <w:rPr>
                <w:sz w:val="16"/>
              </w:rPr>
              <w:t>OK</w:t>
            </w:r>
          </w:p>
        </w:tc>
      </w:tr>
      <w:tr>
        <w:tc>
          <w:tcPr>
            <w:tcW w:type="dxa" w:w="1872"/>
          </w:tcPr>
          <w:p>
            <w:pPr>
              <w:spacing w:after="40"/>
            </w:pPr>
            <w:r/>
            <w:r>
              <w:rPr>
                <w:sz w:val="16"/>
              </w:rPr>
            </w:r>
            <w:r>
              <w:rPr>
                <w:rFonts w:ascii="Consolas" w:hAnsi="Consolas"/>
                <w:sz w:val="15"/>
              </w:rPr>
              <w:t>sold_to</w:t>
            </w:r>
            <w:r>
              <w:rPr>
                <w:sz w:val="16"/>
              </w:rPr>
            </w:r>
          </w:p>
        </w:tc>
        <w:tc>
          <w:tcPr>
            <w:tcW w:type="dxa" w:w="864"/>
          </w:tcPr>
          <w:p>
            <w:pPr>
              <w:spacing w:after="40"/>
            </w:pPr>
            <w:r/>
            <w:r>
              <w:rPr>
                <w:sz w:val="16"/>
              </w:rPr>
              <w:t>int64</w:t>
            </w:r>
          </w:p>
        </w:tc>
        <w:tc>
          <w:tcPr>
            <w:tcW w:type="dxa" w:w="2736"/>
          </w:tcPr>
          <w:p>
            <w:pPr>
              <w:spacing w:after="40"/>
            </w:pPr>
            <w:r/>
            <w:r>
              <w:rPr>
                <w:sz w:val="16"/>
              </w:rPr>
            </w:r>
            <w:r>
              <w:rPr>
                <w:rFonts w:ascii="Consolas" w:hAnsi="Consolas"/>
                <w:sz w:val="15"/>
              </w:rPr>
              <w:t>dim_address_sold_to.address_number</w:t>
            </w:r>
            <w:r>
              <w:rPr>
                <w:sz w:val="16"/>
              </w:rPr>
            </w:r>
          </w:p>
        </w:tc>
        <w:tc>
          <w:tcPr>
            <w:tcW w:type="dxa" w:w="864"/>
          </w:tcPr>
          <w:p>
            <w:pPr>
              <w:spacing w:after="40"/>
            </w:pPr>
            <w:r/>
            <w:r>
              <w:rPr>
                <w:sz w:val="16"/>
              </w:rPr>
              <w:t>int64</w:t>
            </w:r>
          </w:p>
        </w:tc>
        <w:tc>
          <w:tcPr>
            <w:tcW w:type="dxa" w:w="3312"/>
          </w:tcPr>
          <w:p>
            <w:pPr>
              <w:spacing w:after="40"/>
            </w:pPr>
            <w:r/>
            <w:r>
              <w:rPr>
                <w:sz w:val="16"/>
              </w:rPr>
              <w:t>OK</w:t>
            </w:r>
          </w:p>
        </w:tc>
      </w:tr>
      <w:tr>
        <w:tc>
          <w:tcPr>
            <w:tcW w:type="dxa" w:w="1872"/>
          </w:tcPr>
          <w:p>
            <w:pPr>
              <w:spacing w:after="40"/>
            </w:pPr>
            <w:r/>
            <w:r>
              <w:rPr>
                <w:sz w:val="16"/>
              </w:rPr>
            </w:r>
            <w:r>
              <w:rPr>
                <w:rFonts w:ascii="Consolas" w:hAnsi="Consolas"/>
                <w:sz w:val="15"/>
              </w:rPr>
              <w:t>parent_number</w:t>
            </w:r>
            <w:r>
              <w:rPr>
                <w:sz w:val="16"/>
              </w:rPr>
            </w:r>
          </w:p>
        </w:tc>
        <w:tc>
          <w:tcPr>
            <w:tcW w:type="dxa" w:w="864"/>
          </w:tcPr>
          <w:p>
            <w:pPr>
              <w:spacing w:after="40"/>
            </w:pPr>
            <w:r/>
            <w:r>
              <w:rPr>
                <w:sz w:val="16"/>
              </w:rPr>
              <w:t>int64</w:t>
            </w:r>
          </w:p>
        </w:tc>
        <w:tc>
          <w:tcPr>
            <w:tcW w:type="dxa" w:w="2736"/>
          </w:tcPr>
          <w:p>
            <w:pPr>
              <w:spacing w:after="40"/>
            </w:pPr>
            <w:r/>
            <w:r>
              <w:rPr>
                <w:sz w:val="16"/>
              </w:rPr>
            </w:r>
            <w:r>
              <w:rPr>
                <w:rFonts w:ascii="Consolas" w:hAnsi="Consolas"/>
                <w:sz w:val="15"/>
              </w:rPr>
              <w:t>dim_address_parent.address_number</w:t>
            </w:r>
            <w:r>
              <w:rPr>
                <w:sz w:val="16"/>
              </w:rPr>
            </w:r>
          </w:p>
        </w:tc>
        <w:tc>
          <w:tcPr>
            <w:tcW w:type="dxa" w:w="864"/>
          </w:tcPr>
          <w:p>
            <w:pPr>
              <w:spacing w:after="40"/>
            </w:pPr>
            <w:r/>
            <w:r>
              <w:rPr>
                <w:sz w:val="16"/>
              </w:rPr>
              <w:t>int64</w:t>
            </w:r>
          </w:p>
        </w:tc>
        <w:tc>
          <w:tcPr>
            <w:tcW w:type="dxa" w:w="3312"/>
          </w:tcPr>
          <w:p>
            <w:pPr>
              <w:spacing w:after="40"/>
            </w:pPr>
            <w:r/>
            <w:r>
              <w:rPr>
                <w:sz w:val="16"/>
              </w:rPr>
              <w:t>OK</w:t>
            </w:r>
          </w:p>
        </w:tc>
      </w:tr>
      <w:tr>
        <w:tc>
          <w:tcPr>
            <w:tcW w:type="dxa" w:w="1872"/>
          </w:tcPr>
          <w:p>
            <w:pPr>
              <w:spacing w:after="40"/>
            </w:pPr>
            <w:r/>
            <w:r>
              <w:rPr>
                <w:sz w:val="16"/>
              </w:rPr>
            </w:r>
            <w:r>
              <w:rPr>
                <w:rFonts w:ascii="Consolas" w:hAnsi="Consolas"/>
                <w:sz w:val="15"/>
              </w:rPr>
              <w:t>sic_code</w:t>
            </w:r>
            <w:r>
              <w:rPr>
                <w:sz w:val="16"/>
              </w:rPr>
            </w:r>
          </w:p>
        </w:tc>
        <w:tc>
          <w:tcPr>
            <w:tcW w:type="dxa" w:w="864"/>
          </w:tcPr>
          <w:p>
            <w:pPr>
              <w:spacing w:after="40"/>
            </w:pPr>
            <w:r/>
            <w:r>
              <w:rPr>
                <w:sz w:val="16"/>
              </w:rPr>
              <w:t>string</w:t>
            </w:r>
          </w:p>
        </w:tc>
        <w:tc>
          <w:tcPr>
            <w:tcW w:type="dxa" w:w="2736"/>
          </w:tcPr>
          <w:p>
            <w:pPr>
              <w:spacing w:after="40"/>
            </w:pPr>
            <w:r/>
            <w:r>
              <w:rPr>
                <w:sz w:val="16"/>
              </w:rPr>
            </w:r>
            <w:r>
              <w:rPr>
                <w:rFonts w:ascii="Consolas" w:hAnsi="Consolas"/>
                <w:sz w:val="15"/>
              </w:rPr>
              <w:t>dim_sic.sic_code</w:t>
            </w:r>
            <w:r>
              <w:rPr>
                <w:sz w:val="16"/>
              </w:rPr>
            </w:r>
          </w:p>
        </w:tc>
        <w:tc>
          <w:tcPr>
            <w:tcW w:type="dxa" w:w="864"/>
          </w:tcPr>
          <w:p>
            <w:pPr>
              <w:spacing w:after="40"/>
            </w:pPr>
            <w:r/>
            <w:r>
              <w:rPr>
                <w:sz w:val="16"/>
              </w:rPr>
              <w:t>string</w:t>
            </w:r>
          </w:p>
        </w:tc>
        <w:tc>
          <w:tcPr>
            <w:tcW w:type="dxa" w:w="3312"/>
          </w:tcPr>
          <w:p>
            <w:pPr>
              <w:spacing w:after="40"/>
            </w:pPr>
            <w:r/>
            <w:r>
              <w:rPr>
                <w:sz w:val="16"/>
              </w:rPr>
              <w:t xml:space="preserve">OK — both </w:t>
            </w:r>
            <w:r>
              <w:rPr>
                <w:rFonts w:ascii="Consolas" w:hAnsi="Consolas"/>
                <w:sz w:val="15"/>
              </w:rPr>
              <w:t>trim()</w:t>
            </w:r>
            <w:r>
              <w:rPr>
                <w:sz w:val="16"/>
              </w:rPr>
              <w:t>-ed</w:t>
            </w:r>
          </w:p>
        </w:tc>
      </w:tr>
      <w:tr>
        <w:tc>
          <w:tcPr>
            <w:tcW w:type="dxa" w:w="1872"/>
          </w:tcPr>
          <w:p>
            <w:pPr>
              <w:spacing w:after="40"/>
            </w:pPr>
            <w:r/>
            <w:r>
              <w:rPr>
                <w:sz w:val="16"/>
              </w:rPr>
            </w:r>
            <w:r>
              <w:rPr>
                <w:rFonts w:ascii="Consolas" w:hAnsi="Consolas"/>
                <w:sz w:val="15"/>
              </w:rPr>
              <w:t>jurisdiction</w:t>
            </w:r>
            <w:r>
              <w:rPr>
                <w:sz w:val="16"/>
              </w:rPr>
            </w:r>
          </w:p>
        </w:tc>
        <w:tc>
          <w:tcPr>
            <w:tcW w:type="dxa" w:w="864"/>
          </w:tcPr>
          <w:p>
            <w:pPr>
              <w:spacing w:after="40"/>
            </w:pPr>
            <w:r/>
            <w:r>
              <w:rPr>
                <w:sz w:val="16"/>
              </w:rPr>
              <w:t>string</w:t>
            </w:r>
          </w:p>
        </w:tc>
        <w:tc>
          <w:tcPr>
            <w:tcW w:type="dxa" w:w="2736"/>
          </w:tcPr>
          <w:p>
            <w:pPr>
              <w:spacing w:after="40"/>
            </w:pPr>
            <w:r/>
            <w:r>
              <w:rPr>
                <w:sz w:val="16"/>
              </w:rPr>
            </w:r>
            <w:r>
              <w:rPr>
                <w:rFonts w:ascii="Consolas" w:hAnsi="Consolas"/>
                <w:sz w:val="15"/>
              </w:rPr>
              <w:t>dim_state.state_code</w:t>
            </w:r>
            <w:r>
              <w:rPr>
                <w:sz w:val="16"/>
              </w:rPr>
            </w:r>
          </w:p>
        </w:tc>
        <w:tc>
          <w:tcPr>
            <w:tcW w:type="dxa" w:w="864"/>
          </w:tcPr>
          <w:p>
            <w:pPr>
              <w:spacing w:after="40"/>
            </w:pPr>
            <w:r/>
            <w:r>
              <w:rPr>
                <w:sz w:val="16"/>
              </w:rPr>
              <w:t>string</w:t>
            </w:r>
          </w:p>
        </w:tc>
        <w:tc>
          <w:tcPr>
            <w:tcW w:type="dxa" w:w="3312"/>
          </w:tcPr>
          <w:p>
            <w:pPr>
              <w:spacing w:after="40"/>
            </w:pPr>
            <w:r/>
            <w:r>
              <w:rPr>
                <w:sz w:val="16"/>
              </w:rPr>
              <w:t xml:space="preserve">OK — both </w:t>
            </w:r>
            <w:r>
              <w:rPr>
                <w:rFonts w:ascii="Consolas" w:hAnsi="Consolas"/>
                <w:sz w:val="15"/>
              </w:rPr>
              <w:t>trim()</w:t>
            </w:r>
            <w:r>
              <w:rPr>
                <w:sz w:val="16"/>
              </w:rPr>
              <w:t>-ed</w:t>
            </w:r>
          </w:p>
        </w:tc>
      </w:tr>
    </w:tbl>
    <w:p>
      <w:pPr>
        <w:spacing w:after="80"/>
      </w:pPr>
    </w:p>
    <w:p>
      <w:r>
        <w:rPr>
          <w:b w:val="0"/>
          <w:i w:val="0"/>
        </w:rPr>
        <w:t>No ambiguity: no role-playing dimension is joined twice on different columns, there are no inactive relationships requiring USERELATIONSHIP, and no bidirectional filters that could create a loop. The three address role views are genuinely separate model tables, which is precisely how role-playing should be handled in Direct Lake.</w:t>
      </w:r>
    </w:p>
    <w:p>
      <w:r>
        <w:rPr>
          <w:b w:val="0"/>
          <w:i w:val="0"/>
        </w:rPr>
        <w:t>One observation rather than a finding: the relationships declare no explicit cardinality or cross-filter direction, relying on the TMDL defaults of many-to-one and single-direction. Those defaults are correct here, so nothing is broken — but stating them explicitly would make the model self-documenting and protect against a future default change.</w:t>
      </w:r>
    </w:p>
    <w:p>
      <w:pPr>
        <w:pStyle w:val="Heading3"/>
      </w:pPr>
      <w:r>
        <w:t>Referential integrity is assumed, not enforced</w:t>
      </w:r>
    </w:p>
    <w:p>
      <w:r>
        <w:rPr>
          <w:b w:val="0"/>
          <w:i w:val="0"/>
        </w:rPr>
        <w:t>Nothing verifies that every `sic_code` on the fact exists in `dim_sic`, or every `plant` in `dim_plant`. In a star schema an unmatched FK sends rows to a blank dimension member and they quietly vanish from any dimension-sliced visual while still counting in a fact-only card — which shows up as visuals that do not add up.</w:t>
      </w:r>
    </w:p>
    <w:p>
      <w:r>
        <w:rPr>
          <w:b w:val="0"/>
          <w:i w:val="0"/>
        </w:rPr>
        <w:t>This is a real risk here for a specific reason: `dim_sic` and `dim_state` are built from INFERRED UDC selectors. If 01/SC is the wrong selector, `dim_sic` is empty, every fact `sic_code` is unmatched, and the Detail page's SIC column silently blanks. That is the single most likely first-run failure, and it will not raise an error.</w:t>
      </w:r>
    </w:p>
    <w:p>
      <w:pPr>
        <w:spacing w:before="120" w:after="160"/>
        <w:ind w:left="144"/>
        <w:shd w:val="clear" w:fill="FFF4E5"/>
        <w:pBdr>
          <w:top w:val="single" w:sz="4" w:space="4" w:color="E8C48A"/>
          <w:left w:val="single" w:sz="4" w:space="4" w:color="E8C48A"/>
          <w:bottom w:val="single" w:sz="4" w:space="4" w:color="E8C48A"/>
          <w:right w:val="single" w:sz="4" w:space="4" w:color="E8C48A"/>
        </w:pBdr>
      </w:pPr>
      <w:r>
        <w:rPr>
          <w:b/>
          <w:sz w:val="20"/>
        </w:rPr>
        <w:t xml:space="preserve">Recommended check, to run immediately after the first load.  </w:t>
      </w:r>
      <w:r>
        <w:rPr>
          <w:sz w:val="20"/>
        </w:rPr>
        <w:t>This is the cheapest possible early warning and takes seconds:</w:t>
      </w:r>
    </w:p>
    <w:p>
      <w:pPr>
        <w:spacing w:before="100" w:after="140" w:line="240" w:lineRule="auto"/>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for fk, dim, dcol in [("sic_code","rpt.dim_sic","sic_code"),</w:t>
        <w:br/>
        <w:t xml:space="preserve">                     ("jurisdiction","rpt.dim_state","state_code"),</w:t>
        <w:br/>
        <w:t xml:space="preserve">                     ("plant","rpt.dim_plant","plant_code")]:</w:t>
        <w:br/>
        <w:t xml:space="preserve">    n = spark.sql(f'''</w:t>
        <w:br/>
        <w:t xml:space="preserve">        SELECT COUNT(*) FROM rpt.fact_sales_tax_reconciliation f</w:t>
        <w:br/>
        <w:t xml:space="preserve">        LEFT ANTI JOIN {dim} d ON f.{fk} = d.{dcol}</w:t>
        <w:br/>
        <w:t xml:space="preserve">        WHERE f.{fk} IS NOT NULL AND f.{fk} &lt;&gt; ''</w:t>
        <w:br/>
        <w:t xml:space="preserve">    ''').first()[0]</w:t>
        <w:br/>
        <w:t xml:space="preserve">    print(f"{fk:14s} unmatched -&gt; {n}")     # every one should print 0</w:t>
      </w:r>
    </w:p>
    <w:p>
      <w:pPr>
        <w:spacing w:after="40"/>
      </w:pPr>
      <w:r>
        <w:rPr>
          <w:b/>
          <w:sz w:val="19"/>
        </w:rPr>
        <w:t>Evidence examined</w:t>
      </w:r>
    </w:p>
    <w:p>
      <w:pPr>
        <w:pStyle w:val="ListBullet"/>
        <w:spacing w:after="20"/>
        <w:ind w:left="403"/>
      </w:pPr>
      <w:r>
        <w:rPr>
          <w:sz w:val="18"/>
        </w:rPr>
      </w:r>
      <w:r>
        <w:rPr>
          <w:rFonts w:ascii="Consolas" w:hAnsi="Consolas"/>
          <w:sz w:val="17"/>
        </w:rPr>
        <w:t>relationships.tmdl</w:t>
      </w:r>
      <w:r>
        <w:rPr>
          <w:sz w:val="18"/>
        </w:rPr>
        <w:t xml:space="preserve"> — all 6 relationships</w:t>
      </w:r>
    </w:p>
    <w:p>
      <w:pPr>
        <w:pStyle w:val="ListBullet"/>
        <w:spacing w:after="20"/>
        <w:ind w:left="403"/>
      </w:pPr>
      <w:r>
        <w:rPr>
          <w:sz w:val="18"/>
        </w:rPr>
      </w:r>
      <w:r>
        <w:rPr>
          <w:rFonts w:ascii="Consolas" w:hAnsi="Consolas"/>
          <w:sz w:val="17"/>
        </w:rPr>
        <w:t>fact_sales_tax_reconciliation.tmdl</w:t>
      </w:r>
      <w:r>
        <w:rPr>
          <w:sz w:val="18"/>
        </w:rPr>
        <w:t xml:space="preserve"> — every column's </w:t>
      </w:r>
      <w:r>
        <w:rPr>
          <w:rFonts w:ascii="Consolas" w:hAnsi="Consolas"/>
          <w:sz w:val="17"/>
        </w:rPr>
        <w:t>dataType</w:t>
      </w:r>
      <w:r>
        <w:rPr>
          <w:sz w:val="18"/>
        </w:rPr>
      </w:r>
    </w:p>
    <w:p>
      <w:pPr>
        <w:pStyle w:val="ListBullet"/>
        <w:spacing w:after="20"/>
        <w:ind w:left="403"/>
      </w:pPr>
      <w:r>
        <w:rPr>
          <w:sz w:val="18"/>
        </w:rPr>
        <w:t xml:space="preserve">The six dimension TMDL files — every key column's </w:t>
      </w:r>
      <w:r>
        <w:rPr>
          <w:rFonts w:ascii="Consolas" w:hAnsi="Consolas"/>
          <w:sz w:val="17"/>
        </w:rPr>
        <w:t>dataType</w:t>
      </w:r>
      <w:r>
        <w:rPr>
          <w:sz w:val="18"/>
        </w:rPr>
      </w:r>
    </w:p>
    <w:p>
      <w:pPr>
        <w:pStyle w:val="ListBullet"/>
        <w:spacing w:after="20"/>
        <w:ind w:left="403"/>
      </w:pPr>
      <w:r>
        <w:rPr>
          <w:sz w:val="18"/>
        </w:rPr>
        <w:t xml:space="preserve">fact notebook line 243 — </w:t>
      </w:r>
      <w:r>
        <w:rPr>
          <w:rFonts w:ascii="Consolas" w:hAnsi="Consolas"/>
          <w:sz w:val="17"/>
        </w:rPr>
        <w:t>trim()</w:t>
      </w:r>
      <w:r>
        <w:rPr>
          <w:sz w:val="18"/>
        </w:rPr>
        <w:t xml:space="preserve">s the plant key; the reused </w:t>
      </w:r>
      <w:r>
        <w:rPr>
          <w:rFonts w:ascii="Consolas" w:hAnsi="Consolas"/>
          <w:sz w:val="17"/>
        </w:rPr>
        <w:t>rpt.dim_plant</w:t>
      </w:r>
      <w:r>
        <w:rPr>
          <w:sz w:val="18"/>
        </w:rPr>
        <w:t xml:space="preserve"> is keyed on the trimmed MCU</w:t>
      </w:r>
    </w:p>
    <w:p>
      <w:pPr>
        <w:spacing w:after="40"/>
      </w:pPr>
    </w:p>
    <w:p>
      <w:pPr>
        <w:spacing w:before="120" w:after="200"/>
        <w:shd w:val="clear" w:fill="FFF2CC"/>
        <w:pBdr>
          <w:top w:val="single" w:sz="4" w:space="4" w:color="E8C48A"/>
          <w:left w:val="single" w:sz="4" w:space="4" w:color="E8C48A"/>
          <w:bottom w:val="single" w:sz="4" w:space="4" w:color="E8C48A"/>
          <w:right w:val="single" w:sz="4" w:space="4" w:color="E8C48A"/>
        </w:pBdr>
      </w:pPr>
      <w:r>
        <w:rPr>
          <w:b/>
          <w:sz w:val="21"/>
        </w:rPr>
        <w:t xml:space="preserve">VERDICT: PASS WITH FINDINGS  </w:t>
      </w:r>
      <w:r>
        <w:rPr>
          <w:sz w:val="20"/>
        </w:rPr>
        <w:t>Keys are correctly designed and the two-tier key strategy is right. All six relationships match on data type with no ambiguity. Referential integrity is unverified and should be checked on first load, because the inferred UDC selectors make an unmatched FK a realistic outcome that fails silently.</w:t>
      </w:r>
    </w:p>
    <w:p>
      <w:pPr>
        <w:pStyle w:val="Heading2"/>
      </w:pPr>
      <w:r>
        <w:t>1.4  Measures and business logic align with the specification and reconcile to source</w:t>
      </w:r>
    </w:p>
    <w:p>
      <w:pPr>
        <w:pStyle w:val="Heading3"/>
      </w:pPr>
      <w:r>
        <w:t>Measures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18"/>
              </w:rPr>
              <w:t>Measure</w:t>
            </w:r>
          </w:p>
        </w:tc>
        <w:tc>
          <w:tcPr>
            <w:tcW w:type="dxa" w:w="2880"/>
          </w:tcPr>
          <w:p>
            <w:r/>
            <w:r>
              <w:rPr>
                <w:b/>
                <w:sz w:val="18"/>
              </w:rPr>
              <w:t>DAX</w:t>
            </w:r>
          </w:p>
        </w:tc>
        <w:tc>
          <w:tcPr>
            <w:tcW w:type="dxa" w:w="4896"/>
          </w:tcPr>
          <w:p>
            <w:r/>
            <w:r>
              <w:rPr>
                <w:b/>
                <w:sz w:val="18"/>
              </w:rPr>
              <w:t>Assessment</w:t>
            </w:r>
          </w:p>
        </w:tc>
      </w:tr>
      <w:tr>
        <w:tc>
          <w:tcPr>
            <w:tcW w:type="dxa" w:w="1872"/>
          </w:tcPr>
          <w:p>
            <w:pPr>
              <w:spacing w:after="40"/>
            </w:pPr>
            <w:r/>
            <w:r>
              <w:rPr>
                <w:sz w:val="17"/>
              </w:rPr>
              <w:t>Taxable Amount</w:t>
            </w:r>
          </w:p>
        </w:tc>
        <w:tc>
          <w:tcPr>
            <w:tcW w:type="dxa" w:w="2880"/>
          </w:tcPr>
          <w:p>
            <w:pPr>
              <w:spacing w:after="40"/>
            </w:pPr>
            <w:r/>
            <w:r>
              <w:rPr>
                <w:sz w:val="17"/>
              </w:rPr>
            </w:r>
            <w:r>
              <w:rPr>
                <w:rFonts w:ascii="Consolas" w:hAnsi="Consolas"/>
                <w:sz w:val="16"/>
              </w:rPr>
              <w:t>SUM(taxable_amount)</w:t>
            </w:r>
            <w:r>
              <w:rPr>
                <w:sz w:val="17"/>
              </w:rPr>
            </w:r>
          </w:p>
        </w:tc>
        <w:tc>
          <w:tcPr>
            <w:tcW w:type="dxa" w:w="4896"/>
          </w:tcPr>
          <w:p>
            <w:pPr>
              <w:spacing w:after="40"/>
            </w:pPr>
            <w:r/>
            <w:r>
              <w:rPr>
                <w:sz w:val="17"/>
              </w:rPr>
              <w:t>Matches Hubble ReportColumn1 (RPATXA)</w:t>
            </w:r>
          </w:p>
        </w:tc>
      </w:tr>
      <w:tr>
        <w:tc>
          <w:tcPr>
            <w:tcW w:type="dxa" w:w="1872"/>
          </w:tcPr>
          <w:p>
            <w:pPr>
              <w:spacing w:after="40"/>
            </w:pPr>
            <w:r/>
            <w:r>
              <w:rPr>
                <w:sz w:val="17"/>
              </w:rPr>
              <w:t>Non-Taxable Amount</w:t>
            </w:r>
          </w:p>
        </w:tc>
        <w:tc>
          <w:tcPr>
            <w:tcW w:type="dxa" w:w="2880"/>
          </w:tcPr>
          <w:p>
            <w:pPr>
              <w:spacing w:after="40"/>
            </w:pPr>
            <w:r/>
            <w:r>
              <w:rPr>
                <w:sz w:val="17"/>
              </w:rPr>
            </w:r>
            <w:r>
              <w:rPr>
                <w:rFonts w:ascii="Consolas" w:hAnsi="Consolas"/>
                <w:sz w:val="16"/>
              </w:rPr>
              <w:t>SUM(non_taxable_amount)</w:t>
            </w:r>
            <w:r>
              <w:rPr>
                <w:sz w:val="17"/>
              </w:rPr>
            </w:r>
          </w:p>
        </w:tc>
        <w:tc>
          <w:tcPr>
            <w:tcW w:type="dxa" w:w="4896"/>
          </w:tcPr>
          <w:p>
            <w:pPr>
              <w:spacing w:after="40"/>
            </w:pPr>
            <w:r/>
            <w:r>
              <w:rPr>
                <w:sz w:val="17"/>
              </w:rPr>
              <w:t>Matches ReportColumn2 (RPATXN)</w:t>
            </w:r>
          </w:p>
        </w:tc>
      </w:tr>
      <w:tr>
        <w:tc>
          <w:tcPr>
            <w:tcW w:type="dxa" w:w="1872"/>
          </w:tcPr>
          <w:p>
            <w:pPr>
              <w:spacing w:after="40"/>
            </w:pPr>
            <w:r/>
            <w:r>
              <w:rPr>
                <w:sz w:val="17"/>
              </w:rPr>
              <w:t>Tax Amount</w:t>
            </w:r>
          </w:p>
        </w:tc>
        <w:tc>
          <w:tcPr>
            <w:tcW w:type="dxa" w:w="2880"/>
          </w:tcPr>
          <w:p>
            <w:pPr>
              <w:spacing w:after="40"/>
            </w:pPr>
            <w:r/>
            <w:r>
              <w:rPr>
                <w:sz w:val="17"/>
              </w:rPr>
            </w:r>
            <w:r>
              <w:rPr>
                <w:rFonts w:ascii="Consolas" w:hAnsi="Consolas"/>
                <w:sz w:val="16"/>
              </w:rPr>
              <w:t>SUM(tax_amount)</w:t>
            </w:r>
            <w:r>
              <w:rPr>
                <w:sz w:val="17"/>
              </w:rPr>
            </w:r>
          </w:p>
        </w:tc>
        <w:tc>
          <w:tcPr>
            <w:tcW w:type="dxa" w:w="4896"/>
          </w:tcPr>
          <w:p>
            <w:pPr>
              <w:spacing w:after="40"/>
            </w:pPr>
            <w:r/>
            <w:r>
              <w:rPr>
                <w:sz w:val="17"/>
              </w:rPr>
              <w:t>Matches ReportColumn3 (RPSTAM)</w:t>
            </w:r>
          </w:p>
        </w:tc>
      </w:tr>
      <w:tr>
        <w:tc>
          <w:tcPr>
            <w:tcW w:type="dxa" w:w="1872"/>
          </w:tcPr>
          <w:p>
            <w:pPr>
              <w:spacing w:after="40"/>
            </w:pPr>
            <w:r/>
            <w:r>
              <w:rPr>
                <w:sz w:val="17"/>
              </w:rPr>
              <w:t>Gross Amount</w:t>
            </w:r>
          </w:p>
        </w:tc>
        <w:tc>
          <w:tcPr>
            <w:tcW w:type="dxa" w:w="2880"/>
          </w:tcPr>
          <w:p>
            <w:pPr>
              <w:spacing w:after="40"/>
            </w:pPr>
            <w:r/>
            <w:r>
              <w:rPr>
                <w:sz w:val="17"/>
              </w:rPr>
            </w:r>
            <w:r>
              <w:rPr>
                <w:rFonts w:ascii="Consolas" w:hAnsi="Consolas"/>
                <w:sz w:val="16"/>
              </w:rPr>
              <w:t>SUM(gross_amount)</w:t>
            </w:r>
            <w:r>
              <w:rPr>
                <w:sz w:val="17"/>
              </w:rPr>
            </w:r>
          </w:p>
        </w:tc>
        <w:tc>
          <w:tcPr>
            <w:tcW w:type="dxa" w:w="4896"/>
          </w:tcPr>
          <w:p>
            <w:pPr>
              <w:spacing w:after="40"/>
            </w:pPr>
            <w:r/>
            <w:r>
              <w:rPr>
                <w:sz w:val="17"/>
              </w:rPr>
              <w:t>Matches ReportColumn4 (RPAG)</w:t>
            </w:r>
          </w:p>
        </w:tc>
      </w:tr>
      <w:tr>
        <w:tc>
          <w:tcPr>
            <w:tcW w:type="dxa" w:w="1872"/>
          </w:tcPr>
          <w:p>
            <w:pPr>
              <w:spacing w:after="40"/>
            </w:pPr>
            <w:r/>
            <w:r>
              <w:rPr>
                <w:sz w:val="17"/>
              </w:rPr>
              <w:t>Effective Tax Rate</w:t>
            </w:r>
          </w:p>
        </w:tc>
        <w:tc>
          <w:tcPr>
            <w:tcW w:type="dxa" w:w="2880"/>
          </w:tcPr>
          <w:p>
            <w:pPr>
              <w:spacing w:after="40"/>
            </w:pPr>
            <w:r/>
            <w:r>
              <w:rPr>
                <w:sz w:val="17"/>
              </w:rPr>
            </w:r>
            <w:r>
              <w:rPr>
                <w:rFonts w:ascii="Consolas" w:hAnsi="Consolas"/>
                <w:sz w:val="16"/>
              </w:rPr>
              <w:t>DIVIDE([Tax Amount],[Taxable Amount])</w:t>
            </w:r>
            <w:r>
              <w:rPr>
                <w:sz w:val="17"/>
              </w:rPr>
            </w:r>
          </w:p>
        </w:tc>
        <w:tc>
          <w:tcPr>
            <w:tcW w:type="dxa" w:w="4896"/>
          </w:tcPr>
          <w:p>
            <w:pPr>
              <w:spacing w:after="40"/>
            </w:pPr>
            <w:r/>
            <w:r>
              <w:rPr>
                <w:sz w:val="17"/>
              </w:rPr>
              <w:t xml:space="preserve">Correct — </w:t>
            </w:r>
            <w:r>
              <w:rPr>
                <w:rFonts w:ascii="Consolas" w:hAnsi="Consolas"/>
                <w:sz w:val="16"/>
              </w:rPr>
              <w:t>DIVIDE</w:t>
            </w:r>
            <w:r>
              <w:rPr>
                <w:sz w:val="17"/>
              </w:rPr>
              <w:t xml:space="preserve"> handles the zero denominator, which </w:t>
            </w:r>
            <w:r>
              <w:rPr>
                <w:rFonts w:ascii="Consolas" w:hAnsi="Consolas"/>
                <w:sz w:val="16"/>
              </w:rPr>
              <w:t>/</w:t>
            </w:r>
            <w:r>
              <w:rPr>
                <w:sz w:val="17"/>
              </w:rPr>
              <w:t xml:space="preserve"> would not</w:t>
            </w:r>
          </w:p>
        </w:tc>
      </w:tr>
      <w:tr>
        <w:tc>
          <w:tcPr>
            <w:tcW w:type="dxa" w:w="1872"/>
          </w:tcPr>
          <w:p>
            <w:pPr>
              <w:spacing w:after="40"/>
            </w:pPr>
            <w:r/>
            <w:r>
              <w:rPr>
                <w:sz w:val="17"/>
              </w:rPr>
              <w:t>Invoice Count</w:t>
            </w:r>
          </w:p>
        </w:tc>
        <w:tc>
          <w:tcPr>
            <w:tcW w:type="dxa" w:w="2880"/>
          </w:tcPr>
          <w:p>
            <w:pPr>
              <w:spacing w:after="40"/>
            </w:pPr>
            <w:r/>
            <w:r>
              <w:rPr>
                <w:sz w:val="17"/>
              </w:rPr>
            </w:r>
            <w:r>
              <w:rPr>
                <w:rFonts w:ascii="Consolas" w:hAnsi="Consolas"/>
                <w:sz w:val="16"/>
              </w:rPr>
              <w:t>DISTINCTCOUNT(avalara_code)</w:t>
            </w:r>
            <w:r>
              <w:rPr>
                <w:sz w:val="17"/>
              </w:rPr>
            </w:r>
          </w:p>
        </w:tc>
        <w:tc>
          <w:tcPr>
            <w:tcW w:type="dxa" w:w="4896"/>
          </w:tcPr>
          <w:p>
            <w:pPr>
              <w:spacing w:after="40"/>
            </w:pPr>
            <w:r/>
            <w:r>
              <w:rPr>
                <w:sz w:val="17"/>
              </w:rPr>
              <w:t>Sound in principle, but inherits the Avalara Code inference — see below</w:t>
            </w:r>
          </w:p>
        </w:tc>
      </w:tr>
      <w:tr>
        <w:tc>
          <w:tcPr>
            <w:tcW w:type="dxa" w:w="1872"/>
          </w:tcPr>
          <w:p>
            <w:pPr>
              <w:spacing w:after="40"/>
            </w:pPr>
            <w:r/>
            <w:r>
              <w:rPr>
                <w:sz w:val="17"/>
              </w:rPr>
              <w:t>Tax Lines</w:t>
            </w:r>
          </w:p>
        </w:tc>
        <w:tc>
          <w:tcPr>
            <w:tcW w:type="dxa" w:w="2880"/>
          </w:tcPr>
          <w:p>
            <w:pPr>
              <w:spacing w:after="40"/>
            </w:pPr>
            <w:r/>
            <w:r>
              <w:rPr>
                <w:sz w:val="17"/>
              </w:rPr>
            </w:r>
            <w:r>
              <w:rPr>
                <w:rFonts w:ascii="Consolas" w:hAnsi="Consolas"/>
                <w:sz w:val="16"/>
              </w:rPr>
              <w:t>COUNTROWS(fact)</w:t>
            </w:r>
            <w:r>
              <w:rPr>
                <w:sz w:val="17"/>
              </w:rPr>
            </w:r>
          </w:p>
        </w:tc>
        <w:tc>
          <w:tcPr>
            <w:tcW w:type="dxa" w:w="4896"/>
          </w:tcPr>
          <w:p>
            <w:pPr>
              <w:spacing w:after="40"/>
            </w:pPr>
            <w:r/>
            <w:r>
              <w:rPr>
                <w:sz w:val="17"/>
              </w:rPr>
              <w:t>Finding 7 — the name no longer matches what it counts</w:t>
            </w:r>
          </w:p>
        </w:tc>
      </w:tr>
    </w:tbl>
    <w:p>
      <w:pPr>
        <w:spacing w:after="80"/>
      </w:pPr>
    </w:p>
    <w:p>
      <w:r>
        <w:rPr>
          <w:b w:val="0"/>
          <w:i w:val="0"/>
        </w:rPr>
        <w:t>All four amount measures are plain additive SUMs over pre-aggregated columns, which is the right choice at this grain: the fact has already summed across pay items, so no semi-additive handling or DAX-side deduplication is needed. Contrast ESO1, where denormalized freight forced `SUMX(VALUES(...))` patterns — ESO4 has no such complication.</w:t>
      </w:r>
    </w:p>
    <w:p>
      <w:pPr>
        <w:pStyle w:val="Heading4"/>
      </w:pPr>
      <w:r>
        <w:t>Finding 7 (LOW) — 'Tax Lines' counts something other than tax lines</w:t>
      </w:r>
    </w:p>
    <w:p>
      <w:r>
        <w:rPr>
          <w:b w:val="0"/>
          <w:i w:val="0"/>
        </w:rPr>
        <w:t>`COUNTROWS` over a fact that has been aggregated to the display grain counts display tuples, not tax lines. The pay items were summed away. So an invoice with three pay items sharing a display tuple contributes 1 to Tax Lines, not 3.</w:t>
      </w:r>
    </w:p>
    <w:p>
      <w:r>
        <w:rPr>
          <w:b w:val="0"/>
          <w:i w:val="0"/>
        </w:rPr>
        <w:t>The measure is arithmetically fine; the name misleads. Recommend renaming it to 'Reporting Lines' or 'Tax Rows'. Do not attempt to make it count pay items — that information is deliberately not in the fact, which is Finding 1's subject.</w:t>
      </w:r>
    </w:p>
    <w:p>
      <w:pPr>
        <w:pStyle w:val="Heading3"/>
      </w:pPr>
      <w:r>
        <w:t>Business logic</w:t>
      </w:r>
    </w:p>
    <w:p>
      <w:r>
        <w:rPr>
          <w:b w:val="0"/>
          <w:i w:val="0"/>
        </w:rPr>
        <w:t>Business Stream is a faithful reproduction. The PySpark `F.when` chain at lines 208–213 mirrors Hubble's five CASE branches in the same order with the same predicates, including the absence of an ELSE — so a row with a null MCRP20 gets a null Business Stream in both systems. Deliberately not simplified, which is the right call for a reconciliation report.</w:t>
      </w:r>
    </w:p>
    <w:p>
      <w:pPr>
        <w:pStyle w:val="Heading4"/>
      </w:pPr>
      <w:r>
        <w:t>Finding 5 (MEDIUM) — the ABAT1 omission was not filter-neutral — RESOLVED (Rev 3)</w:t>
      </w:r>
    </w:p>
    <w:p>
      <w:pPr>
        <w:spacing w:before="120" w:after="160"/>
        <w:ind w:left="144"/>
        <w:shd w:val="clear" w:fill="E2EFDA"/>
        <w:pBdr>
          <w:top w:val="single" w:sz="4" w:space="4" w:color="70AD47"/>
          <w:left w:val="single" w:sz="4" w:space="4" w:color="70AD47"/>
          <w:bottom w:val="single" w:sz="4" w:space="4" w:color="70AD47"/>
          <w:right w:val="single" w:sz="4" w:space="4" w:color="70AD47"/>
        </w:pBdr>
      </w:pPr>
      <w:r>
        <w:rPr>
          <w:b/>
          <w:sz w:val="20"/>
        </w:rPr>
        <w:t xml:space="preserve">✔ RESOLVED — ABAT1 band now applied (Rev 3, 2026-07-25).  </w:t>
      </w:r>
      <w:r>
        <w:rPr>
          <w:sz w:val="20"/>
        </w:rPr>
        <w:t xml:space="preserve">The band is applied to the </w:t>
      </w:r>
      <w:r>
        <w:rPr>
          <w:rFonts w:ascii="Consolas" w:hAnsi="Consolas"/>
          <w:sz w:val="18"/>
        </w:rPr>
        <w:t>F0101 ⋈ F0116</w:t>
      </w:r>
      <w:r>
        <w:rPr>
          <w:sz w:val="20"/>
        </w:rPr>
        <w:t xml:space="preserve"> address lookup in </w:t>
      </w:r>
      <w:r>
        <w:rPr>
          <w:rFonts w:ascii="Consolas" w:hAnsi="Consolas"/>
          <w:sz w:val="18"/>
        </w:rPr>
        <w:t>build_fact</w:t>
      </w:r>
      <w:r>
        <w:rPr>
          <w:sz w:val="20"/>
        </w:rPr>
        <w:t xml:space="preserve"> — a value-qualification, not a fact-row filter, mirroring ESO5. Out-of-band ship-tos get NULL </w:t>
      </w:r>
      <w:r>
        <w:rPr>
          <w:rFonts w:ascii="Consolas" w:hAnsi="Consolas"/>
          <w:sz w:val="18"/>
        </w:rPr>
        <w:t>sic_code</w:t>
      </w:r>
      <w:r>
        <w:rPr>
          <w:sz w:val="20"/>
        </w:rPr>
        <w:t xml:space="preserve"> / </w:t>
      </w:r>
      <w:r>
        <w:rPr>
          <w:rFonts w:ascii="Consolas" w:hAnsi="Consolas"/>
          <w:sz w:val="18"/>
        </w:rPr>
        <w:t>jurisdiction</w:t>
      </w:r>
      <w:r>
        <w:rPr>
          <w:sz w:val="20"/>
        </w:rPr>
        <w:t xml:space="preserve"> / </w:t>
      </w:r>
      <w:r>
        <w:rPr>
          <w:rFonts w:ascii="Consolas" w:hAnsi="Consolas"/>
          <w:sz w:val="18"/>
        </w:rPr>
        <w:t>county</w:t>
      </w:r>
      <w:r>
        <w:rPr>
          <w:sz w:val="20"/>
        </w:rPr>
        <w:t xml:space="preserve"> via the LEFT join (Hubble's exact behaviour); no F4211 row is dropped. The analysis below is retained as the rationale; the closing recommendation is updated accordingly. Requires an </w:t>
      </w:r>
      <w:r>
        <w:rPr>
          <w:rFonts w:ascii="Consolas" w:hAnsi="Consolas"/>
          <w:sz w:val="18"/>
        </w:rPr>
        <w:t>MANUAL_OVERWRITE=True</w:t>
      </w:r>
      <w:r>
        <w:rPr>
          <w:sz w:val="20"/>
        </w:rPr>
        <w:t xml:space="preserve"> reload to re-materialize the affected values.</w:t>
      </w:r>
    </w:p>
    <w:p>
      <w:r>
        <w:rPr>
          <w:b w:val="0"/>
          <w:i w:val="0"/>
        </w:rPr>
        <w:t>`ESO4_gold_layer_design.md` (Rev 3) now records that the ABAT1 band IS applied as a value-qualification; the SDDGL BETWEEN date filter remains — correctly — a report-layer filter. The original omission and why it mattered is analysed below.</w:t>
      </w:r>
    </w:p>
    <w:p>
      <w:r>
        <w:rPr>
          <w:b w:val="0"/>
          <w:i w:val="0"/>
        </w:rPr>
        <w:t>SDDGL is a true report filter: it sits in the outer WHERE, it removes rows, and per the project's own filter-versus-calculation rule it belongs in Power BI. Omitting it from Gold is correct.</w:t>
      </w:r>
    </w:p>
    <w:p>
      <w:r>
        <w:rPr>
          <w:b w:val="0"/>
          <w:i w:val="0"/>
        </w:rPr>
        <w:t>ABAT1 is different. In Hubble it sits inside a LEFT-joined subquery:</w:t>
      </w:r>
    </w:p>
    <w:p>
      <w:pPr>
        <w:spacing w:before="100" w:after="140" w:line="240" w:lineRule="auto"/>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LEFT JOIN (SELECT F0101.ABSIC, F0101.ABAN8</w:t>
        <w:br/>
        <w:t xml:space="preserve">           FROM   PRODDTA.F0101 F0101</w:t>
        <w:br/>
        <w:t xml:space="preserve">           WHERE  ( ( F0101.ABAT1 BETWEEN N'A  ' AND N'P  ' )</w:t>
        <w:br/>
        <w:t xml:space="preserve">                     OR ( F0101.ABAT1 BETWEEN N'R  ' AND N'ZZZ' ) )) F0101</w:t>
        <w:br/>
        <w:t xml:space="preserve">              INNER JOIN PRODDTA.F0116 F0116 ON F0101.ABAN8 = F0116.ALAN8</w:t>
        <w:br/>
        <w:t xml:space="preserve">  ON F4211.SDSHAN = F0101.ABAN8</w:t>
        <w:br/>
        <w:t xml:space="preserve">                                    — eso4/hubble query.txt, lines 109–116</w:t>
      </w:r>
    </w:p>
    <w:p>
      <w:r>
        <w:rPr>
          <w:b w:val="0"/>
          <w:i w:val="0"/>
        </w:rPr>
        <w:t>Because the join is LEFT, this screen removes no invoice. What it does is withhold the address: a ship-to whose search type falls outside the range contributes NULL for ABSIC, ALADDS and ALCOUN. And a null ABSIC changes the Business Stream result — every branch comparing ABSIC to 'F' evaluates to null, so such a row lands on either the fifth branch or on null.</w:t>
      </w:r>
    </w:p>
    <w:p>
      <w:r>
        <w:rPr>
          <w:b w:val="0"/>
          <w:i w:val="0"/>
        </w:rPr>
        <w:t>Revision 1/2's implementation applied no screen, so those addresses DID contribute their values — the same invoice got a populated jurisdiction and county where Hubble had blanks, and potentially a different Business Stream where Hubble had null. THIS is what Rev 3 fixes.</w:t>
      </w:r>
    </w:p>
    <w:p>
      <w:r>
        <w:rPr>
          <w:b w:val="0"/>
          <w:i w:val="0"/>
        </w:rPr>
        <w:t>By the project's own rule this predicate feeds a calculation, so it is not simply a filter — it sits in the grey area between the two. That is precisely why the correct resolution is to reproduce it as a value-qualification on the address lookup (like ESO5's rate-source band) rather than as a fact-row WHERE.</w:t>
      </w:r>
    </w:p>
    <w:p>
      <w:pPr>
        <w:spacing w:before="120" w:after="160"/>
        <w:ind w:left="144"/>
        <w:shd w:val="clear" w:fill="E2EFDA"/>
        <w:pBdr>
          <w:top w:val="single" w:sz="4" w:space="4" w:color="70AD47"/>
          <w:left w:val="single" w:sz="4" w:space="4" w:color="70AD47"/>
          <w:bottom w:val="single" w:sz="4" w:space="4" w:color="70AD47"/>
          <w:right w:val="single" w:sz="4" w:space="4" w:color="70AD47"/>
        </w:pBdr>
      </w:pPr>
      <w:r>
        <w:rPr>
          <w:b/>
          <w:sz w:val="20"/>
        </w:rPr>
        <w:t xml:space="preserve">Resolution (Rev 3) — reproduced as a value-qualification, not deleted.  </w:t>
      </w:r>
      <w:r>
        <w:rPr>
          <w:sz w:val="20"/>
        </w:rPr>
        <w:t>The band is applied to the F0101 ⋈ F0116 address lookup only. Because that lookup is LEFT-joined to F4211, no invoice is removed; an out-of-band ship-to simply yields NULL sic_code / jurisdiction / county — identical to Hubble's LEFT-join-of-a-WHERE-filtered subquery. This preserves the Gold 'no business filters' rule (nothing is filtered OUT of the fact) while making ESO4 match Hubble on business_stream / jurisdiction / county. It mirrors ESO5's treatment of the same F0101 ABAT1 band. The design doc has been corrected to record that the band is applied. Gate 2 should now expect the ABAT1 variance to be ZERO — but that stays unverified until the pipeline runs.</w:t>
      </w:r>
    </w:p>
    <w:p>
      <w:pPr>
        <w:pStyle w:val="Heading3"/>
      </w:pPr>
      <w:r>
        <w:t>Reconciliation to source — not established</w:t>
      </w:r>
    </w:p>
    <w:p>
      <w:r>
        <w:rPr>
          <w:b w:val="0"/>
          <w:i w:val="0"/>
        </w:rPr>
        <w:t>Gate 1 asks that measures 'reconcile to the source data'. They do not yet, because nothing has run. What can be said is narrower: the measure definitions correspond to the Hubble expressions column-for-column, and the transformation reproduces Hubble's inner DISTINCT and outer GROUP BY faithfully — including the subtle retention of the F03B11 primary key inside the DISTINCT so that legitimately repeated pay items are not collapsed and under-counted.</w:t>
      </w:r>
    </w:p>
    <w:p>
      <w:r>
        <w:rPr>
          <w:b w:val="0"/>
          <w:i w:val="0"/>
        </w:rPr>
        <w:t>Two things will stop a first reconciliation attempt from tying exactly, and both are known in advance. A third (the ABAT1 screen) was a variance in Rev 1/2 but is RESOLVED in Rev 3:</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tcPr>
          <w:p>
            <w:r/>
            <w:r>
              <w:rPr>
                <w:b/>
                <w:sz w:val="18"/>
              </w:rPr>
              <w:t>Cause</w:t>
            </w:r>
          </w:p>
        </w:tc>
        <w:tc>
          <w:tcPr>
            <w:tcW w:type="dxa" w:w="4176"/>
          </w:tcPr>
          <w:p>
            <w:r/>
            <w:r>
              <w:rPr>
                <w:b/>
                <w:sz w:val="18"/>
              </w:rPr>
              <w:t>Direction</w:t>
            </w:r>
          </w:p>
        </w:tc>
        <w:tc>
          <w:tcPr>
            <w:tcW w:type="dxa" w:w="2448"/>
          </w:tcPr>
          <w:p>
            <w:r/>
            <w:r>
              <w:rPr>
                <w:b/>
                <w:sz w:val="18"/>
              </w:rPr>
              <w:t>Reference</w:t>
            </w:r>
          </w:p>
        </w:tc>
      </w:tr>
      <w:tr>
        <w:tc>
          <w:tcPr>
            <w:tcW w:type="dxa" w:w="3024"/>
          </w:tcPr>
          <w:p>
            <w:pPr>
              <w:spacing w:after="40"/>
            </w:pPr>
            <w:r/>
            <w:r>
              <w:rPr>
                <w:sz w:val="17"/>
              </w:rPr>
              <w:t>The ABAT1 screen is now reproduced (Rev 3)</w:t>
            </w:r>
          </w:p>
        </w:tc>
        <w:tc>
          <w:tcPr>
            <w:tcW w:type="dxa" w:w="4176"/>
          </w:tcPr>
          <w:p>
            <w:pPr>
              <w:spacing w:after="40"/>
            </w:pPr>
            <w:r/>
            <w:r>
              <w:rPr>
                <w:sz w:val="17"/>
              </w:rPr>
              <w:t>RESOLVED — variance expected ZERO; out-of-band ship-tos now blank in ESO4 too, matching Hubble</w:t>
            </w:r>
          </w:p>
        </w:tc>
        <w:tc>
          <w:tcPr>
            <w:tcW w:type="dxa" w:w="2448"/>
          </w:tcPr>
          <w:p>
            <w:pPr>
              <w:spacing w:after="40"/>
            </w:pPr>
            <w:r/>
            <w:r>
              <w:rPr>
                <w:sz w:val="17"/>
              </w:rPr>
              <w:t>Finding 5 (closed)</w:t>
            </w:r>
          </w:p>
        </w:tc>
      </w:tr>
      <w:tr>
        <w:tc>
          <w:tcPr>
            <w:tcW w:type="dxa" w:w="3024"/>
          </w:tcPr>
          <w:p>
            <w:pPr>
              <w:spacing w:after="40"/>
            </w:pPr>
            <w:r/>
            <w:r>
              <w:rPr>
                <w:sz w:val="17"/>
              </w:rPr>
              <w:t>F0116 is collapsed rather than fanned out</w:t>
            </w:r>
          </w:p>
        </w:tc>
        <w:tc>
          <w:tcPr>
            <w:tcW w:type="dxa" w:w="4176"/>
          </w:tcPr>
          <w:p>
            <w:pPr>
              <w:spacing w:after="40"/>
            </w:pPr>
            <w:r/>
            <w:r>
              <w:rPr>
                <w:sz w:val="17"/>
              </w:rPr>
              <w:t>Hubble may double-count multi-address invoices; ESO4 will read LOWER</w:t>
            </w:r>
          </w:p>
        </w:tc>
        <w:tc>
          <w:tcPr>
            <w:tcW w:type="dxa" w:w="2448"/>
          </w:tcPr>
          <w:p>
            <w:pPr>
              <w:spacing w:after="40"/>
            </w:pPr>
            <w:r/>
            <w:r>
              <w:rPr>
                <w:sz w:val="17"/>
              </w:rPr>
              <w:t>Finding 3 rider</w:t>
            </w:r>
          </w:p>
        </w:tc>
      </w:tr>
      <w:tr>
        <w:tc>
          <w:tcPr>
            <w:tcW w:type="dxa" w:w="3024"/>
          </w:tcPr>
          <w:p>
            <w:pPr>
              <w:spacing w:after="40"/>
            </w:pPr>
            <w:r/>
            <w:r>
              <w:rPr>
                <w:sz w:val="17"/>
              </w:rPr>
              <w:t>Avalara Code is inferred</w:t>
            </w:r>
          </w:p>
        </w:tc>
        <w:tc>
          <w:tcPr>
            <w:tcW w:type="dxa" w:w="4176"/>
          </w:tcPr>
          <w:p>
            <w:pPr>
              <w:spacing w:after="40"/>
            </w:pPr>
            <w:r/>
            <w:r>
              <w:rPr>
                <w:sz w:val="17"/>
              </w:rPr>
              <w:t>Affects Invoice Count only, not the amounts</w:t>
            </w:r>
          </w:p>
        </w:tc>
        <w:tc>
          <w:tcPr>
            <w:tcW w:type="dxa" w:w="2448"/>
          </w:tcPr>
          <w:p>
            <w:pPr>
              <w:spacing w:after="40"/>
            </w:pPr>
            <w:r/>
            <w:r>
              <w:rPr>
                <w:sz w:val="17"/>
              </w:rPr>
              <w:t>Open assumption</w:t>
            </w:r>
          </w:p>
        </w:tc>
      </w:tr>
    </w:tbl>
    <w:p>
      <w:pPr>
        <w:spacing w:after="80"/>
      </w:pPr>
    </w:p>
    <w:p>
      <w:r>
        <w:rPr>
          <w:b w:val="0"/>
          <w:i w:val="0"/>
        </w:rPr>
        <w:t>A fourth is possible but should not occur: `SHIFT_FACTOR` is 1.0 on the assumption that Silver has already resolved JDE's implied decimals. If that assumption is wrong every amount will be out by exactly 100×, which is unmistakable and instantly diagnosable.</w:t>
      </w:r>
    </w:p>
    <w:p>
      <w:pPr>
        <w:spacing w:after="40"/>
      </w:pPr>
      <w:r>
        <w:rPr>
          <w:b/>
          <w:sz w:val="19"/>
        </w:rPr>
        <w:t>Evidence examined</w:t>
      </w:r>
    </w:p>
    <w:p>
      <w:pPr>
        <w:pStyle w:val="ListBullet"/>
        <w:spacing w:after="20"/>
        <w:ind w:left="403"/>
      </w:pPr>
      <w:r>
        <w:rPr>
          <w:sz w:val="18"/>
        </w:rPr>
      </w:r>
      <w:r>
        <w:rPr>
          <w:rFonts w:ascii="Consolas" w:hAnsi="Consolas"/>
          <w:sz w:val="17"/>
        </w:rPr>
        <w:t>fact_sales_tax_reconciliation.tmdl</w:t>
      </w:r>
      <w:r>
        <w:rPr>
          <w:sz w:val="18"/>
        </w:rPr>
        <w:t xml:space="preserve"> lines 4–37 (all 7 measures)</w:t>
      </w:r>
    </w:p>
    <w:p>
      <w:pPr>
        <w:pStyle w:val="ListBullet"/>
        <w:spacing w:after="20"/>
        <w:ind w:left="403"/>
      </w:pPr>
      <w:r>
        <w:rPr>
          <w:sz w:val="18"/>
        </w:rPr>
        <w:t>fact notebook lines 244–262 (both calculations), 294–298 (the measure expressions)</w:t>
      </w:r>
    </w:p>
    <w:p>
      <w:pPr>
        <w:pStyle w:val="ListBullet"/>
        <w:spacing w:after="20"/>
        <w:ind w:left="403"/>
      </w:pPr>
      <w:r>
        <w:rPr>
          <w:sz w:val="18"/>
        </w:rPr>
      </w:r>
      <w:r>
        <w:rPr>
          <w:rFonts w:ascii="Consolas" w:hAnsi="Consolas"/>
          <w:sz w:val="17"/>
        </w:rPr>
        <w:t>eso4/hubble query.txt</w:t>
      </w:r>
      <w:r>
        <w:rPr>
          <w:sz w:val="18"/>
        </w:rPr>
        <w:t xml:space="preserve"> lines 36–46 (the CASE), 71–74 (the amounts), 109–116 (the ABAT1 subquery)</w:t>
      </w:r>
    </w:p>
    <w:p>
      <w:pPr>
        <w:pStyle w:val="ListBullet"/>
        <w:spacing w:after="20"/>
        <w:ind w:left="403"/>
      </w:pPr>
      <w:r>
        <w:rPr>
          <w:sz w:val="18"/>
        </w:rPr>
      </w:r>
      <w:r>
        <w:rPr>
          <w:rFonts w:ascii="Consolas" w:hAnsi="Consolas"/>
          <w:sz w:val="17"/>
        </w:rPr>
        <w:t>ESO4_gold_layer_design.md</w:t>
      </w:r>
      <w:r>
        <w:rPr>
          <w:sz w:val="18"/>
        </w:rPr>
        <w:t xml:space="preserve"> line 188</w:t>
      </w:r>
    </w:p>
    <w:p>
      <w:pPr>
        <w:spacing w:after="40"/>
      </w:pPr>
    </w:p>
    <w:p>
      <w:pPr>
        <w:spacing w:before="120" w:after="200"/>
        <w:shd w:val="clear" w:fill="FFF2CC"/>
        <w:pBdr>
          <w:top w:val="single" w:sz="4" w:space="4" w:color="E8C48A"/>
          <w:left w:val="single" w:sz="4" w:space="4" w:color="E8C48A"/>
          <w:bottom w:val="single" w:sz="4" w:space="4" w:color="E8C48A"/>
          <w:right w:val="single" w:sz="4" w:space="4" w:color="E8C48A"/>
        </w:pBdr>
      </w:pPr>
      <w:r>
        <w:rPr>
          <w:b/>
          <w:sz w:val="21"/>
        </w:rPr>
        <w:t xml:space="preserve">VERDICT: PASS WITH FINDINGS  </w:t>
      </w:r>
      <w:r>
        <w:rPr>
          <w:sz w:val="20"/>
        </w:rPr>
        <w:t>Measure definitions and business logic correspond faithfully to the specification and to Hubble. Reconciliation to source is UNTESTED and is Gate 2's subject. Finding 5 has been resolved in Rev 3 (the ABAT1 band is now reproduced); Finding 7 is a rename.</w:t>
      </w:r>
    </w:p>
    <w:p>
      <w:pPr>
        <w:pStyle w:val="Heading2"/>
      </w:pPr>
      <w:r>
        <w:t>1.5  Naming conventions, column names and data types are clean and consistent</w:t>
      </w:r>
    </w:p>
    <w:p>
      <w:pPr>
        <w:pStyle w:val="Heading3"/>
      </w:pPr>
      <w:r>
        <w:t>Naming — compliant</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
              <w:rPr>
                <w:b/>
                <w:sz w:val="18"/>
              </w:rPr>
              <w:t>Convention</w:t>
            </w:r>
          </w:p>
        </w:tc>
        <w:tc>
          <w:tcPr>
            <w:tcW w:type="dxa" w:w="1008"/>
          </w:tcPr>
          <w:p>
            <w:r/>
            <w:r>
              <w:rPr>
                <w:b/>
                <w:sz w:val="18"/>
              </w:rPr>
              <w:t>Applied?</w:t>
            </w:r>
          </w:p>
        </w:tc>
        <w:tc>
          <w:tcPr>
            <w:tcW w:type="dxa" w:w="5904"/>
          </w:tcPr>
          <w:p>
            <w:r/>
            <w:r>
              <w:rPr>
                <w:b/>
                <w:sz w:val="18"/>
              </w:rPr>
              <w:t>Evidence</w:t>
            </w:r>
          </w:p>
        </w:tc>
      </w:tr>
      <w:tr>
        <w:tc>
          <w:tcPr>
            <w:tcW w:type="dxa" w:w="2736"/>
          </w:tcPr>
          <w:p>
            <w:pPr>
              <w:spacing w:after="40"/>
            </w:pPr>
            <w:r/>
            <w:r>
              <w:rPr>
                <w:sz w:val="17"/>
              </w:rPr>
              <w:t xml:space="preserve">Lakehouse </w:t>
            </w:r>
            <w:r>
              <w:rPr>
                <w:rFonts w:ascii="Consolas" w:hAnsi="Consolas"/>
                <w:sz w:val="16"/>
              </w:rPr>
              <w:t>lh_</w:t>
            </w:r>
            <w:r>
              <w:rPr>
                <w:sz w:val="17"/>
              </w:rPr>
              <w:t xml:space="preserve"> prefix</w:t>
            </w:r>
          </w:p>
        </w:tc>
        <w:tc>
          <w:tcPr>
            <w:tcW w:type="dxa" w:w="1008"/>
          </w:tcPr>
          <w:p>
            <w:pPr>
              <w:spacing w:after="40"/>
            </w:pPr>
            <w:r/>
            <w:r>
              <w:rPr>
                <w:sz w:val="17"/>
              </w:rPr>
              <w:t>Yes</w:t>
            </w:r>
          </w:p>
        </w:tc>
        <w:tc>
          <w:tcPr>
            <w:tcW w:type="dxa" w:w="5904"/>
          </w:tcPr>
          <w:p>
            <w:pPr>
              <w:spacing w:after="40"/>
            </w:pPr>
            <w:r/>
            <w:r>
              <w:rPr>
                <w:sz w:val="17"/>
              </w:rPr>
            </w:r>
            <w:r>
              <w:rPr>
                <w:rFonts w:ascii="Consolas" w:hAnsi="Consolas"/>
                <w:sz w:val="16"/>
              </w:rPr>
              <w:t>lh_jde_silver</w:t>
            </w:r>
            <w:r>
              <w:rPr>
                <w:sz w:val="17"/>
              </w:rPr>
              <w:t xml:space="preserve">, </w:t>
            </w:r>
            <w:r>
              <w:rPr>
                <w:rFonts w:ascii="Consolas" w:hAnsi="Consolas"/>
                <w:sz w:val="16"/>
              </w:rPr>
              <w:t>lh_jde_gold</w:t>
            </w:r>
            <w:r>
              <w:rPr>
                <w:sz w:val="17"/>
              </w:rPr>
            </w:r>
          </w:p>
        </w:tc>
      </w:tr>
      <w:tr>
        <w:tc>
          <w:tcPr>
            <w:tcW w:type="dxa" w:w="2736"/>
          </w:tcPr>
          <w:p>
            <w:pPr>
              <w:spacing w:after="40"/>
            </w:pPr>
            <w:r/>
            <w:r>
              <w:rPr>
                <w:sz w:val="17"/>
              </w:rPr>
            </w:r>
            <w:r>
              <w:rPr>
                <w:rFonts w:ascii="Consolas" w:hAnsi="Consolas"/>
                <w:sz w:val="16"/>
              </w:rPr>
              <w:t>fact_</w:t>
            </w:r>
            <w:r>
              <w:rPr>
                <w:sz w:val="17"/>
              </w:rPr>
              <w:t xml:space="preserve"> / </w:t>
            </w:r>
            <w:r>
              <w:rPr>
                <w:rFonts w:ascii="Consolas" w:hAnsi="Consolas"/>
                <w:sz w:val="16"/>
              </w:rPr>
              <w:t>dim_</w:t>
            </w:r>
            <w:r>
              <w:rPr>
                <w:sz w:val="17"/>
              </w:rPr>
              <w:t xml:space="preserve"> table prefixes</w:t>
            </w:r>
          </w:p>
        </w:tc>
        <w:tc>
          <w:tcPr>
            <w:tcW w:type="dxa" w:w="1008"/>
          </w:tcPr>
          <w:p>
            <w:pPr>
              <w:spacing w:after="40"/>
            </w:pPr>
            <w:r/>
            <w:r>
              <w:rPr>
                <w:sz w:val="17"/>
              </w:rPr>
              <w:t>Yes</w:t>
            </w:r>
          </w:p>
        </w:tc>
        <w:tc>
          <w:tcPr>
            <w:tcW w:type="dxa" w:w="5904"/>
          </w:tcPr>
          <w:p>
            <w:pPr>
              <w:spacing w:after="40"/>
            </w:pPr>
            <w:r/>
            <w:r>
              <w:rPr>
                <w:sz w:val="17"/>
              </w:rPr>
            </w:r>
            <w:r>
              <w:rPr>
                <w:rFonts w:ascii="Consolas" w:hAnsi="Consolas"/>
                <w:sz w:val="16"/>
              </w:rPr>
              <w:t>fact_sales_tax_reconciliation</w:t>
            </w:r>
            <w:r>
              <w:rPr>
                <w:sz w:val="17"/>
              </w:rPr>
              <w:t xml:space="preserve">, </w:t>
            </w:r>
            <w:r>
              <w:rPr>
                <w:rFonts w:ascii="Consolas" w:hAnsi="Consolas"/>
                <w:sz w:val="16"/>
              </w:rPr>
              <w:t>dim_sic</w:t>
            </w:r>
            <w:r>
              <w:rPr>
                <w:sz w:val="17"/>
              </w:rPr>
              <w:t xml:space="preserve">, </w:t>
            </w:r>
            <w:r>
              <w:rPr>
                <w:rFonts w:ascii="Consolas" w:hAnsi="Consolas"/>
                <w:sz w:val="16"/>
              </w:rPr>
              <w:t>dim_state</w:t>
            </w:r>
            <w:r>
              <w:rPr>
                <w:sz w:val="17"/>
              </w:rPr>
              <w:t xml:space="preserve">, reused </w:t>
            </w:r>
            <w:r>
              <w:rPr>
                <w:rFonts w:ascii="Consolas" w:hAnsi="Consolas"/>
                <w:sz w:val="16"/>
              </w:rPr>
              <w:t>dim_plant</w:t>
            </w:r>
            <w:r>
              <w:rPr>
                <w:sz w:val="17"/>
              </w:rPr>
            </w:r>
          </w:p>
        </w:tc>
      </w:tr>
      <w:tr>
        <w:tc>
          <w:tcPr>
            <w:tcW w:type="dxa" w:w="2736"/>
          </w:tcPr>
          <w:p>
            <w:pPr>
              <w:spacing w:after="40"/>
            </w:pPr>
            <w:r/>
            <w:r>
              <w:rPr>
                <w:sz w:val="17"/>
              </w:rPr>
              <w:t>snake_case columns</w:t>
            </w:r>
          </w:p>
        </w:tc>
        <w:tc>
          <w:tcPr>
            <w:tcW w:type="dxa" w:w="1008"/>
          </w:tcPr>
          <w:p>
            <w:pPr>
              <w:spacing w:after="40"/>
            </w:pPr>
            <w:r/>
            <w:r>
              <w:rPr>
                <w:sz w:val="17"/>
              </w:rPr>
              <w:t>Yes</w:t>
            </w:r>
          </w:p>
        </w:tc>
        <w:tc>
          <w:tcPr>
            <w:tcW w:type="dxa" w:w="5904"/>
          </w:tcPr>
          <w:p>
            <w:pPr>
              <w:spacing w:after="40"/>
            </w:pPr>
            <w:r/>
            <w:r>
              <w:rPr>
                <w:sz w:val="17"/>
              </w:rPr>
              <w:t>Every stored column</w:t>
            </w:r>
          </w:p>
        </w:tc>
      </w:tr>
      <w:tr>
        <w:tc>
          <w:tcPr>
            <w:tcW w:type="dxa" w:w="2736"/>
          </w:tcPr>
          <w:p>
            <w:pPr>
              <w:spacing w:after="40"/>
            </w:pPr>
            <w:r/>
            <w:r>
              <w:rPr>
                <w:sz w:val="17"/>
              </w:rPr>
              <w:t>Single Gold schema</w:t>
            </w:r>
          </w:p>
        </w:tc>
        <w:tc>
          <w:tcPr>
            <w:tcW w:type="dxa" w:w="1008"/>
          </w:tcPr>
          <w:p>
            <w:pPr>
              <w:spacing w:after="40"/>
            </w:pPr>
            <w:r/>
            <w:r>
              <w:rPr>
                <w:sz w:val="17"/>
              </w:rPr>
              <w:t>Yes</w:t>
            </w:r>
          </w:p>
        </w:tc>
        <w:tc>
          <w:tcPr>
            <w:tcW w:type="dxa" w:w="5904"/>
          </w:tcPr>
          <w:p>
            <w:pPr>
              <w:spacing w:after="40"/>
            </w:pPr>
            <w:r/>
            <w:r>
              <w:rPr>
                <w:sz w:val="17"/>
              </w:rPr>
              <w:t xml:space="preserve">All ESO4 Gold in </w:t>
            </w:r>
            <w:r>
              <w:rPr>
                <w:rFonts w:ascii="Consolas" w:hAnsi="Consolas"/>
                <w:sz w:val="16"/>
              </w:rPr>
              <w:t>lh_jde_gold.rpt</w:t>
            </w:r>
            <w:r>
              <w:rPr>
                <w:sz w:val="17"/>
              </w:rPr>
              <w:t>, alongside ESO1/ESO5 and the reused conformed dims</w:t>
            </w:r>
          </w:p>
        </w:tc>
      </w:tr>
      <w:tr>
        <w:tc>
          <w:tcPr>
            <w:tcW w:type="dxa" w:w="2736"/>
          </w:tcPr>
          <w:p>
            <w:pPr>
              <w:spacing w:after="40"/>
            </w:pPr>
            <w:r/>
            <w:r>
              <w:rPr>
                <w:sz w:val="17"/>
              </w:rPr>
              <w:t>Business names, not JDE aliases</w:t>
            </w:r>
          </w:p>
        </w:tc>
        <w:tc>
          <w:tcPr>
            <w:tcW w:type="dxa" w:w="1008"/>
          </w:tcPr>
          <w:p>
            <w:pPr>
              <w:spacing w:after="40"/>
            </w:pPr>
            <w:r/>
            <w:r>
              <w:rPr>
                <w:sz w:val="17"/>
              </w:rPr>
              <w:t>Yes</w:t>
            </w:r>
          </w:p>
        </w:tc>
        <w:tc>
          <w:tcPr>
            <w:tcW w:type="dxa" w:w="5904"/>
          </w:tcPr>
          <w:p>
            <w:pPr>
              <w:spacing w:after="40"/>
            </w:pPr>
            <w:r/>
            <w:r>
              <w:rPr>
                <w:sz w:val="17"/>
              </w:rPr>
            </w:r>
            <w:r>
              <w:rPr>
                <w:rFonts w:ascii="Consolas" w:hAnsi="Consolas"/>
                <w:sz w:val="16"/>
              </w:rPr>
              <w:t>taxable_amount</w:t>
            </w:r>
            <w:r>
              <w:rPr>
                <w:sz w:val="17"/>
              </w:rPr>
              <w:t xml:space="preserve">, not </w:t>
            </w:r>
            <w:r>
              <w:rPr>
                <w:rFonts w:ascii="Consolas" w:hAnsi="Consolas"/>
                <w:sz w:val="16"/>
              </w:rPr>
              <w:t>RPATXA</w:t>
            </w:r>
            <w:r>
              <w:rPr>
                <w:sz w:val="17"/>
              </w:rPr>
              <w:t>. Aliases survive only in comments, which is where they belong — they are lineage, not interface</w:t>
            </w:r>
          </w:p>
        </w:tc>
      </w:tr>
      <w:tr>
        <w:tc>
          <w:tcPr>
            <w:tcW w:type="dxa" w:w="2736"/>
          </w:tcPr>
          <w:p>
            <w:pPr>
              <w:spacing w:after="40"/>
            </w:pPr>
            <w:r/>
            <w:r>
              <w:rPr>
                <w:sz w:val="17"/>
              </w:rPr>
              <w:t>Measure names in Title Case</w:t>
            </w:r>
          </w:p>
        </w:tc>
        <w:tc>
          <w:tcPr>
            <w:tcW w:type="dxa" w:w="1008"/>
          </w:tcPr>
          <w:p>
            <w:pPr>
              <w:spacing w:after="40"/>
            </w:pPr>
            <w:r/>
            <w:r>
              <w:rPr>
                <w:sz w:val="17"/>
              </w:rPr>
              <w:t>Yes</w:t>
            </w:r>
          </w:p>
        </w:tc>
        <w:tc>
          <w:tcPr>
            <w:tcW w:type="dxa" w:w="5904"/>
          </w:tcPr>
          <w:p>
            <w:pPr>
              <w:spacing w:after="40"/>
            </w:pPr>
            <w:r/>
            <w:r>
              <w:rPr>
                <w:sz w:val="17"/>
              </w:rPr>
              <w:t>'Taxable Amount', 'Effective Tax Rate' — correct Power BI convention</w:t>
            </w:r>
          </w:p>
        </w:tc>
      </w:tr>
    </w:tbl>
    <w:p>
      <w:pPr>
        <w:spacing w:after="80"/>
      </w:pPr>
    </w:p>
    <w:p>
      <w:r>
        <w:rPr>
          <w:b w:val="0"/>
          <w:i w:val="0"/>
        </w:rPr>
        <w:t>The internal-plumbing columns `sales_tax_line_key` and `document_scope_key` are `isHidden` in the model, so they do not pollute the field list. Correct.</w:t>
      </w:r>
    </w:p>
    <w:p>
      <w:pPr>
        <w:pStyle w:val="Heading4"/>
      </w:pPr>
      <w:r>
        <w:t>Finding 2 (HIGH) — a DAX calculated column on a Direct Lake table  ·  RESOLVED IN REV 2</w:t>
      </w:r>
    </w:p>
    <w:p>
      <w:r>
        <w:rPr>
          <w:b w:val="0"/>
          <w:i w:val="0"/>
        </w:rPr>
        <w:t>As raised in Revision 1, the fact TMDL carried:</w:t>
      </w:r>
    </w:p>
    <w:p>
      <w:pPr>
        <w:spacing w:before="100" w:after="140" w:line="240" w:lineRule="auto"/>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column 'Tax Status' = IF(fact_sales_tax_reconciliation[tax_amount] &gt; 0, "Taxable", "Non-Taxable")</w:t>
        <w:br/>
        <w:t xml:space="preserve">    dataType: string</w:t>
        <w:br/>
        <w:t xml:space="preserve">    summarizeBy: none</w:t>
        <w:br/>
        <w:t xml:space="preserve">                                    — Rev 1 TMDL, lines 39–42</w:t>
        <w:br/>
        <w:br/>
        <w:t>partition fact_sales_tax_reconciliation = entity</w:t>
        <w:br/>
        <w:t xml:space="preserve">    mode: directLake</w:t>
        <w:br/>
        <w:t xml:space="preserve">                                    — same file, lines 205–206</w:t>
      </w:r>
    </w:p>
    <w:p>
      <w:r>
        <w:rPr>
          <w:b w:val="0"/>
          <w:i w:val="0"/>
        </w:rPr>
        <w:t>Direct Lake does not support DAX calculated columns. A Direct Lake table's columns must exist in the underlying Delta file. Depending on how it is deployed this either fails outright or silently forces the table out of Direct Lake and into DirectQuery fallback — which would quietly cost the report the performance the whole architecture was chosen for.</w:t>
      </w:r>
    </w:p>
    <w:p>
      <w:r>
        <w:rPr>
          <w:b w:val="0"/>
          <w:i w:val="0"/>
        </w:rPr>
        <w:t>What makes this clearly a defect rather than a debatable choice is that the project already states the rule and follows it in the very file under review. The fact notebook builds `tax_status` as a physical Spark column for exactly this reason, with the comment:</w:t>
      </w:r>
    </w:p>
    <w:p>
      <w:pPr>
        <w:spacing w:before="100" w:after="140" w:line="240" w:lineRule="auto"/>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Tax Status — a PHYSICAL column, not a DAX calculated column: Direct Lake tables cannot</w:t>
        <w:br/>
        <w:t># carry calculated columns (the same constraint that bars calculated columns everywhere in</w:t>
        <w:br/>
        <w:t># this model). Computed HERE, after the aggregate, from the SUMMED tax_amount ...</w:t>
      </w:r>
    </w:p>
    <w:p>
      <w:r>
        <w:rPr>
          <w:b w:val="0"/>
          <w:i w:val="0"/>
        </w:rPr>
        <w:t>And `ESO4_semantic_model_relationships_measures.md` line 52 describes Tax Status as a 'DAX calculated column defined in the semantic model (evaluated in the model, not stored in Gold)' — documenting the violation rather than catching it. ESO5, built later, records 'NO calc col' as a design point. ESO4 is the odd one out.</w:t>
      </w:r>
    </w:p>
    <w:p>
      <w:r>
        <w:rPr>
          <w:b w:val="0"/>
          <w:i w:val="0"/>
        </w:rPr>
        <w:t>A further point that makes the fix easy: no visual uses Tax Status. Every field reference in all three report pages was extracted and checked; Tax Status appears in none of them.</w:t>
      </w:r>
    </w:p>
    <w:p>
      <w:pPr>
        <w:spacing w:before="120" w:after="160"/>
        <w:ind w:left="144"/>
        <w:shd w:val="clear" w:fill="E2EFDA"/>
        <w:pBdr>
          <w:top w:val="single" w:sz="4" w:space="4" w:color="70AD47"/>
          <w:left w:val="single" w:sz="4" w:space="4" w:color="70AD47"/>
          <w:bottom w:val="single" w:sz="4" w:space="4" w:color="70AD47"/>
          <w:right w:val="single" w:sz="4" w:space="4" w:color="70AD47"/>
        </w:pBdr>
      </w:pPr>
      <w:r>
        <w:rPr>
          <w:b/>
          <w:sz w:val="20"/>
        </w:rPr>
        <w:t xml:space="preserve">✔ RESOLVED — Finding 2  </w:t>
      </w:r>
      <w:r>
        <w:rPr>
          <w:sz w:val="20"/>
        </w:rPr>
        <w:t xml:space="preserve">Made PHYSICAL rather than deleted, at the data owner's direction. Revision 1 recommended deleting the unused column; the decision was to keep the capability, on the reasoning that a </w:t>
      </w:r>
      <w:r>
        <w:rPr>
          <w:rFonts w:ascii="Consolas" w:hAnsi="Consolas"/>
          <w:sz w:val="18"/>
        </w:rPr>
        <w:t>MANUAL_OVERWRITE=True</w:t>
      </w:r>
      <w:r>
        <w:rPr>
          <w:sz w:val="20"/>
        </w:rPr>
        <w:t xml:space="preserve"> reload is already pending — so materialising it now is free, whereas re-adding it later would cost a reload of its own. The TMDL now declares an ordinary column:</w:t>
      </w:r>
    </w:p>
    <w:p>
      <w:pPr>
        <w:spacing w:before="100" w:after="140" w:line="240" w:lineRule="auto"/>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Taxable / Non-Taxable flag. PHYSICAL column materialised by the fact notebook from the</w:t>
        <w:br/>
        <w:t>/// summed tax_amount — Direct Lake does not support DAX calculated columns.</w:t>
        <w:br/>
        <w:t>column tax_status</w:t>
        <w:br/>
        <w:t xml:space="preserve">    dataType: string</w:t>
        <w:br/>
        <w:t xml:space="preserve">    summarizeBy: none</w:t>
        <w:br/>
        <w:t xml:space="preserve">    sourceColumn: tax_status</w:t>
        <w:br/>
        <w:t xml:space="preserve">                                    — fact_sales_tax_reconciliation.tmdl (Rev 2)</w:t>
      </w:r>
    </w:p>
    <w:p>
      <w:r>
        <w:rPr>
          <w:b w:val="0"/>
          <w:i w:val="0"/>
        </w:rPr>
        <w:t>The model now contains NO DAX calculated columns on any of its 7 tables, which was verified by searching every table TMDL for a calculated-column assignment.</w:t>
      </w:r>
    </w:p>
    <w:p>
      <w:pPr>
        <w:pStyle w:val="Heading4"/>
      </w:pPr>
      <w:r>
        <w:t>Where the column is computed — and why that placement is load-bearing</w:t>
      </w:r>
    </w:p>
    <w:p>
      <w:r>
        <w:rPr>
          <w:b w:val="0"/>
          <w:i w:val="0"/>
        </w:rPr>
        <w:t>The column is materialised AFTER the aggregate, not in the projection:</w:t>
      </w:r>
    </w:p>
    <w:p>
      <w:pPr>
        <w:spacing w:before="100" w:after="140" w:line="240" w:lineRule="auto"/>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.withColumn("tax_status", F.when(F.col("tax_amount") &gt; 0, F.lit("Taxable"))</w:t>
        <w:br/>
        <w:t xml:space="preserve">                           .otherwise(F.lit("Non-Taxable")))</w:t>
        <w:br/>
        <w:t xml:space="preserve">                                    — fact notebook, lines 343–344 (Rev 2)</w:t>
      </w:r>
    </w:p>
    <w:p>
      <w:r>
        <w:rPr>
          <w:b w:val="0"/>
          <w:i w:val="0"/>
        </w:rPr>
        <w:t>This placement is not incidental. Computed in `sel`, the column would derive from a single F03B11 pay item's `amt_tax_02` — and being a non-aggregated column, it would then have to join `FACT_GROUP_BY_COLS`, silently CHANGING THE FACT'S GRAIN. An invoice whose pay items had a mix of positive and zero tax would split into two rows where it previously had one.</w:t>
      </w:r>
    </w:p>
    <w:p>
      <w:r>
        <w:rPr>
          <w:b w:val="0"/>
          <w:i w:val="0"/>
        </w:rPr>
        <w:t>Placed after the aggregate, it derives from the SUMMED `tax_amount` — precisely what the retired DAX `IF(fact[tax_amount] &gt; 0, …)` evaluated against, since DAX saw only the stored, already-summed column. The physical column is therefore behaviourally identical to the DAX it replaces, which is the property that makes this a safe substitution rather than a redefinition.</w:t>
      </w:r>
    </w:p>
    <w:p>
      <w:r>
        <w:rPr>
          <w:b w:val="0"/>
          <w:i w:val="0"/>
        </w:rPr>
        <w:t>Consequently `tax_status` is in `FACT_BUSINESS_COLS` but deliberately NOT in `FACT_GROUP_BY_COLS`. This was verified mechanically rather than by eye — see the column arithmetic below.</w:t>
      </w:r>
    </w:p>
    <w:p>
      <w:pPr>
        <w:pStyle w:val="Heading4"/>
      </w:pPr>
      <w:r>
        <w:t>Resulting schema change</w:t>
      </w:r>
    </w:p>
    <w:tbl>
      <w:tblPr>
        <w:tblStyle w:val="LightGrid-Accent1"/>
        <w:tblW w:type="auto" w:w="0"/>
        <w:jc w:val="center"/>
        <w:tblLook w:firstColumn="1" w:firstRow="1" w:lastColumn="0" w:lastRow="0" w:noHBand="0" w:noVBand="1" w:val="04A0"/>
      </w:tblPr>
      <w:tblGrid>
        <w:gridCol w:w="2880"/>
        <w:gridCol w:w="2880"/>
        <w:gridCol w:w="2880"/>
      </w:tblGrid>
      <w:tr>
        <w:tc>
          <w:tcPr>
            <w:tcW w:type="dxa" w:w="4032"/>
          </w:tcPr>
          <w:p>
            <w:r/>
            <w:r>
              <w:rPr>
                <w:b/>
                <w:sz w:val="18"/>
              </w:rPr>
            </w:r>
          </w:p>
        </w:tc>
        <w:tc>
          <w:tcPr>
            <w:tcW w:type="dxa" w:w="1440"/>
          </w:tcPr>
          <w:p>
            <w:r/>
            <w:r>
              <w:rPr>
                <w:b/>
                <w:sz w:val="18"/>
              </w:rPr>
              <w:t>Rev 1</w:t>
            </w:r>
          </w:p>
        </w:tc>
        <w:tc>
          <w:tcPr>
            <w:tcW w:type="dxa" w:w="4176"/>
          </w:tcPr>
          <w:p>
            <w:r/>
            <w:r>
              <w:rPr>
                <w:b/>
                <w:sz w:val="18"/>
              </w:rPr>
              <w:t>Rev 2</w:t>
            </w:r>
          </w:p>
        </w:tc>
      </w:tr>
      <w:tr>
        <w:tc>
          <w:tcPr>
            <w:tcW w:type="dxa" w:w="4032"/>
          </w:tcPr>
          <w:p>
            <w:pPr>
              <w:spacing w:after="40"/>
            </w:pPr>
            <w:r/>
            <w:r>
              <w:rPr>
                <w:sz w:val="17"/>
              </w:rPr>
              <w:t>Grain columns (</w:t>
            </w:r>
            <w:r>
              <w:rPr>
                <w:rFonts w:ascii="Consolas" w:hAnsi="Consolas"/>
                <w:sz w:val="16"/>
              </w:rPr>
              <w:t>FACT_GROUP_BY_COLS</w:t>
            </w:r>
            <w:r>
              <w:rPr>
                <w:sz w:val="17"/>
              </w:rPr>
              <w:t>)</w:t>
            </w:r>
          </w:p>
        </w:tc>
        <w:tc>
          <w:tcPr>
            <w:tcW w:type="dxa" w:w="1440"/>
          </w:tcPr>
          <w:p>
            <w:pPr>
              <w:spacing w:after="40"/>
            </w:pPr>
            <w:r/>
            <w:r>
              <w:rPr>
                <w:sz w:val="17"/>
              </w:rPr>
              <w:t>18</w:t>
            </w:r>
          </w:p>
        </w:tc>
        <w:tc>
          <w:tcPr>
            <w:tcW w:type="dxa" w:w="4176"/>
          </w:tcPr>
          <w:p>
            <w:pPr>
              <w:spacing w:after="40"/>
            </w:pPr>
            <w:r/>
            <w:r>
              <w:rPr>
                <w:sz w:val="17"/>
              </w:rPr>
              <w:t>18 — unchanged, as required</w:t>
            </w:r>
          </w:p>
        </w:tc>
      </w:tr>
      <w:tr>
        <w:tc>
          <w:tcPr>
            <w:tcW w:type="dxa" w:w="4032"/>
          </w:tcPr>
          <w:p>
            <w:pPr>
              <w:spacing w:after="40"/>
            </w:pPr>
            <w:r/>
            <w:r>
              <w:rPr>
                <w:sz w:val="17"/>
              </w:rPr>
              <w:t>Carried (</w:t>
            </w:r>
            <w:r>
              <w:rPr>
                <w:rFonts w:ascii="Consolas" w:hAnsi="Consolas"/>
                <w:sz w:val="16"/>
              </w:rPr>
              <w:t>FACT_CARRY_COLS</w:t>
            </w:r>
            <w:r>
              <w:rPr>
                <w:sz w:val="17"/>
              </w:rPr>
              <w:t>)</w:t>
            </w:r>
          </w:p>
        </w:tc>
        <w:tc>
          <w:tcPr>
            <w:tcW w:type="dxa" w:w="1440"/>
          </w:tcPr>
          <w:p>
            <w:pPr>
              <w:spacing w:after="40"/>
            </w:pPr>
            <w:r/>
            <w:r>
              <w:rPr>
                <w:sz w:val="17"/>
              </w:rPr>
              <w:t>1</w:t>
            </w:r>
          </w:p>
        </w:tc>
        <w:tc>
          <w:tcPr>
            <w:tcW w:type="dxa" w:w="4176"/>
          </w:tcPr>
          <w:p>
            <w:pPr>
              <w:spacing w:after="40"/>
            </w:pPr>
            <w:r/>
            <w:r>
              <w:rPr>
                <w:sz w:val="17"/>
              </w:rPr>
              <w:t>1</w:t>
            </w:r>
          </w:p>
        </w:tc>
      </w:tr>
      <w:tr>
        <w:tc>
          <w:tcPr>
            <w:tcW w:type="dxa" w:w="4032"/>
          </w:tcPr>
          <w:p>
            <w:pPr>
              <w:spacing w:after="40"/>
            </w:pPr>
            <w:r/>
            <w:r>
              <w:rPr>
                <w:sz w:val="17"/>
              </w:rPr>
              <w:t>Measures (</w:t>
            </w:r>
            <w:r>
              <w:rPr>
                <w:rFonts w:ascii="Consolas" w:hAnsi="Consolas"/>
                <w:sz w:val="16"/>
              </w:rPr>
              <w:t>FACT_MEASURE_COLS</w:t>
            </w:r>
            <w:r>
              <w:rPr>
                <w:sz w:val="17"/>
              </w:rPr>
              <w:t>)</w:t>
            </w:r>
          </w:p>
        </w:tc>
        <w:tc>
          <w:tcPr>
            <w:tcW w:type="dxa" w:w="1440"/>
          </w:tcPr>
          <w:p>
            <w:pPr>
              <w:spacing w:after="40"/>
            </w:pPr>
            <w:r/>
            <w:r>
              <w:rPr>
                <w:sz w:val="17"/>
              </w:rPr>
              <w:t>4</w:t>
            </w:r>
          </w:p>
        </w:tc>
        <w:tc>
          <w:tcPr>
            <w:tcW w:type="dxa" w:w="4176"/>
          </w:tcPr>
          <w:p>
            <w:pPr>
              <w:spacing w:after="40"/>
            </w:pPr>
            <w:r/>
            <w:r>
              <w:rPr>
                <w:sz w:val="17"/>
              </w:rPr>
              <w:t>4</w:t>
            </w:r>
          </w:p>
        </w:tc>
      </w:tr>
      <w:tr>
        <w:tc>
          <w:tcPr>
            <w:tcW w:type="dxa" w:w="4032"/>
          </w:tcPr>
          <w:p>
            <w:pPr>
              <w:spacing w:after="40"/>
            </w:pPr>
            <w:r/>
            <w:r>
              <w:rPr>
                <w:sz w:val="17"/>
              </w:rPr>
              <w:t>Derived post-aggregate</w:t>
            </w:r>
          </w:p>
        </w:tc>
        <w:tc>
          <w:tcPr>
            <w:tcW w:type="dxa" w:w="1440"/>
          </w:tcPr>
          <w:p>
            <w:pPr>
              <w:spacing w:after="40"/>
            </w:pPr>
            <w:r/>
            <w:r>
              <w:rPr>
                <w:sz w:val="17"/>
              </w:rPr>
              <w:t>0</w:t>
            </w:r>
          </w:p>
        </w:tc>
        <w:tc>
          <w:tcPr>
            <w:tcW w:type="dxa" w:w="4176"/>
          </w:tcPr>
          <w:p>
            <w:pPr>
              <w:spacing w:after="40"/>
            </w:pPr>
            <w:r/>
            <w:r>
              <w:rPr>
                <w:sz w:val="17"/>
              </w:rPr>
              <w:t xml:space="preserve">1 — </w:t>
            </w:r>
            <w:r>
              <w:rPr>
                <w:rFonts w:ascii="Consolas" w:hAnsi="Consolas"/>
                <w:sz w:val="16"/>
              </w:rPr>
              <w:t>tax_status</w:t>
            </w:r>
            <w:r>
              <w:rPr>
                <w:sz w:val="17"/>
              </w:rPr>
            </w:r>
          </w:p>
        </w:tc>
      </w:tr>
      <w:tr>
        <w:tc>
          <w:tcPr>
            <w:tcW w:type="dxa" w:w="4032"/>
          </w:tcPr>
          <w:p>
            <w:pPr>
              <w:spacing w:after="40"/>
            </w:pPr>
            <w:r/>
            <w:r>
              <w:rPr>
                <w:sz w:val="17"/>
              </w:rPr>
            </w:r>
            <w:r>
              <w:rPr>
                <w:rFonts w:ascii="Consolas" w:hAnsi="Consolas"/>
                <w:sz w:val="16"/>
              </w:rPr>
              <w:t>FACT_BUSINESS_COLS</w:t>
            </w:r>
            <w:r>
              <w:rPr>
                <w:sz w:val="17"/>
              </w:rPr>
            </w:r>
          </w:p>
        </w:tc>
        <w:tc>
          <w:tcPr>
            <w:tcW w:type="dxa" w:w="1440"/>
          </w:tcPr>
          <w:p>
            <w:pPr>
              <w:spacing w:after="40"/>
            </w:pPr>
            <w:r/>
            <w:r>
              <w:rPr>
                <w:sz w:val="17"/>
              </w:rPr>
              <w:t>23</w:t>
            </w:r>
          </w:p>
        </w:tc>
        <w:tc>
          <w:tcPr>
            <w:tcW w:type="dxa" w:w="4176"/>
          </w:tcPr>
          <w:p>
            <w:pPr>
              <w:spacing w:after="40"/>
            </w:pPr>
            <w:r/>
            <w:r>
              <w:rPr>
                <w:sz w:val="17"/>
              </w:rPr>
              <w:t>24</w:t>
            </w:r>
          </w:p>
        </w:tc>
      </w:tr>
      <w:tr>
        <w:tc>
          <w:tcPr>
            <w:tcW w:type="dxa" w:w="4032"/>
          </w:tcPr>
          <w:p>
            <w:pPr>
              <w:spacing w:after="40"/>
            </w:pPr>
            <w:r/>
            <w:r>
              <w:rPr>
                <w:sz w:val="17"/>
              </w:rPr>
              <w:t>Stored columns (business + 2 keys)</w:t>
            </w:r>
          </w:p>
        </w:tc>
        <w:tc>
          <w:tcPr>
            <w:tcW w:type="dxa" w:w="1440"/>
          </w:tcPr>
          <w:p>
            <w:pPr>
              <w:spacing w:after="40"/>
            </w:pPr>
            <w:r/>
            <w:r>
              <w:rPr>
                <w:sz w:val="17"/>
              </w:rPr>
              <w:t>25</w:t>
            </w:r>
          </w:p>
        </w:tc>
        <w:tc>
          <w:tcPr>
            <w:tcW w:type="dxa" w:w="4176"/>
          </w:tcPr>
          <w:p>
            <w:pPr>
              <w:spacing w:after="40"/>
            </w:pPr>
            <w:r/>
            <w:r>
              <w:rPr>
                <w:sz w:val="17"/>
              </w:rPr>
              <w:t>26</w:t>
            </w:r>
          </w:p>
        </w:tc>
      </w:tr>
    </w:tbl>
    <w:p>
      <w:pPr>
        <w:spacing w:after="80"/>
      </w:pPr>
    </w:p>
    <w:p>
      <w:r>
        <w:rPr>
          <w:b w:val="0"/>
          <w:i w:val="0"/>
        </w:rPr>
        <w:t>The fact notebook's `FACT_BUSINESS_COLS` set and the TMDL's `sourceColumn` set were compared programmatically: 26 on each side, with nothing missing and nothing extra. `tax_status` was confirmed absent from the grain list.</w:t>
      </w:r>
    </w:p>
    <w:p>
      <w:pPr>
        <w:pStyle w:val="Heading4"/>
      </w:pPr>
      <w:r>
        <w:t>Finding 4 (MEDIUM) — five int64 columns believed written as decimal  ·  PREMISE CORRECTED, RESOLVED IN REV 6</w:t>
      </w:r>
    </w:p>
    <w:p>
      <w:r>
        <w:rPr>
          <w:b w:val="0"/>
          <w:i w:val="0"/>
        </w:rPr>
        <w:t>NOTE (Rev 6): the narrative below is preserved as the original Revision-1 reasoning. Its premise was later found incorrect — see the resolution at the end of this finding and the Revision 6 callout. Silver stores all five identifiers as int64 natively, so no cast is required and the Rev-2 casts were reverted.</w:t>
      </w:r>
    </w:p>
    <w:p>
      <w:r>
        <w:rPr>
          <w:b w:val="0"/>
          <w:i w:val="0"/>
        </w:rPr>
        <w:t>The TMDL declares `invoice_number`, `order_number`, `ship_to`, `sold_to` and `parent_number` as `int64`. As raised in Revision 1, the fact notebook wrote all five straight from Silver with no cast:</w:t>
      </w:r>
    </w:p>
    <w:p>
      <w:pPr>
        <w:spacing w:before="100" w:after="140" w:line="240" w:lineRule="auto"/>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F.col("sd.doc_voucher_invoice_e").alias("invoice_number"),       # SDDOC     -&gt; TMDL int64</w:t>
        <w:br/>
        <w:t>F.col("sd.document_order_invoice_e").alias("order_number"),      # SDDOCO    -&gt; TMDL int64</w:t>
        <w:br/>
        <w:t>F.col("sd.address_number").alias("sold_to"),                     # SDAN8     -&gt; TMDL int64</w:t>
        <w:br/>
        <w:t>F.col("sd.address_number_ship_to").alias("ship_to"),             # SDSHAN    -&gt; TMDL int64</w:t>
        <w:br/>
        <w:t>F.col("sd.address_number_parent").alias("parent_number"),        # SDPA8     -&gt; TMDL int64</w:t>
        <w:br/>
        <w:t xml:space="preserve">                                    — fact notebook, lines 267–279</w:t>
      </w:r>
    </w:p>
    <w:p>
      <w:r>
        <w:rPr>
          <w:b w:val="0"/>
          <w:i w:val="0"/>
        </w:rPr>
        <w:t>At the time, these were believed to be Silver decimals — the reasoning being that the very same notebook appears to work around it 15 lines later when building the Avalara Code:</w:t>
      </w:r>
    </w:p>
    <w:p>
      <w:pPr>
        <w:spacing w:before="100" w:after="140" w:line="240" w:lineRule="auto"/>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SDDOC (doc_voucher_invoice_e) is a Silver decimal; cast via long to drop the fractional part</w:t>
        <w:br/>
        <w:t># ("11843107.000000000000000000" → "11843107") — matches Oracle's integer NUMBER concat.</w:t>
        <w:br/>
        <w:t>F.coalesce(F.trim(F.col("sd.doc_voucher_invoice_e").cast("long").cast("string")), F.lit("-999999999")),</w:t>
        <w:br/>
        <w:t xml:space="preserve">                                    — fact notebook, lines 256–260</w:t>
      </w:r>
    </w:p>
    <w:p>
      <w:r>
        <w:rPr>
          <w:b w:val="0"/>
          <w:i w:val="0"/>
        </w:rPr>
        <w:t>The Revision-1/Rev-2 conclusion was that this decimal artifact had been fixed only inside the concatenation, leaving the stored `invoice_number` column (and the four others sourced the same way) as decimals while the model claimed int64 — so Rev 2 added `.cast("long")` to all five in the projection.</w:t>
      </w:r>
    </w:p>
    <w:p>
      <w:pPr>
        <w:spacing w:before="120" w:after="160"/>
        <w:ind w:left="144"/>
        <w:shd w:val="clear" w:fill="E2EFDA"/>
        <w:pBdr>
          <w:top w:val="single" w:sz="4" w:space="4" w:color="70AD47"/>
          <w:left w:val="single" w:sz="4" w:space="4" w:color="70AD47"/>
          <w:bottom w:val="single" w:sz="4" w:space="4" w:color="70AD47"/>
          <w:right w:val="single" w:sz="4" w:space="4" w:color="70AD47"/>
        </w:pBdr>
      </w:pPr>
      <w:r>
        <w:rPr>
          <w:b/>
          <w:sz w:val="20"/>
        </w:rPr>
        <w:t xml:space="preserve">✔ RESOLVED — Finding 4  </w:t>
      </w:r>
      <w:r>
        <w:rPr>
          <w:sz w:val="20"/>
        </w:rPr>
        <w:t xml:space="preserve">PREMISE CORRECTED IN REV 6. The data owner has confirmed Silver stores all five identifiers (SDDOC, SDDOCO, SDAN8, SDSHAN, SDPA8) as int64 natively — the decimal values the Avalara comment worked around belonged to an earlier Silver schema, not the current one. The five columns therefore match the TMDL's int64 declarations WITHOUT any cast, and the three address relationships are already type-safe against the int64 </w:t>
      </w:r>
      <w:r>
        <w:rPr>
          <w:rFonts w:ascii="Consolas" w:hAnsi="Consolas"/>
          <w:sz w:val="18"/>
        </w:rPr>
        <w:t>dim_address_*.address_number</w:t>
      </w:r>
      <w:r>
        <w:rPr>
          <w:sz w:val="20"/>
        </w:rPr>
        <w:t xml:space="preserve"> PKs. The defensive Rev-2 </w:t>
      </w:r>
      <w:r>
        <w:rPr>
          <w:rFonts w:ascii="Consolas" w:hAnsi="Consolas"/>
          <w:sz w:val="18"/>
        </w:rPr>
        <w:t>.cast("long")</w:t>
      </w:r>
      <w:r>
        <w:rPr>
          <w:sz w:val="20"/>
        </w:rPr>
        <w:t xml:space="preserve"> was UNNECESSARY and has been REVERTED, so the notebook matches the old fab_25-07-2026 notebook the user runs on Fabric. No stored value or figure changed. (The Avalara Code still casts SDDOC to string internally for the concat — a harmless no-op on an int64 — and </w:t>
      </w:r>
      <w:r>
        <w:rPr>
          <w:rFonts w:ascii="Consolas" w:hAnsi="Consolas"/>
          <w:sz w:val="18"/>
        </w:rPr>
        <w:t>document_company</w:t>
      </w:r>
      <w:r>
        <w:rPr>
          <w:sz w:val="20"/>
        </w:rPr>
        <w:t xml:space="preserve"> still stays a string so leading zeros like '00400' survive.)</w:t>
      </w:r>
    </w:p>
    <w:p>
      <w:r>
        <w:rPr>
          <w:b w:val="0"/>
          <w:i w:val="0"/>
        </w:rPr>
        <w:t>Because there is no longer a projection cast, the Rev-2 concern about propagating that cast into the CDC stream handlers (formerly section 1.6) is moot — and in any case ESO4 is now a batch build with no stream handlers at all.</w:t>
      </w:r>
    </w:p>
    <w:p>
      <w:pPr>
        <w:pStyle w:val="Heading3"/>
      </w:pPr>
      <w:r>
        <w:t>Data types otherwise</w:t>
      </w:r>
    </w:p>
    <w:p>
      <w:r>
        <w:rPr>
          <w:b w:val="0"/>
          <w:i w:val="0"/>
        </w:rPr>
        <w:t>The rest is sound. The four amounts are `double`, appropriate for currency at reporting precision. The two dates are `dateTime` and stored as native dates on the fact, so they slice directly with no dim_date — a deliberate simplification for a model with no time-intelligence requirement. All code columns are `string`, correctly preserving JDE's leading zeros: `document_company` stays a string so '00400' does not become 400, which is explicitly reasoned about in the Avalara Code comment.</w:t>
      </w:r>
    </w:p>
    <w:p>
      <w:pPr>
        <w:spacing w:after="40"/>
      </w:pPr>
      <w:r>
        <w:rPr>
          <w:b/>
          <w:sz w:val="19"/>
        </w:rPr>
        <w:t>Evidence examined</w:t>
      </w:r>
    </w:p>
    <w:p>
      <w:pPr>
        <w:pStyle w:val="ListBullet"/>
        <w:spacing w:after="20"/>
        <w:ind w:left="403"/>
      </w:pPr>
      <w:r>
        <w:rPr>
          <w:sz w:val="18"/>
        </w:rPr>
      </w:r>
      <w:r>
        <w:rPr>
          <w:rFonts w:ascii="Consolas" w:hAnsi="Consolas"/>
          <w:sz w:val="17"/>
        </w:rPr>
        <w:t>fact_sales_tax_reconciliation.tmdl</w:t>
      </w:r>
      <w:r>
        <w:rPr>
          <w:sz w:val="18"/>
        </w:rPr>
        <w:t xml:space="preserve"> — every column declaration and the partition mode</w:t>
      </w:r>
    </w:p>
    <w:p>
      <w:pPr>
        <w:pStyle w:val="ListBullet"/>
        <w:spacing w:after="20"/>
        <w:ind w:left="403"/>
      </w:pPr>
      <w:r>
        <w:rPr>
          <w:sz w:val="18"/>
        </w:rPr>
        <w:t>fact notebook lines 264–299 (the select, showing which columns are cast and which are not)</w:t>
      </w:r>
    </w:p>
    <w:p>
      <w:pPr>
        <w:pStyle w:val="ListBullet"/>
        <w:spacing w:after="20"/>
        <w:ind w:left="403"/>
      </w:pPr>
      <w:r>
        <w:rPr>
          <w:sz w:val="18"/>
        </w:rPr>
        <w:t xml:space="preserve">fact notebook </w:t>
      </w:r>
      <w:r>
        <w:rPr>
          <w:rFonts w:ascii="Consolas" w:hAnsi="Consolas"/>
          <w:sz w:val="17"/>
        </w:rPr>
        <w:t>tax_status</w:t>
      </w:r>
      <w:r>
        <w:rPr>
          <w:sz w:val="18"/>
        </w:rPr>
        <w:t xml:space="preserve"> comment (the project's own statement of the Direct Lake rule, in the file under review)</w:t>
      </w:r>
    </w:p>
    <w:p>
      <w:pPr>
        <w:pStyle w:val="ListBullet"/>
        <w:spacing w:after="20"/>
        <w:ind w:left="403"/>
      </w:pPr>
      <w:r>
        <w:rPr>
          <w:sz w:val="18"/>
        </w:rPr>
      </w:r>
      <w:r>
        <w:rPr>
          <w:rFonts w:ascii="Consolas" w:hAnsi="Consolas"/>
          <w:sz w:val="17"/>
        </w:rPr>
        <w:t>ESO4_semantic_model_relationships_measures.md</w:t>
      </w:r>
      <w:r>
        <w:rPr>
          <w:sz w:val="18"/>
        </w:rPr>
        <w:t xml:space="preserve"> lines 50–65</w:t>
      </w:r>
    </w:p>
    <w:p>
      <w:pPr>
        <w:pStyle w:val="ListBullet"/>
        <w:spacing w:after="20"/>
        <w:ind w:left="403"/>
      </w:pPr>
      <w:r>
        <w:rPr>
          <w:sz w:val="18"/>
        </w:rPr>
        <w:t>All 17 report visual definitions — Tax Status is referenced by none</w:t>
      </w:r>
    </w:p>
    <w:p>
      <w:pPr>
        <w:spacing w:after="40"/>
      </w:pPr>
    </w:p>
    <w:p>
      <w:pPr>
        <w:spacing w:before="120" w:after="200"/>
        <w:shd w:val="clear" w:fill="E2EFDA"/>
        <w:pBdr>
          <w:top w:val="single" w:sz="4" w:space="4" w:color="70AD47"/>
          <w:left w:val="single" w:sz="4" w:space="4" w:color="70AD47"/>
          <w:bottom w:val="single" w:sz="4" w:space="4" w:color="70AD47"/>
          <w:right w:val="single" w:sz="4" w:space="4" w:color="70AD47"/>
        </w:pBdr>
      </w:pPr>
      <w:r>
        <w:rPr>
          <w:b/>
          <w:sz w:val="21"/>
        </w:rPr>
        <w:t xml:space="preserve">VERDICT: PASS — RESOLVED IN REV 2  </w:t>
      </w:r>
      <w:r>
        <w:rPr>
          <w:sz w:val="20"/>
        </w:rPr>
        <w:t>Naming is fully compliant and consistent. Both data-type defects are fixed and re-verified: no DAX calculated column remains on any table, and the five identifier columns now store the int64 the model declares. The fact/TMDL column sets were reconciled programmatically at 26 each.</w:t>
      </w:r>
    </w:p>
    <w:p>
      <w:pPr>
        <w:pStyle w:val="Heading2"/>
      </w:pPr>
      <w:r>
        <w:t>1.6  Incremental loading and historical data are handled correctly</w:t>
      </w:r>
    </w:p>
    <w:p>
      <w:pPr>
        <w:pStyle w:val="Heading3"/>
      </w:pPr>
      <w:r>
        <w:t>Incremental loading — well designed</w:t>
      </w:r>
    </w:p>
    <w:p>
      <w:r>
        <w:rPr>
          <w:b w:val="0"/>
          <w:i w:val="0"/>
        </w:rPr>
        <w:t>The CDF-plus-recompute-by-scope design is sound, and its correctness properties are worth stating because they are the reason to trust it:</w:t>
      </w:r>
    </w:p>
    <w:p>
      <w:pPr>
        <w:pStyle w:val="ListBullet"/>
        <w:spacing w:after="60"/>
        <w:ind w:left="360"/>
      </w:pPr>
      <w:r>
        <w:t>It is idempotent. Replaying the same change produces the same result, because the scope is deleted before it is rebuilt. Nothing accumulates.</w:t>
      </w:r>
    </w:p>
    <w:p>
      <w:pPr>
        <w:pStyle w:val="ListBullet"/>
        <w:spacing w:after="60"/>
        <w:ind w:left="360"/>
      </w:pPr>
      <w:r>
        <w:t>It is self-healing. A bad row is corrected by touching its source, with no bespoke repair script.</w:t>
      </w:r>
    </w:p>
    <w:p>
      <w:pPr>
        <w:pStyle w:val="ListBullet"/>
        <w:spacing w:after="60"/>
        <w:ind w:left="360"/>
      </w:pPr>
      <w:r>
        <w:t xml:space="preserve">It cannot drift from a full reload, because the full load and the incremental path call the same </w:t>
      </w:r>
      <w:r>
        <w:rPr>
          <w:rFonts w:ascii="Consolas" w:hAnsi="Consolas"/>
          <w:sz w:val="18"/>
        </w:rPr>
        <w:t>transform_fact()</w:t>
      </w:r>
      <w:r>
        <w:t>. This is the strongest guarantee in the design — a whole class of 'the incremental job disagrees with the rebuild' bugs is impossible by construction.</w:t>
      </w:r>
    </w:p>
    <w:p>
      <w:pPr>
        <w:pStyle w:val="ListBullet"/>
        <w:spacing w:after="60"/>
        <w:ind w:left="360"/>
      </w:pPr>
      <w:r>
        <w:t>Inserts, updates and deletes share one code path, so there is no special-case delete logic to get wrong.</w:t>
      </w:r>
    </w:p>
    <w:p>
      <w:pPr>
        <w:pStyle w:val="ListBullet"/>
        <w:spacing w:after="60"/>
        <w:ind w:left="360"/>
      </w:pPr>
      <w:r>
        <w:t xml:space="preserve">Concurrency is handled. Both streams write the same table from different driver threads, and </w:t>
      </w:r>
      <w:r>
        <w:rPr>
          <w:rFonts w:ascii="Consolas" w:hAnsi="Consolas"/>
          <w:sz w:val="18"/>
        </w:rPr>
        <w:t>_FACT_LOCK</w:t>
      </w:r>
      <w:r>
        <w:t xml:space="preserve"> serialises them so a delete cannot interleave with another stream's append.</w:t>
      </w:r>
    </w:p>
    <w:p>
      <w:r>
        <w:rPr>
          <w:b w:val="0"/>
          <w:i w:val="0"/>
        </w:rPr>
        <w:t>The defensive code around startup deserves credit too. `_checkpoints_exist()` requires a committed `offsets/` entry rather than a merely-present folder, and `_start_ver()` never falls back to version 0. Both exist to prevent `DELTA_MISSING_CHANGE_DATA`, and both encode a failure that was actually hit and diagnosed.</w:t>
      </w:r>
    </w:p>
    <w:p>
      <w:pPr>
        <w:pStyle w:val="Heading3"/>
      </w:pPr>
      <w:r>
        <w:t>A standing constraint discovered while fixing Finding 4  ·  NEW IN REV 2</w:t>
      </w:r>
    </w:p>
    <w:p>
      <w:r>
        <w:rPr>
          <w:b w:val="0"/>
          <w:i w:val="0"/>
        </w:rPr>
        <w:t>This did not appear in Revision 1. It surfaced while implementing the `.cast("long")` fix, and it is recorded here because it is a permanent maintenance hazard in this design, not a one-off.</w:t>
      </w:r>
    </w:p>
    <w:p>
      <w:r>
        <w:rPr>
          <w:b w:val="0"/>
          <w:i w:val="0"/>
        </w:rPr>
        <w:t>The delete half of recompute-by-scope depends on a hash agreeing across two code paths that are 300 lines apart:</w:t>
      </w:r>
    </w:p>
    <w:tbl>
      <w:tblPr>
        <w:tblStyle w:val="LightGrid-Accent1"/>
        <w:tblW w:type="auto" w:w="0"/>
        <w:jc w:val="center"/>
        <w:tblLook w:firstColumn="1" w:firstRow="1" w:lastColumn="0" w:lastRow="0" w:noHBand="0" w:noVBand="1" w:val="04A0"/>
      </w:tblPr>
      <w:tblGrid>
        <w:gridCol w:w="4320"/>
        <w:gridCol w:w="4320"/>
      </w:tblGrid>
      <w:tr>
        <w:tc>
          <w:tcPr>
            <w:tcW w:type="dxa" w:w="2736"/>
          </w:tcPr>
          <w:p>
            <w:r/>
            <w:r>
              <w:rPr>
                <w:b/>
                <w:sz w:val="18"/>
              </w:rPr>
              <w:t>Path</w:t>
            </w:r>
          </w:p>
        </w:tc>
        <w:tc>
          <w:tcPr>
            <w:tcW w:type="dxa" w:w="6912"/>
          </w:tcPr>
          <w:p>
            <w:r/>
            <w:r>
              <w:rPr>
                <w:b/>
                <w:sz w:val="18"/>
              </w:rPr>
              <w:t>Builds `document_scope_key` from</w:t>
            </w:r>
          </w:p>
        </w:tc>
      </w:tr>
      <w:tr>
        <w:tc>
          <w:tcPr>
            <w:tcW w:type="dxa" w:w="2736"/>
          </w:tcPr>
          <w:p>
            <w:pPr>
              <w:spacing w:after="40"/>
            </w:pPr>
            <w:r/>
            <w:r>
              <w:rPr>
                <w:sz w:val="17"/>
              </w:rPr>
            </w:r>
            <w:r>
              <w:rPr>
                <w:rFonts w:ascii="Consolas" w:hAnsi="Consolas"/>
                <w:sz w:val="16"/>
              </w:rPr>
              <w:t>transform_fact</w:t>
            </w:r>
            <w:r>
              <w:rPr>
                <w:sz w:val="17"/>
              </w:rPr>
              <w:t xml:space="preserve"> (line 348)</w:t>
            </w:r>
          </w:p>
        </w:tc>
        <w:tc>
          <w:tcPr>
            <w:tcW w:type="dxa" w:w="6912"/>
          </w:tcPr>
          <w:p>
            <w:pPr>
              <w:spacing w:after="40"/>
            </w:pPr>
            <w:r/>
            <w:r>
              <w:rPr>
                <w:sz w:val="17"/>
              </w:rPr>
            </w:r>
            <w:r>
              <w:rPr>
                <w:rFonts w:ascii="Consolas" w:hAnsi="Consolas"/>
                <w:sz w:val="16"/>
              </w:rPr>
              <w:t>sk("document_company", "document_type", "invoice_number")</w:t>
            </w:r>
            <w:r>
              <w:rPr>
                <w:sz w:val="17"/>
              </w:rPr>
              <w:t xml:space="preserve"> — the columns of the row it is about to APPEND</w:t>
            </w:r>
          </w:p>
        </w:tc>
      </w:tr>
      <w:tr>
        <w:tc>
          <w:tcPr>
            <w:tcW w:type="dxa" w:w="2736"/>
          </w:tcPr>
          <w:p>
            <w:pPr>
              <w:spacing w:after="40"/>
            </w:pPr>
            <w:r/>
            <w:r>
              <w:rPr>
                <w:sz w:val="17"/>
              </w:rPr>
            </w:r>
            <w:r>
              <w:rPr>
                <w:rFonts w:ascii="Consolas" w:hAnsi="Consolas"/>
                <w:sz w:val="16"/>
              </w:rPr>
              <w:t>recompute_fact</w:t>
            </w:r>
            <w:r>
              <w:rPr>
                <w:sz w:val="17"/>
              </w:rPr>
              <w:t xml:space="preserve"> (line 137)</w:t>
            </w:r>
          </w:p>
        </w:tc>
        <w:tc>
          <w:tcPr>
            <w:tcW w:type="dxa" w:w="6912"/>
          </w:tcPr>
          <w:p>
            <w:pPr>
              <w:spacing w:after="40"/>
            </w:pPr>
            <w:r/>
            <w:r>
              <w:rPr>
                <w:sz w:val="17"/>
              </w:rPr>
            </w:r>
            <w:r>
              <w:rPr>
                <w:rFonts w:ascii="Consolas" w:hAnsi="Consolas"/>
                <w:sz w:val="16"/>
              </w:rPr>
              <w:t>sk("company_key", "document_type", "invoice_number")</w:t>
            </w:r>
            <w:r>
              <w:rPr>
                <w:sz w:val="17"/>
              </w:rPr>
              <w:t xml:space="preserve"> on the </w:t>
            </w:r>
            <w:r>
              <w:rPr>
                <w:rFonts w:ascii="Consolas" w:hAnsi="Consolas"/>
                <w:sz w:val="16"/>
              </w:rPr>
              <w:t>docs</w:t>
            </w:r>
            <w:r>
              <w:rPr>
                <w:sz w:val="17"/>
              </w:rPr>
              <w:t xml:space="preserve"> DataFrame built by the two stream handlers — the scope it is about to DELETE</w:t>
            </w:r>
          </w:p>
        </w:tc>
      </w:tr>
    </w:tbl>
    <w:p>
      <w:pPr>
        <w:spacing w:after="80"/>
      </w:pPr>
    </w:p>
    <w:p>
      <w:r>
        <w:rPr>
          <w:b w:val="0"/>
          <w:i w:val="0"/>
        </w:rPr>
        <w:t>`sk()` hashes `concat_ws("||", *[F.col(c).cast("string") …])` — it STRINGIFIES every input. So the two paths agree only if the same column arrives with the same Spark type on both sides.</w:t>
      </w:r>
    </w:p>
    <w:p>
      <w:r>
        <w:rPr>
          <w:b w:val="0"/>
          <w:i w:val="0"/>
        </w:rPr>
        <w:t>Casting `invoice_number` in the projection alone would have broken exactly that. The appended rows would hash the string "11843107", while the handlers still hashed "11843107.000000000000000000" from the raw Silver decimal. The MERGE delete would match nothing, the append would proceed anyway, and every subsequent update to an invoice would ADD A SECOND COPY of its rows rather than replace them.</w:t>
      </w:r>
    </w:p>
    <w:p>
      <w:pPr>
        <w:spacing w:before="120" w:after="160"/>
        <w:ind w:left="144"/>
        <w:shd w:val="clear" w:fill="FBE4E4"/>
        <w:pBdr>
          <w:top w:val="single" w:sz="4" w:space="4" w:color="C00000"/>
          <w:left w:val="single" w:sz="4" w:space="4" w:color="C00000"/>
          <w:bottom w:val="single" w:sz="4" w:space="4" w:color="C00000"/>
          <w:right w:val="single" w:sz="4" w:space="4" w:color="C00000"/>
        </w:pBdr>
      </w:pPr>
      <w:r>
        <w:rPr>
          <w:b/>
          <w:sz w:val="20"/>
        </w:rPr>
        <w:t xml:space="preserve">Why this would have been unusually nasty.  </w:t>
      </w:r>
      <w:r>
        <w:rPr>
          <w:sz w:val="20"/>
        </w:rPr>
        <w:t>It fails silently. No error, no warning — the MERGE simply deletes zero rows. A full load would look perfect, because the seed path never calls recompute_fact. The corruption would begin only once streaming started, would affect only invoices that changed after the load, and would grow without bound. It would most likely be noticed weeks later as tax totals drifting upward, at which point the cause would be far from obvious.</w:t>
      </w:r>
    </w:p>
    <w:p>
      <w:r>
        <w:rPr>
          <w:b w:val="0"/>
          <w:i w:val="0"/>
        </w:rPr>
        <w:t>The cast was therefore applied in all three places — the projection and both handlers — and each site carries a comment stating the lockstep requirement:</w:t>
      </w:r>
    </w:p>
    <w:p>
      <w:pPr>
        <w:spacing w:before="100" w:after="140" w:line="240" w:lineRule="auto"/>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transform_fact</w:t>
        <w:br/>
        <w:t>F.col("sd.doc_voucher_invoice_e").cast("long").alias("invoice_number"),      # line 292</w:t>
        <w:br/>
        <w:br/>
        <w:t># make_fact_f4211_handler</w:t>
        <w:br/>
        <w:t>F.col("doc_voucher_invoice_e").cast("long").alias("invoice_number")          # line 439</w:t>
        <w:br/>
        <w:br/>
        <w:t># make_fact_f03b11_handler</w:t>
        <w:br/>
        <w:t>F.col("original_document_no").cast("long").alias("invoice_number")           # line 458</w:t>
      </w:r>
    </w:p>
    <w:p>
      <w:r>
        <w:rPr>
          <w:b w:val="0"/>
          <w:i w:val="0"/>
        </w:rPr>
        <w:t>The maintenance rule this implies should be treated as permanent: ANY change to the type or derivation of a column feeding `document_scope_key` must be made in all three places at once. The same applies to `document_company` — the F03B11 handler sources it from `company_key_original` while the projection uses `sd.company_key`, and those must remain the same type. They are believed to be both strings, since JDE company keys are character fields, but this has not been confirmed against data and is worth checking at the first load.</w:t>
      </w:r>
    </w:p>
    <w:p>
      <w:pPr>
        <w:spacing w:before="120" w:after="160"/>
        <w:ind w:left="144"/>
        <w:shd w:val="clear" w:fill="FFF4E5"/>
        <w:pBdr>
          <w:top w:val="single" w:sz="4" w:space="4" w:color="E8C48A"/>
          <w:left w:val="single" w:sz="4" w:space="4" w:color="E8C48A"/>
          <w:bottom w:val="single" w:sz="4" w:space="4" w:color="E8C48A"/>
          <w:right w:val="single" w:sz="4" w:space="4" w:color="E8C48A"/>
        </w:pBdr>
      </w:pPr>
      <w:r>
        <w:rPr>
          <w:b/>
          <w:sz w:val="20"/>
        </w:rPr>
        <w:t xml:space="preserve">Suggested verification once streaming is live.  </w:t>
      </w:r>
      <w:r>
        <w:rPr>
          <w:sz w:val="20"/>
        </w:rPr>
        <w:t>The failure mode is invisible without an explicit check. After the first load and a few minutes of streaming, confirm the delete is actually matching:</w:t>
      </w:r>
    </w:p>
    <w:p>
      <w:pPr>
        <w:spacing w:before="100" w:after="140" w:line="240" w:lineRule="auto"/>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Every invoice document's rows should be replaced, never accumulated.</w:t>
        <w:br/>
        <w:t>spark.sql('''</w:t>
        <w:br/>
        <w:t xml:space="preserve">  SELECT COUNT(*) AS duplicated_line_keys</w:t>
        <w:br/>
        <w:t xml:space="preserve">  FROM (SELECT sales_tax_line_key</w:t>
        <w:br/>
        <w:t xml:space="preserve">        FROM rpt.fact_sales_tax_reconciliation</w:t>
        <w:br/>
        <w:t xml:space="preserve">        GROUP BY sales_tax_line_key HAVING COUNT(*) &gt; 1)</w:t>
        <w:br/>
        <w:t>''').show()      # must be 0 — a non-zero result means the scope-key hashes have diverged</w:t>
      </w:r>
    </w:p>
    <w:p>
      <w:pPr>
        <w:pStyle w:val="Heading4"/>
      </w:pPr>
      <w:r>
        <w:t>Finding 6 (MEDIUM) — classification depends on when a row was last recomputed</w:t>
      </w:r>
    </w:p>
    <w:p>
      <w:r>
        <w:rPr>
          <w:b w:val="0"/>
          <w:i w:val="0"/>
        </w:rPr>
        <w:t>This one is subtle and follows directly from the static-source decision.</w:t>
      </w:r>
    </w:p>
    <w:p>
      <w:r>
        <w:rPr>
          <w:b w:val="0"/>
          <w:i w:val="0"/>
        </w:rPr>
        <w:t>F0101, F0006 and F0116 are read as snapshots inside `transform_fact` but are NOT streamed by the fact. So a change to any of them does not trigger a recompute. Meanwhile `business_stream` is computed from F0101 and F0006 at recompute time and STORED on the fact.</w:t>
      </w:r>
    </w:p>
    <w:p>
      <w:r>
        <w:rPr>
          <w:b w:val="0"/>
          <w:i w:val="0"/>
        </w:rPr>
        <w:t>Put those together. A customer's SIC code changes in F0101 on the 1st. Invoice A is then touched on the 2nd for an unrelated reason, so it recomputes and picks up the new SIC — and may flip from ISP to O&amp;G. Invoice B from the same day is never touched, so it keeps the old classification forever. Two invoices, same period, same customer, different Business Stream — and the difference records nothing about the business, only about which rows happened to be recomputed.</w:t>
      </w:r>
    </w:p>
    <w:p>
      <w:r>
        <w:rPr>
          <w:b w:val="0"/>
          <w:i w:val="0"/>
        </w:rPr>
        <w:t>This is not a bug in the code; it is an inherent consequence of storing a derived attribute computed from unwatched sources. It is worth being explicit about because it is invisible until someone asks why two similar invoices classify differently, at which point it is very confusing.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sz w:val="18"/>
              </w:rPr>
              <w:t>Option</w:t>
            </w:r>
          </w:p>
        </w:tc>
        <w:tc>
          <w:tcPr>
            <w:tcW w:type="dxa" w:w="2736"/>
          </w:tcPr>
          <w:p>
            <w:r/>
            <w:r>
              <w:rPr>
                <w:b/>
                <w:sz w:val="18"/>
              </w:rPr>
              <w:t>Effect</w:t>
            </w:r>
          </w:p>
        </w:tc>
        <w:tc>
          <w:tcPr>
            <w:tcW w:type="dxa" w:w="4896"/>
          </w:tcPr>
          <w:p>
            <w:r/>
            <w:r>
              <w:rPr>
                <w:b/>
                <w:sz w:val="18"/>
              </w:rPr>
              <w:t>Assessment</w:t>
            </w:r>
          </w:p>
        </w:tc>
      </w:tr>
      <w:tr>
        <w:tc>
          <w:tcPr>
            <w:tcW w:type="dxa" w:w="2016"/>
          </w:tcPr>
          <w:p>
            <w:pPr>
              <w:spacing w:after="40"/>
            </w:pPr>
            <w:r/>
            <w:r>
              <w:rPr>
                <w:sz w:val="16"/>
              </w:rPr>
              <w:t>Accept and document</w:t>
            </w:r>
          </w:p>
        </w:tc>
        <w:tc>
          <w:tcPr>
            <w:tcW w:type="dxa" w:w="2736"/>
          </w:tcPr>
          <w:p>
            <w:pPr>
              <w:spacing w:after="40"/>
            </w:pPr>
            <w:r/>
            <w:r>
              <w:rPr>
                <w:sz w:val="16"/>
              </w:rPr>
              <w:t>Classification is 'as at last recompute'</w:t>
            </w:r>
          </w:p>
        </w:tc>
        <w:tc>
          <w:tcPr>
            <w:tcW w:type="dxa" w:w="4896"/>
          </w:tcPr>
          <w:p>
            <w:pPr>
              <w:spacing w:after="40"/>
            </w:pPr>
            <w:r/>
            <w:r>
              <w:rPr>
                <w:sz w:val="16"/>
              </w:rPr>
              <w:t>RECOMMENDED. SIC and plant category codes are near-static reference data; the exposure is small and the cost is zero.</w:t>
            </w:r>
          </w:p>
        </w:tc>
      </w:tr>
      <w:tr>
        <w:tc>
          <w:tcPr>
            <w:tcW w:type="dxa" w:w="2016"/>
          </w:tcPr>
          <w:p>
            <w:pPr>
              <w:spacing w:after="40"/>
            </w:pPr>
            <w:r/>
            <w:r>
              <w:rPr>
                <w:sz w:val="16"/>
              </w:rPr>
              <w:t>Stream F0101/F0006 into the fact</w:t>
            </w:r>
          </w:p>
        </w:tc>
        <w:tc>
          <w:tcPr>
            <w:tcW w:type="dxa" w:w="2736"/>
          </w:tcPr>
          <w:p>
            <w:pPr>
              <w:spacing w:after="40"/>
            </w:pPr>
            <w:r/>
            <w:r>
              <w:rPr>
                <w:sz w:val="16"/>
              </w:rPr>
              <w:t>Any master-data change recomputes affected invoices</w:t>
            </w:r>
          </w:p>
        </w:tc>
        <w:tc>
          <w:tcPr>
            <w:tcW w:type="dxa" w:w="4896"/>
          </w:tcPr>
          <w:p>
            <w:pPr>
              <w:spacing w:after="40"/>
            </w:pPr>
            <w:r/>
            <w:r>
              <w:rPr>
                <w:sz w:val="16"/>
              </w:rPr>
              <w:t>Correct but expensive — a single SIC change could recompute a large share of the fact. Not justified by the risk.</w:t>
            </w:r>
          </w:p>
        </w:tc>
      </w:tr>
      <w:tr>
        <w:tc>
          <w:tcPr>
            <w:tcW w:type="dxa" w:w="2016"/>
          </w:tcPr>
          <w:p>
            <w:pPr>
              <w:spacing w:after="40"/>
            </w:pPr>
            <w:r/>
            <w:r>
              <w:rPr>
                <w:sz w:val="16"/>
              </w:rPr>
              <w:t>Move Business Stream into DAX</w:t>
            </w:r>
          </w:p>
        </w:tc>
        <w:tc>
          <w:tcPr>
            <w:tcW w:type="dxa" w:w="2736"/>
          </w:tcPr>
          <w:p>
            <w:pPr>
              <w:spacing w:after="40"/>
            </w:pPr>
            <w:r/>
            <w:r>
              <w:rPr>
                <w:sz w:val="16"/>
              </w:rPr>
              <w:t>Always computed from current dimensions, uniformly</w:t>
            </w:r>
          </w:p>
        </w:tc>
        <w:tc>
          <w:tcPr>
            <w:tcW w:type="dxa" w:w="4896"/>
          </w:tcPr>
          <w:p>
            <w:pPr>
              <w:spacing w:after="40"/>
            </w:pPr>
            <w:r/>
            <w:r>
              <w:rPr>
                <w:sz w:val="16"/>
              </w:rPr>
              <w:t>Cleanest conceptually and would remove the inconsistency entirely — but Business Stream needs BOTH the customer's SIC and the plant's category code, so a DAX version would depend on two dimensions at once and lose the Hubble line-by-line correspondence. Not recommended for a reconciliation report.</w:t>
            </w:r>
          </w:p>
        </w:tc>
      </w:tr>
      <w:tr>
        <w:tc>
          <w:tcPr>
            <w:tcW w:type="dxa" w:w="2016"/>
          </w:tcPr>
          <w:p>
            <w:pPr>
              <w:spacing w:after="40"/>
            </w:pPr>
            <w:r/>
            <w:r>
              <w:rPr>
                <w:sz w:val="16"/>
              </w:rPr>
              <w:t>Periodic full reload</w:t>
            </w:r>
          </w:p>
        </w:tc>
        <w:tc>
          <w:tcPr>
            <w:tcW w:type="dxa" w:w="2736"/>
          </w:tcPr>
          <w:p>
            <w:pPr>
              <w:spacing w:after="40"/>
            </w:pPr>
            <w:r/>
            <w:r>
              <w:rPr>
                <w:sz w:val="16"/>
              </w:rPr>
              <w:t>Re-classifies everything consistently</w:t>
            </w:r>
          </w:p>
        </w:tc>
        <w:tc>
          <w:tcPr>
            <w:tcW w:type="dxa" w:w="4896"/>
          </w:tcPr>
          <w:p>
            <w:pPr>
              <w:spacing w:after="40"/>
            </w:pPr>
            <w:r/>
            <w:r>
              <w:rPr>
                <w:sz w:val="16"/>
              </w:rPr>
              <w:t>A pragmatic middle ground: a scheduled monthly MANUAL_OVERWRITE reload bounds the inconsistency window.</w:t>
            </w:r>
          </w:p>
        </w:tc>
      </w:tr>
    </w:tbl>
    <w:p>
      <w:pPr>
        <w:spacing w:after="80"/>
      </w:pPr>
    </w:p>
    <w:p>
      <w:pPr>
        <w:pStyle w:val="Heading3"/>
      </w:pPr>
      <w:r>
        <w:t>Historical data — a deliberate absence, worth stating</w:t>
      </w:r>
    </w:p>
    <w:p>
      <w:r>
        <w:rPr>
          <w:b w:val="0"/>
          <w:i w:val="0"/>
        </w:rPr>
        <w:t>There is none, by design, and Gate 1 should record that explicitly rather than let it be assumed.</w:t>
      </w:r>
    </w:p>
    <w:p>
      <w:pPr>
        <w:pStyle w:val="ListBullet"/>
        <w:spacing w:after="60"/>
        <w:ind w:left="360"/>
      </w:pPr>
      <w:r>
        <w:t xml:space="preserve">The dimensions are Type-1: </w:t>
      </w:r>
      <w:r>
        <w:rPr>
          <w:rFonts w:ascii="Consolas" w:hAnsi="Consolas"/>
          <w:sz w:val="18"/>
        </w:rPr>
        <w:t>whenMatchedUpdateAll</w:t>
      </w:r>
      <w:r>
        <w:t xml:space="preserve"> overwrites in place. If a plant is renamed, every historical row immediately reports the new name. There is no Type-2 history and no surrogate-key versioning.</w:t>
      </w:r>
    </w:p>
    <w:p>
      <w:pPr>
        <w:pStyle w:val="ListBullet"/>
        <w:spacing w:after="60"/>
        <w:ind w:left="360"/>
      </w:pPr>
      <w:r>
        <w:t>The fact is current-state. There are no snapshot columns and no as-at date.</w:t>
      </w:r>
    </w:p>
    <w:p>
      <w:pPr>
        <w:pStyle w:val="ListBullet"/>
        <w:spacing w:after="60"/>
        <w:ind w:left="360"/>
      </w:pPr>
      <w:r>
        <w:t xml:space="preserve">Deletes are honoured. A code removed from its F0005 UDC leaves </w:t>
      </w:r>
      <w:r>
        <w:rPr>
          <w:rFonts w:ascii="Consolas" w:hAnsi="Consolas"/>
          <w:sz w:val="18"/>
        </w:rPr>
        <w:t>dim_sic</w:t>
      </w:r>
      <w:r>
        <w:t xml:space="preserve"> / </w:t>
      </w:r>
      <w:r>
        <w:rPr>
          <w:rFonts w:ascii="Consolas" w:hAnsi="Consolas"/>
          <w:sz w:val="18"/>
        </w:rPr>
        <w:t>dim_state</w:t>
      </w:r>
      <w:r>
        <w:t xml:space="preserve">; an invoice removed from F4211 leaves the fact. Nothing is retained for audit. (Plant history is not ESO4's concern — </w:t>
      </w:r>
      <w:r>
        <w:rPr>
          <w:rFonts w:ascii="Consolas" w:hAnsi="Consolas"/>
          <w:sz w:val="18"/>
        </w:rPr>
        <w:t>dim_plant</w:t>
      </w:r>
      <w:r>
        <w:t xml:space="preserve"> is a reused Gold dim maintained by its own upstream job.)</w:t>
      </w:r>
    </w:p>
    <w:p>
      <w:r>
        <w:rPr>
          <w:b w:val="0"/>
          <w:i w:val="0"/>
        </w:rPr>
        <w:t>For a tax reconciliation whose job is to compare current JDE state against current Avalara state, this is the right choice — Hubble had no history either, and adding SCD2 would complicate the model for no stated requirement. But it is a real constraint: ESO4 cannot answer 'what did this report say last month?', and if the tax team ever needs point-in-time restatement, this design cannot provide it without significant rework.</w:t>
      </w:r>
    </w:p>
    <w:p>
      <w:pPr>
        <w:spacing w:after="40"/>
      </w:pPr>
      <w:r>
        <w:rPr>
          <w:b/>
          <w:sz w:val="19"/>
        </w:rPr>
        <w:t>Evidence examined</w:t>
      </w:r>
    </w:p>
    <w:p>
      <w:pPr>
        <w:pStyle w:val="ListBullet"/>
        <w:spacing w:after="20"/>
        <w:ind w:left="403"/>
      </w:pPr>
      <w:r>
        <w:rPr>
          <w:sz w:val="18"/>
        </w:rPr>
        <w:t>fact notebook lines 126–143 (</w:t>
      </w:r>
      <w:r>
        <w:rPr>
          <w:rFonts w:ascii="Consolas" w:hAnsi="Consolas"/>
          <w:sz w:val="17"/>
        </w:rPr>
        <w:t>recompute_fact</w:t>
      </w:r>
      <w:r>
        <w:rPr>
          <w:sz w:val="18"/>
        </w:rPr>
        <w:t>), 337–379 (the full-load gate), 392–424 (the handlers)</w:t>
      </w:r>
    </w:p>
    <w:p>
      <w:pPr>
        <w:pStyle w:val="ListBullet"/>
        <w:spacing w:after="20"/>
        <w:ind w:left="403"/>
      </w:pPr>
      <w:r>
        <w:rPr>
          <w:sz w:val="18"/>
        </w:rPr>
      </w:r>
      <w:r>
        <w:rPr>
          <w:rFonts w:ascii="Consolas" w:hAnsi="Consolas"/>
          <w:sz w:val="17"/>
        </w:rPr>
        <w:t>dim_udc</w:t>
      </w:r>
      <w:r>
        <w:rPr>
          <w:sz w:val="18"/>
        </w:rPr>
        <w:t xml:space="preserve"> notebook — the ESO4-owned Type-1 dim build (</w:t>
      </w:r>
      <w:r>
        <w:rPr>
          <w:rFonts w:ascii="Consolas" w:hAnsi="Consolas"/>
          <w:sz w:val="17"/>
        </w:rPr>
        <w:t>dim_sic</w:t>
      </w:r>
      <w:r>
        <w:rPr>
          <w:sz w:val="18"/>
        </w:rPr>
        <w:t xml:space="preserve"> / </w:t>
      </w:r>
      <w:r>
        <w:rPr>
          <w:rFonts w:ascii="Consolas" w:hAnsi="Consolas"/>
          <w:sz w:val="17"/>
        </w:rPr>
        <w:t>dim_state</w:t>
      </w:r>
      <w:r>
        <w:rPr>
          <w:sz w:val="18"/>
        </w:rPr>
        <w:t>)</w:t>
      </w:r>
    </w:p>
    <w:p>
      <w:pPr>
        <w:pStyle w:val="ListBullet"/>
        <w:spacing w:after="20"/>
        <w:ind w:left="403"/>
      </w:pPr>
      <w:r>
        <w:rPr>
          <w:sz w:val="18"/>
        </w:rPr>
        <w:t>fact notebook lines 205–209 — F0006/F0101/F0116 loaded as static snapshots, not streamed</w:t>
      </w:r>
    </w:p>
    <w:p>
      <w:pPr>
        <w:spacing w:after="40"/>
      </w:pPr>
    </w:p>
    <w:p>
      <w:pPr>
        <w:spacing w:before="120" w:after="200"/>
        <w:shd w:val="clear" w:fill="FFF2CC"/>
        <w:pBdr>
          <w:top w:val="single" w:sz="4" w:space="4" w:color="E8C48A"/>
          <w:left w:val="single" w:sz="4" w:space="4" w:color="E8C48A"/>
          <w:bottom w:val="single" w:sz="4" w:space="4" w:color="E8C48A"/>
          <w:right w:val="single" w:sz="4" w:space="4" w:color="E8C48A"/>
        </w:pBdr>
      </w:pPr>
      <w:r>
        <w:rPr>
          <w:b/>
          <w:sz w:val="21"/>
        </w:rPr>
        <w:t xml:space="preserve">VERDICT: PASS WITH FINDINGS  </w:t>
      </w:r>
      <w:r>
        <w:rPr>
          <w:sz w:val="20"/>
        </w:rPr>
        <w:t>Incremental loading is well designed, idempotent, and correct by construction. Finding 6 should be accepted and documented, with a periodic full reload as a reasonable mitigation. The absence of history is a deliberate and appropriate choice that should be stated in the design doc rather than left implicit.</w:t>
      </w:r>
    </w:p>
    <w:p>
      <w:r>
        <w:br w:type="page"/>
      </w:r>
    </w:p>
    <w:p>
      <w:pPr>
        <w:pStyle w:val="Heading1"/>
      </w:pPr>
      <w:r>
        <w:t>Gate 1 — Gold Layer Design Rule compliance</w:t>
      </w:r>
    </w:p>
    <w:p>
      <w:pPr>
        <w:pStyle w:val="Heading2"/>
      </w:pPr>
      <w:r>
        <w:t>2.1  Universal exclusions only</w:t>
      </w:r>
    </w:p>
    <w:p>
      <w:r>
        <w:rPr>
          <w:b w:val="0"/>
          <w:i w:val="0"/>
        </w:rPr>
        <w:t>Exactly one exclusion is applied anywhere in the ESO4 Gold layer, in `load_silver_table`:</w:t>
      </w:r>
    </w:p>
    <w:p>
      <w:pPr>
        <w:spacing w:before="100" w:after="140" w:line="240" w:lineRule="auto"/>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def load_silver_table(table_name):</w:t>
        <w:br/>
        <w:t xml:space="preserve">    df = spark.table(sname(table_name))</w:t>
        <w:br/>
        <w:t xml:space="preserve">    if "is_delete" in df.columns:</w:t>
        <w:br/>
        <w:t xml:space="preserve">        df = df.filter(F.col("is_delete") == 0)</w:t>
        <w:br/>
        <w:t xml:space="preserve">    return df.select(*[c for c in df.columns if c not in _SOFT_DELETE_COLS])</w:t>
        <w:br/>
        <w:t xml:space="preserve">                                    — fact notebook, lines 95–99 (identical in both dim notebooks)</w:t>
      </w:r>
    </w:p>
    <w:p>
      <w:r>
        <w:rPr>
          <w:b w:val="0"/>
          <w:i w:val="0"/>
        </w:rPr>
        <w:t>Excluding soft-deleted source records is the definition of a universal exclusion: it is not business-specific, it applies to every consumer, and no report would ever want deleted records. It is applied uniformly across all three notebooks and all six sources.</w:t>
      </w:r>
    </w:p>
    <w:p>
      <w:r>
        <w:rPr>
          <w:b w:val="0"/>
          <w:i w:val="0"/>
        </w:rPr>
        <w:t>Two more exclusions exist and both qualify. `dim_udc` drops blank UDC codes — F0005 conventionally carries a blank row per code list, and a blank dimension member is noise to everyone. And the fact's INNER join to F03B11 excludes order lines with no invoice; that is not a filter but the definition of the fact's grain, since an uninvoiced line has no tax to reconcile.</w:t>
      </w:r>
    </w:p>
    <w:p>
      <w:pPr>
        <w:spacing w:before="120" w:after="200"/>
        <w:shd w:val="clear" w:fill="E2EFDA"/>
        <w:pBdr>
          <w:top w:val="single" w:sz="4" w:space="4" w:color="70AD47"/>
          <w:left w:val="single" w:sz="4" w:space="4" w:color="70AD47"/>
          <w:bottom w:val="single" w:sz="4" w:space="4" w:color="70AD47"/>
          <w:right w:val="single" w:sz="4" w:space="4" w:color="70AD47"/>
        </w:pBdr>
      </w:pPr>
      <w:r>
        <w:rPr>
          <w:b/>
          <w:sz w:val="21"/>
        </w:rPr>
        <w:t xml:space="preserve">VERDICT: PASS  </w:t>
      </w:r>
      <w:r>
        <w:rPr>
          <w:sz w:val="20"/>
        </w:rPr>
        <w:t>One universal exclusion, uniformly applied. No business-specific exclusion is disguised as a universal one.</w:t>
      </w:r>
    </w:p>
    <w:p>
      <w:pPr>
        <w:pStyle w:val="Heading2"/>
      </w:pPr>
      <w:r>
        <w:t>2.2  No business-specific filters in Gold</w:t>
      </w:r>
    </w:p>
    <w:p>
      <w:r>
        <w:rPr>
          <w:b w:val="0"/>
          <w:i w:val="0"/>
        </w:rPr>
        <w:t>Verified directly against the Hubble query. Every filter it applies was traced into the notebook: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024"/>
          </w:tcPr>
          <w:p>
            <w:r/>
            <w:r>
              <w:rPr>
                <w:b/>
                <w:sz w:val="18"/>
              </w:rPr>
              <w:t>Hubble predicate</w:t>
            </w:r>
          </w:p>
        </w:tc>
        <w:tc>
          <w:tcPr>
            <w:tcW w:type="dxa" w:w="2016"/>
          </w:tcPr>
          <w:p>
            <w:r/>
            <w:r>
              <w:rPr>
                <w:b/>
                <w:sz w:val="18"/>
              </w:rPr>
              <w:t>Kind</w:t>
            </w:r>
          </w:p>
        </w:tc>
        <w:tc>
          <w:tcPr>
            <w:tcW w:type="dxa" w:w="864"/>
          </w:tcPr>
          <w:p>
            <w:r/>
            <w:r>
              <w:rPr>
                <w:b/>
                <w:sz w:val="18"/>
              </w:rPr>
              <w:t>In Gold?</w:t>
            </w:r>
          </w:p>
        </w:tc>
        <w:tc>
          <w:tcPr>
            <w:tcW w:type="dxa" w:w="3744"/>
          </w:tcPr>
          <w:p>
            <w:r/>
            <w:r>
              <w:rPr>
                <w:b/>
                <w:sz w:val="18"/>
              </w:rPr>
              <w:t>Assessment</w:t>
            </w:r>
          </w:p>
        </w:tc>
      </w:tr>
      <w:tr>
        <w:tc>
          <w:tcPr>
            <w:tcW w:type="dxa" w:w="3024"/>
          </w:tcPr>
          <w:p>
            <w:pPr>
              <w:spacing w:after="40"/>
            </w:pPr>
            <w:r/>
            <w:r>
              <w:rPr>
                <w:sz w:val="16"/>
              </w:rPr>
            </w:r>
            <w:r>
              <w:rPr>
                <w:rFonts w:ascii="Consolas" w:hAnsi="Consolas"/>
                <w:sz w:val="15"/>
              </w:rPr>
              <w:t>F4211.SDDGL BETWEEN 126032 AND 126059</w:t>
            </w:r>
            <w:r>
              <w:rPr>
                <w:sz w:val="16"/>
              </w:rPr>
            </w:r>
          </w:p>
        </w:tc>
        <w:tc>
          <w:tcPr>
            <w:tcW w:type="dxa" w:w="2016"/>
          </w:tcPr>
          <w:p>
            <w:pPr>
              <w:spacing w:after="40"/>
            </w:pPr>
            <w:r/>
            <w:r>
              <w:rPr>
                <w:sz w:val="16"/>
              </w:rPr>
              <w:t>WHERE — removes rows</w:t>
            </w:r>
          </w:p>
        </w:tc>
        <w:tc>
          <w:tcPr>
            <w:tcW w:type="dxa" w:w="864"/>
          </w:tcPr>
          <w:p>
            <w:pPr>
              <w:spacing w:after="40"/>
            </w:pPr>
            <w:r/>
            <w:r>
              <w:rPr>
                <w:sz w:val="16"/>
              </w:rPr>
              <w:t>No</w:t>
            </w:r>
          </w:p>
        </w:tc>
        <w:tc>
          <w:tcPr>
            <w:tcW w:type="dxa" w:w="3744"/>
          </w:tcPr>
          <w:p>
            <w:pPr>
              <w:spacing w:after="40"/>
            </w:pPr>
            <w:r/>
            <w:r>
              <w:rPr>
                <w:sz w:val="16"/>
              </w:rPr>
              <w:t xml:space="preserve">CORRECT. A date filter, explicitly named in the rule. </w:t>
            </w:r>
            <w:r>
              <w:rPr>
                <w:rFonts w:ascii="Consolas" w:hAnsi="Consolas"/>
                <w:sz w:val="15"/>
              </w:rPr>
              <w:t>gl_date</w:t>
            </w:r>
            <w:r>
              <w:rPr>
                <w:sz w:val="16"/>
              </w:rPr>
              <w:t xml:space="preserve"> is a native dateTime column on the fact, sliced at the report page.</w:t>
            </w:r>
          </w:p>
        </w:tc>
      </w:tr>
      <w:tr>
        <w:tc>
          <w:tcPr>
            <w:tcW w:type="dxa" w:w="3024"/>
          </w:tcPr>
          <w:p>
            <w:pPr>
              <w:spacing w:after="40"/>
            </w:pPr>
            <w:r/>
            <w:r>
              <w:rPr>
                <w:sz w:val="16"/>
              </w:rPr>
            </w:r>
            <w:r>
              <w:rPr>
                <w:rFonts w:ascii="Consolas" w:hAnsi="Consolas"/>
                <w:sz w:val="15"/>
              </w:rPr>
              <w:t>F0101.ABAT1 BETWEEN 'A' AND 'P' OR 'R' AND 'ZZZ'</w:t>
            </w:r>
            <w:r>
              <w:rPr>
                <w:sz w:val="16"/>
              </w:rPr>
            </w:r>
          </w:p>
        </w:tc>
        <w:tc>
          <w:tcPr>
            <w:tcW w:type="dxa" w:w="2016"/>
          </w:tcPr>
          <w:p>
            <w:pPr>
              <w:spacing w:after="40"/>
            </w:pPr>
            <w:r/>
            <w:r>
              <w:rPr>
                <w:sz w:val="16"/>
              </w:rPr>
              <w:t>WHERE inside a LEFT-joined subquery</w:t>
            </w:r>
          </w:p>
        </w:tc>
        <w:tc>
          <w:tcPr>
            <w:tcW w:type="dxa" w:w="864"/>
          </w:tcPr>
          <w:p>
            <w:pPr>
              <w:spacing w:after="40"/>
            </w:pPr>
            <w:r/>
            <w:r>
              <w:rPr>
                <w:sz w:val="16"/>
              </w:rPr>
              <w:t>Yes (Rev 3) — on the address lookup only</w:t>
            </w:r>
          </w:p>
        </w:tc>
        <w:tc>
          <w:tcPr>
            <w:tcW w:type="dxa" w:w="3744"/>
          </w:tcPr>
          <w:p>
            <w:pPr>
              <w:spacing w:after="40"/>
            </w:pPr>
            <w:r/>
            <w:r>
              <w:rPr>
                <w:sz w:val="16"/>
              </w:rPr>
              <w:t>APPLIED as a value-qualification on the F0101 ⋈ F0116 lookup (not a fact filter): out-of-band ship-tos get NULL sic/jurisdiction/county via the LEFT join, matching Hubble. Finding 5, RESOLVED.</w:t>
            </w:r>
          </w:p>
        </w:tc>
      </w:tr>
      <w:tr>
        <w:tc>
          <w:tcPr>
            <w:tcW w:type="dxa" w:w="3024"/>
          </w:tcPr>
          <w:p>
            <w:pPr>
              <w:spacing w:after="40"/>
            </w:pPr>
            <w:r/>
            <w:r>
              <w:rPr>
                <w:sz w:val="16"/>
              </w:rPr>
            </w:r>
            <w:r>
              <w:rPr>
                <w:rFonts w:ascii="Consolas" w:hAnsi="Consolas"/>
                <w:sz w:val="15"/>
              </w:rPr>
              <w:t>F4211 INNER JOIN F03B11</w:t>
            </w:r>
            <w:r>
              <w:rPr>
                <w:sz w:val="16"/>
              </w:rPr>
            </w:r>
          </w:p>
        </w:tc>
        <w:tc>
          <w:tcPr>
            <w:tcW w:type="dxa" w:w="2016"/>
          </w:tcPr>
          <w:p>
            <w:pPr>
              <w:spacing w:after="40"/>
            </w:pPr>
            <w:r/>
            <w:r>
              <w:rPr>
                <w:sz w:val="16"/>
              </w:rPr>
              <w:t>JOIN — defines the grain</w:t>
            </w:r>
          </w:p>
        </w:tc>
        <w:tc>
          <w:tcPr>
            <w:tcW w:type="dxa" w:w="864"/>
          </w:tcPr>
          <w:p>
            <w:pPr>
              <w:spacing w:after="40"/>
            </w:pPr>
            <w:r/>
            <w:r>
              <w:rPr>
                <w:sz w:val="16"/>
              </w:rPr>
              <w:t>Yes</w:t>
            </w:r>
          </w:p>
        </w:tc>
        <w:tc>
          <w:tcPr>
            <w:tcW w:type="dxa" w:w="3744"/>
          </w:tcPr>
          <w:p>
            <w:pPr>
              <w:spacing w:after="40"/>
            </w:pPr>
            <w:r/>
            <w:r>
              <w:rPr>
                <w:sz w:val="16"/>
              </w:rPr>
              <w:t>CORRECT to keep. This is grain definition, not filtering.</w:t>
            </w:r>
          </w:p>
        </w:tc>
      </w:tr>
      <w:tr>
        <w:tc>
          <w:tcPr>
            <w:tcW w:type="dxa" w:w="3024"/>
          </w:tcPr>
          <w:p>
            <w:pPr>
              <w:spacing w:after="40"/>
            </w:pPr>
            <w:r/>
            <w:r>
              <w:rPr>
                <w:sz w:val="16"/>
              </w:rPr>
              <w:t>The Business Stream CASE</w:t>
            </w:r>
          </w:p>
        </w:tc>
        <w:tc>
          <w:tcPr>
            <w:tcW w:type="dxa" w:w="2016"/>
          </w:tcPr>
          <w:p>
            <w:pPr>
              <w:spacing w:after="40"/>
            </w:pPr>
            <w:r/>
            <w:r>
              <w:rPr>
                <w:sz w:val="16"/>
              </w:rPr>
              <w:t>CASE — computes a value</w:t>
            </w:r>
          </w:p>
        </w:tc>
        <w:tc>
          <w:tcPr>
            <w:tcW w:type="dxa" w:w="864"/>
          </w:tcPr>
          <w:p>
            <w:pPr>
              <w:spacing w:after="40"/>
            </w:pPr>
            <w:r/>
            <w:r>
              <w:rPr>
                <w:sz w:val="16"/>
              </w:rPr>
              <w:t>Yes</w:t>
            </w:r>
          </w:p>
        </w:tc>
        <w:tc>
          <w:tcPr>
            <w:tcW w:type="dxa" w:w="3744"/>
          </w:tcPr>
          <w:p>
            <w:pPr>
              <w:spacing w:after="40"/>
            </w:pPr>
            <w:r/>
            <w:r>
              <w:rPr>
                <w:sz w:val="16"/>
              </w:rPr>
              <w:t>CORRECT to keep. Removing it would not make a column unfiltered, it would make it absent.</w:t>
            </w:r>
          </w:p>
        </w:tc>
      </w:tr>
    </w:tbl>
    <w:p>
      <w:pPr>
        <w:spacing w:after="80"/>
      </w:pPr>
    </w:p>
    <w:p>
      <w:r>
        <w:rPr>
          <w:b w:val="0"/>
          <w:i w:val="0"/>
        </w:rPr>
        <w:t>No company filter, no plant filter, no status filter, no customer filter, no product filter, no date filter appears anywhere in the three notebooks. This was checked by reading every `.where`, `.filter` and join condition in all three files.</w:t>
      </w:r>
    </w:p>
    <w:p>
      <w:r>
        <w:rPr>
          <w:b w:val="0"/>
          <w:i w:val="0"/>
        </w:rPr>
        <w:t>The distinction is applied thoughtfully rather than mechanically, which is worth noting: the project does not simply delete every predicate it finds. It asks whether the predicate removes a row or computes a value, and keeps the second kind. That is the correct reading of the rule — a Gold table stripped of its calculations would not be unfiltered, it would be wrong.</w:t>
      </w:r>
    </w:p>
    <w:p>
      <w:pPr>
        <w:spacing w:before="120" w:after="200"/>
        <w:shd w:val="clear" w:fill="E2EFDA"/>
        <w:pBdr>
          <w:top w:val="single" w:sz="4" w:space="4" w:color="70AD47"/>
          <w:left w:val="single" w:sz="4" w:space="4" w:color="70AD47"/>
          <w:bottom w:val="single" w:sz="4" w:space="4" w:color="70AD47"/>
          <w:right w:val="single" w:sz="4" w:space="4" w:color="70AD47"/>
        </w:pBdr>
      </w:pPr>
      <w:r>
        <w:rPr>
          <w:b/>
          <w:sz w:val="21"/>
        </w:rPr>
        <w:t xml:space="preserve">VERDICT: PASS  </w:t>
      </w:r>
      <w:r>
        <w:rPr>
          <w:sz w:val="20"/>
        </w:rPr>
        <w:t>No business-specific filter is applied in Gold. All row-removing report predicates are correctly deferred to the report layer, and the filter-versus-calculation distinction is applied with care.</w:t>
      </w:r>
    </w:p>
    <w:p>
      <w:pPr>
        <w:pStyle w:val="Heading2"/>
      </w:pPr>
      <w:r>
        <w:t>2.3  Reusable as a business asset — Finding 1 (HIGH)</w:t>
      </w:r>
    </w:p>
    <w:p>
      <w:r>
        <w:rPr>
          <w:b w:val="0"/>
          <w:i w:val="0"/>
        </w:rPr>
        <w:t>This is the one place ESO4 does not meet the Gold Layer Design Rule, and it is a consequence of a deliberate decision taken on 2026-07-09, not an oversight.</w:t>
      </w:r>
    </w:p>
    <w:p>
      <w:r>
        <w:rPr>
          <w:b w:val="0"/>
          <w:i w:val="0"/>
        </w:rPr>
        <w:t>The rule asks for Gold tables 'designed for maximum reuse across current and future reporting needs', able to 'support future reports and analytics without requiring changes or duplicate tables'.</w:t>
      </w:r>
    </w:p>
    <w:p>
      <w:r>
        <w:rPr>
          <w:b w:val="0"/>
          <w:i w:val="0"/>
        </w:rPr>
        <w:t>ESO4's fact is pre-aggregated to the Hubble outer query's GROUP BY. That is a report-shaped grain, not an atomic business grain. Concretely, what was given up:</w:t>
      </w:r>
    </w:p>
    <w:tbl>
      <w:tblPr>
        <w:tblStyle w:val="LightGrid-Accent1"/>
        <w:tblW w:type="auto" w:w="0"/>
        <w:jc w:val="center"/>
        <w:tblLook w:firstColumn="1" w:firstRow="1" w:lastColumn="0" w:lastRow="0" w:noHBand="0" w:noVBand="1" w:val="04A0"/>
      </w:tblPr>
      <w:tblGrid>
        <w:gridCol w:w="4320"/>
        <w:gridCol w:w="4320"/>
      </w:tblGrid>
      <w:tr>
        <w:tc>
          <w:tcPr>
            <w:tcW w:type="dxa" w:w="3168"/>
          </w:tcPr>
          <w:p>
            <w:r/>
            <w:r>
              <w:rPr>
                <w:b/>
                <w:sz w:val="18"/>
              </w:rPr>
              <w:t>Lost</w:t>
            </w:r>
          </w:p>
        </w:tc>
        <w:tc>
          <w:tcPr>
            <w:tcW w:type="dxa" w:w="6480"/>
          </w:tcPr>
          <w:p>
            <w:r/>
            <w:r>
              <w:rPr>
                <w:b/>
                <w:sz w:val="18"/>
              </w:rPr>
              <w:t>Consequence</w:t>
            </w:r>
          </w:p>
        </w:tc>
      </w:tr>
      <w:tr>
        <w:tc>
          <w:tcPr>
            <w:tcW w:type="dxa" w:w="3168"/>
          </w:tcPr>
          <w:p>
            <w:pPr>
              <w:spacing w:after="40"/>
            </w:pPr>
            <w:r/>
            <w:r>
              <w:rPr>
                <w:sz w:val="17"/>
              </w:rPr>
              <w:t>The F03B11 pay-item primary key (RPDOC/RPDCT/RPKCO/RPSFX)</w:t>
            </w:r>
          </w:p>
        </w:tc>
        <w:tc>
          <w:tcPr>
            <w:tcW w:type="dxa" w:w="6480"/>
          </w:tcPr>
          <w:p>
            <w:pPr>
              <w:spacing w:after="40"/>
            </w:pPr>
            <w:r/>
            <w:r>
              <w:rPr>
                <w:sz w:val="17"/>
              </w:rPr>
              <w:t>Dropped from the fact during the GROUP BY refactor. The fact can never drill to pay-item level, and cannot be joined to any other AR-based fact at pay-item grain. This is unrecoverable without a redesign.</w:t>
            </w:r>
          </w:p>
        </w:tc>
      </w:tr>
      <w:tr>
        <w:tc>
          <w:tcPr>
            <w:tcW w:type="dxa" w:w="3168"/>
          </w:tcPr>
          <w:p>
            <w:pPr>
              <w:spacing w:after="40"/>
            </w:pPr>
            <w:r/>
            <w:r>
              <w:rPr>
                <w:sz w:val="17"/>
              </w:rPr>
              <w:t>Row-level addressability</w:t>
            </w:r>
          </w:p>
        </w:tc>
        <w:tc>
          <w:tcPr>
            <w:tcW w:type="dxa" w:w="6480"/>
          </w:tcPr>
          <w:p>
            <w:pPr>
              <w:spacing w:after="40"/>
            </w:pPr>
            <w:r/>
            <w:r>
              <w:rPr>
                <w:sz w:val="17"/>
              </w:rPr>
              <w:t>One row is a display tuple. Any future report needing a different breakdown — by pay item, by due date, by AR status — cannot be served.</w:t>
            </w:r>
          </w:p>
        </w:tc>
      </w:tr>
      <w:tr>
        <w:tc>
          <w:tcPr>
            <w:tcW w:type="dxa" w:w="3168"/>
          </w:tcPr>
          <w:p>
            <w:pPr>
              <w:spacing w:after="40"/>
            </w:pPr>
            <w:r/>
            <w:r>
              <w:rPr>
                <w:sz w:val="17"/>
              </w:rPr>
              <w:t>Extensibility</w:t>
            </w:r>
          </w:p>
        </w:tc>
        <w:tc>
          <w:tcPr>
            <w:tcW w:type="dxa" w:w="6480"/>
          </w:tcPr>
          <w:p>
            <w:pPr>
              <w:spacing w:after="40"/>
            </w:pPr>
            <w:r/>
            <w:r>
              <w:rPr>
                <w:sz w:val="17"/>
              </w:rPr>
              <w:t>Adding an attribute changes the grain, so the whole table must be rebuilt and every existing measure re-verified. Compare an atomic fact, where a new attribute is just a new column.</w:t>
            </w:r>
          </w:p>
        </w:tc>
      </w:tr>
    </w:tbl>
    <w:p>
      <w:pPr>
        <w:spacing w:after="80"/>
      </w:pPr>
    </w:p>
    <w:p>
      <w:r>
        <w:rPr>
          <w:b w:val="0"/>
          <w:i w:val="0"/>
        </w:rPr>
        <w:t>The tension is genuine and should be stated plainly rather than resolved by assertion. The pre-aggregated grain was chosen for a good reason: it reproduces Hubble exactly, which is precisely what a reconciliation report needs and what Gate 2 will measure. An atomic fact at F03B11 pay-item grain would have satisfied the reuse rule but would have pushed the aggregation into DAX, where reconciling to Hubble becomes harder to demonstrate.</w:t>
      </w:r>
    </w:p>
    <w:p>
      <w:r>
        <w:rPr>
          <w:b w:val="0"/>
          <w:i w:val="0"/>
        </w:rPr>
        <w:t>So the honest position is: ESO4 optimises for Gate 2 at the direct expense of this clause of Gate 1. The two pull in opposite directions here, and the current build has silently chosen one.</w:t>
      </w:r>
    </w:p>
    <w:tbl>
      <w:tblPr>
        <w:tblStyle w:val="LightGrid-Accent1"/>
        <w:tblW w:type="auto" w:w="0"/>
        <w:jc w:val="center"/>
        <w:tblLook w:firstColumn="1" w:firstRow="1" w:lastColumn="0" w:lastRow="0" w:noHBand="0" w:noVBand="1" w:val="04A0"/>
      </w:tblPr>
      <w:tblGrid>
        <w:gridCol w:w="4320"/>
        <w:gridCol w:w="4320"/>
      </w:tblGrid>
      <w:tr>
        <w:tc>
          <w:tcPr>
            <w:tcW w:type="dxa" w:w="2736"/>
          </w:tcPr>
          <w:p>
            <w:r/>
            <w:r>
              <w:rPr>
                <w:b/>
                <w:sz w:val="18"/>
              </w:rPr>
              <w:t>Option</w:t>
            </w:r>
          </w:p>
        </w:tc>
        <w:tc>
          <w:tcPr>
            <w:tcW w:type="dxa" w:w="6912"/>
          </w:tcPr>
          <w:p>
            <w:r/>
            <w:r>
              <w:rPr>
                <w:b/>
                <w:sz w:val="18"/>
              </w:rPr>
              <w:t>Assessment</w:t>
            </w:r>
          </w:p>
        </w:tc>
      </w:tr>
      <w:tr>
        <w:tc>
          <w:tcPr>
            <w:tcW w:type="dxa" w:w="2736"/>
          </w:tcPr>
          <w:p>
            <w:pPr>
              <w:spacing w:after="40"/>
            </w:pPr>
            <w:r/>
            <w:r>
              <w:rPr>
                <w:sz w:val="17"/>
              </w:rPr>
              <w:t>Accept the aggregated grain as a documented exception</w:t>
            </w:r>
          </w:p>
        </w:tc>
        <w:tc>
          <w:tcPr>
            <w:tcW w:type="dxa" w:w="6912"/>
          </w:tcPr>
          <w:p>
            <w:pPr>
              <w:spacing w:after="40"/>
            </w:pPr>
            <w:r/>
            <w:r>
              <w:rPr>
                <w:sz w:val="17"/>
              </w:rPr>
              <w:t>Defensible IF this fact is understood as a purpose-built reconciliation asset rather than a general sales-tax asset. Requires an explicit, recorded decision by the data owner — which is what is missing today. Cost: zero now; the cost lands on whoever needs the next tax report.</w:t>
            </w:r>
          </w:p>
        </w:tc>
      </w:tr>
      <w:tr>
        <w:tc>
          <w:tcPr>
            <w:tcW w:type="dxa" w:w="2736"/>
          </w:tcPr>
          <w:p>
            <w:pPr>
              <w:spacing w:after="40"/>
            </w:pPr>
            <w:r/>
            <w:r>
              <w:rPr>
                <w:sz w:val="17"/>
              </w:rPr>
              <w:t>Rebuild at F03B11 pay-item grain, aggregate in DAX</w:t>
            </w:r>
          </w:p>
        </w:tc>
        <w:tc>
          <w:tcPr>
            <w:tcW w:type="dxa" w:w="6912"/>
          </w:tcPr>
          <w:p>
            <w:pPr>
              <w:spacing w:after="40"/>
            </w:pPr>
            <w:r/>
            <w:r>
              <w:rPr>
                <w:sz w:val="17"/>
              </w:rPr>
              <w:t>Satisfies the rule fully and makes the fact genuinely reusable. Costs a fact redesign and re-verification of all 7 measures, and makes Hubble reconciliation an aggregation exercise rather than a row comparison. Best done NOW if at all — the table has never been loaded, so there is no migration and no consumer to break. The window closes the moment it goes live.</w:t>
            </w:r>
          </w:p>
        </w:tc>
      </w:tr>
      <w:tr>
        <w:tc>
          <w:tcPr>
            <w:tcW w:type="dxa" w:w="2736"/>
          </w:tcPr>
          <w:p>
            <w:pPr>
              <w:spacing w:after="40"/>
            </w:pPr>
            <w:r/>
            <w:r>
              <w:rPr>
                <w:sz w:val="17"/>
              </w:rPr>
              <w:t>Keep this fact, add an atomic fact later if needed</w:t>
            </w:r>
          </w:p>
        </w:tc>
        <w:tc>
          <w:tcPr>
            <w:tcW w:type="dxa" w:w="6912"/>
          </w:tcPr>
          <w:p>
            <w:pPr>
              <w:spacing w:after="40"/>
            </w:pPr>
            <w:r/>
            <w:r>
              <w:rPr>
                <w:sz w:val="17"/>
              </w:rPr>
              <w:t>Explicitly creates the duplicate table the rule warns against. Not recommended, but honest about what deferring the decision actually costs.</w:t>
            </w:r>
          </w:p>
        </w:tc>
      </w:tr>
    </w:tbl>
    <w:p>
      <w:pPr>
        <w:spacing w:after="80"/>
      </w:pPr>
    </w:p>
    <w:p>
      <w:pPr>
        <w:spacing w:before="120" w:after="160"/>
        <w:ind w:left="144"/>
        <w:shd w:val="clear" w:fill="FFF4E5"/>
        <w:pBdr>
          <w:top w:val="single" w:sz="4" w:space="4" w:color="E8C48A"/>
          <w:left w:val="single" w:sz="4" w:space="4" w:color="E8C48A"/>
          <w:bottom w:val="single" w:sz="4" w:space="4" w:color="E8C48A"/>
          <w:right w:val="single" w:sz="4" w:space="4" w:color="E8C48A"/>
        </w:pBdr>
      </w:pPr>
      <w:r>
        <w:rPr>
          <w:b/>
          <w:sz w:val="20"/>
        </w:rPr>
        <w:t xml:space="preserve">Recommendation.  </w:t>
      </w:r>
      <w:r>
        <w:rPr>
          <w:sz w:val="20"/>
        </w:rPr>
        <w:t>Escalate for an explicit decision rather than letting the current grain stand by default. The key fact for the decision-maker: this is the cheapest it will ever be to change, because nothing has been loaded and nothing consumes the table. If the answer is 'ESO4 is a reconciliation report and nothing else will ever need this data', the current design is right and should be recorded as a conscious exception with that reasoning attached. If there is any prospect of a second sales-tax report, the atomic grain will cost far less now than later.</w:t>
      </w:r>
    </w:p>
    <w:p>
      <w:pPr>
        <w:spacing w:before="120" w:after="200"/>
        <w:shd w:val="clear" w:fill="FBE4E4"/>
        <w:pBdr>
          <w:top w:val="single" w:sz="4" w:space="4" w:color="C00000"/>
          <w:left w:val="single" w:sz="4" w:space="4" w:color="C00000"/>
          <w:bottom w:val="single" w:sz="4" w:space="4" w:color="C00000"/>
          <w:right w:val="single" w:sz="4" w:space="4" w:color="C00000"/>
        </w:pBdr>
      </w:pPr>
      <w:r>
        <w:rPr>
          <w:b/>
          <w:sz w:val="21"/>
        </w:rPr>
        <w:t xml:space="preserve">VERDICT: FAIL  </w:t>
      </w:r>
      <w:r>
        <w:rPr>
          <w:sz w:val="20"/>
        </w:rPr>
        <w:t>The fact is aggregated to one report's grain and cannot serve a different one without a new table — which is precisely what the rule prohibits. This is not a defect in the code; it is a design decision that conflicts with a stated rule and needs a recorded ruling rather than an implicit one.</w:t>
      </w:r>
    </w:p>
    <w:p>
      <w:r>
        <w:br w:type="page"/>
      </w:r>
    </w:p>
    <w:p>
      <w:pPr>
        <w:pStyle w:val="Heading1"/>
      </w:pPr>
      <w:r>
        <w:t>Gate 2 — Report QA</w:t>
      </w:r>
    </w:p>
    <w:p>
      <w:pPr>
        <w:spacing w:before="120" w:after="160"/>
        <w:ind w:left="144"/>
        <w:shd w:val="clear" w:fill="FBE4E4"/>
        <w:pBdr>
          <w:top w:val="single" w:sz="4" w:space="4" w:color="C00000"/>
          <w:left w:val="single" w:sz="4" w:space="4" w:color="C00000"/>
          <w:bottom w:val="single" w:sz="4" w:space="4" w:color="C00000"/>
          <w:right w:val="single" w:sz="4" w:space="4" w:color="C00000"/>
        </w:pBdr>
      </w:pPr>
      <w:r>
        <w:rPr>
          <w:b/>
          <w:sz w:val="20"/>
        </w:rPr>
        <w:t xml:space="preserve">Gate 2 cannot be assessed.  </w:t>
      </w:r>
      <w:r>
        <w:rPr>
          <w:sz w:val="20"/>
        </w:rPr>
        <w:t>Every check in this gate requires a running pipeline and a published report. ESO4 has neither. No notebook has been executed on Fabric, so no Gold table exists; with no Gold table there is no semantic model refresh, no report, and nothing to compare against Hubble. The sections below record what static review CAN establish — which is real and useful, and reduces the work left — but static review cannot substitute for a single one of these checks. Gate 2 opens when the pipeline runs.</w:t>
      </w:r>
    </w:p>
    <w:p>
      <w:pPr>
        <w:pStyle w:val="Heading2"/>
      </w:pPr>
      <w:r>
        <w:t>3.1  Totals, key measures and spot checks reconcile with Hubble</w:t>
      </w:r>
    </w:p>
    <w:p>
      <w:pPr>
        <w:spacing w:before="120" w:after="200"/>
        <w:shd w:val="clear" w:fill="E7E6E6"/>
        <w:pBdr>
          <w:top w:val="single" w:sz="4" w:space="4" w:color="808080"/>
          <w:left w:val="single" w:sz="4" w:space="4" w:color="808080"/>
          <w:bottom w:val="single" w:sz="4" w:space="4" w:color="808080"/>
          <w:right w:val="single" w:sz="4" w:space="4" w:color="808080"/>
        </w:pBdr>
      </w:pPr>
      <w:r>
        <w:rPr>
          <w:b/>
          <w:sz w:val="21"/>
        </w:rPr>
        <w:t xml:space="preserve">VERDICT: BLOCKED  </w:t>
      </w:r>
      <w:r>
        <w:rPr>
          <w:sz w:val="20"/>
        </w:rPr>
        <w:t>Not started. No Gold data exists.</w:t>
      </w:r>
    </w:p>
    <w:p>
      <w:r>
        <w:rPr>
          <w:b w:val="0"/>
          <w:i w:val="0"/>
        </w:rPr>
        <w:t>What can be said in advance: a reconciliation harness is available and unambiguous. `eso4/TX002_Sales Tax with Business Stream Summary (Reconciliation Version).sql` is the Hubble query for February 2026 (Julian 126032–126059), and `eso4/hubble query.txt` is the identical query for May 2026. Either can be run against Hubble and compared, provided the same GL-date window is applied as a page filter on our side — Gold is unfiltered, so the comparison is only meaningful once the report filter reproduces Hubble's WHERE clause.</w:t>
      </w:r>
    </w:p>
    <w:p>
      <w:r>
        <w:rPr>
          <w:b w:val="0"/>
          <w:i w:val="0"/>
        </w:rPr>
        <w:t>Two known variances will show up and must be quantified rather than treated as failures: the F0116 collapse (Finding 3 rider), and Invoice Count's dependence on the inferred Avalara Code. A third — a uniform 100× error from SHIFT_FACTOR — should not occur but is the first thing to check if every number is wrong by the same factor. (The ABAT1 divergence that was listed here in Rev 1/2 is closed in Rev 3.)</w:t>
      </w:r>
    </w:p>
    <w:p>
      <w:r>
        <w:rPr>
          <w:b w:val="0"/>
          <w:i w:val="0"/>
        </w:rPr>
        <w:t>Suggested order, cheapest signal first:</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tcPr>
          <w:p>
            <w:r/>
            <w:r>
              <w:rPr>
                <w:b/>
                <w:sz w:val="18"/>
              </w:rPr>
              <w:t>Step</w:t>
            </w:r>
          </w:p>
        </w:tc>
        <w:tc>
          <w:tcPr>
            <w:tcW w:type="dxa" w:w="4320"/>
          </w:tcPr>
          <w:p>
            <w:r/>
            <w:r>
              <w:rPr>
                <w:b/>
                <w:sz w:val="18"/>
              </w:rPr>
              <w:t>Check</w:t>
            </w:r>
          </w:p>
        </w:tc>
        <w:tc>
          <w:tcPr>
            <w:tcW w:type="dxa" w:w="4752"/>
          </w:tcPr>
          <w:p>
            <w:r/>
            <w:r>
              <w:rPr>
                <w:b/>
                <w:sz w:val="18"/>
              </w:rPr>
              <w:t>Why first</w:t>
            </w:r>
          </w:p>
        </w:tc>
      </w:tr>
      <w:tr>
        <w:tc>
          <w:tcPr>
            <w:tcW w:type="dxa" w:w="576"/>
          </w:tcPr>
          <w:p>
            <w:pPr>
              <w:spacing w:after="40"/>
            </w:pPr>
            <w:r/>
            <w:r>
              <w:rPr>
                <w:sz w:val="17"/>
              </w:rPr>
              <w:t>1</w:t>
            </w:r>
          </w:p>
        </w:tc>
        <w:tc>
          <w:tcPr>
            <w:tcW w:type="dxa" w:w="4320"/>
          </w:tcPr>
          <w:p>
            <w:pPr>
              <w:spacing w:after="40"/>
            </w:pPr>
            <w:r/>
            <w:r>
              <w:rPr>
                <w:sz w:val="17"/>
              </w:rPr>
              <w:t>Row count: our fact filtered to the Hubble GL window vs Hubble's row count</w:t>
            </w:r>
          </w:p>
        </w:tc>
        <w:tc>
          <w:tcPr>
            <w:tcW w:type="dxa" w:w="4752"/>
          </w:tcPr>
          <w:p>
            <w:pPr>
              <w:spacing w:after="40"/>
            </w:pPr>
            <w:r/>
            <w:r>
              <w:rPr>
                <w:sz w:val="17"/>
              </w:rPr>
              <w:t>A gross mismatch here means a grain or join problem and makes every later check pointless</w:t>
            </w:r>
          </w:p>
        </w:tc>
      </w:tr>
      <w:tr>
        <w:tc>
          <w:tcPr>
            <w:tcW w:type="dxa" w:w="576"/>
          </w:tcPr>
          <w:p>
            <w:pPr>
              <w:spacing w:after="40"/>
            </w:pPr>
            <w:r/>
            <w:r>
              <w:rPr>
                <w:sz w:val="17"/>
              </w:rPr>
              <w:t>2</w:t>
            </w:r>
          </w:p>
        </w:tc>
        <w:tc>
          <w:tcPr>
            <w:tcW w:type="dxa" w:w="4320"/>
          </w:tcPr>
          <w:p>
            <w:pPr>
              <w:spacing w:after="40"/>
            </w:pPr>
            <w:r/>
            <w:r>
              <w:rPr>
                <w:sz w:val="17"/>
              </w:rPr>
              <w:t>Grand totals of all four amounts</w:t>
            </w:r>
          </w:p>
        </w:tc>
        <w:tc>
          <w:tcPr>
            <w:tcW w:type="dxa" w:w="4752"/>
          </w:tcPr>
          <w:p>
            <w:pPr>
              <w:spacing w:after="40"/>
            </w:pPr>
            <w:r/>
            <w:r>
              <w:rPr>
                <w:sz w:val="17"/>
              </w:rPr>
              <w:t>Catches SHIFT_FACTOR errors and systematic double-counting immediately</w:t>
            </w:r>
          </w:p>
        </w:tc>
      </w:tr>
      <w:tr>
        <w:tc>
          <w:tcPr>
            <w:tcW w:type="dxa" w:w="576"/>
          </w:tcPr>
          <w:p>
            <w:pPr>
              <w:spacing w:after="40"/>
            </w:pPr>
            <w:r/>
            <w:r>
              <w:rPr>
                <w:sz w:val="17"/>
              </w:rPr>
              <w:t>3</w:t>
            </w:r>
          </w:p>
        </w:tc>
        <w:tc>
          <w:tcPr>
            <w:tcW w:type="dxa" w:w="4320"/>
          </w:tcPr>
          <w:p>
            <w:pPr>
              <w:spacing w:after="40"/>
            </w:pPr>
            <w:r/>
            <w:r>
              <w:rPr>
                <w:sz w:val="17"/>
              </w:rPr>
              <w:t>Totals by Business Stream</w:t>
            </w:r>
          </w:p>
        </w:tc>
        <w:tc>
          <w:tcPr>
            <w:tcW w:type="dxa" w:w="4752"/>
          </w:tcPr>
          <w:p>
            <w:pPr>
              <w:spacing w:after="40"/>
            </w:pPr>
            <w:r/>
            <w:r>
              <w:rPr>
                <w:sz w:val="17"/>
              </w:rPr>
              <w:t>Isolates the SIC-classification variance (the ABAT1 variance is closed in Rev 3)</w:t>
            </w:r>
          </w:p>
        </w:tc>
      </w:tr>
      <w:tr>
        <w:tc>
          <w:tcPr>
            <w:tcW w:type="dxa" w:w="576"/>
          </w:tcPr>
          <w:p>
            <w:pPr>
              <w:spacing w:after="40"/>
            </w:pPr>
            <w:r/>
            <w:r>
              <w:rPr>
                <w:sz w:val="17"/>
              </w:rPr>
              <w:t>4</w:t>
            </w:r>
          </w:p>
        </w:tc>
        <w:tc>
          <w:tcPr>
            <w:tcW w:type="dxa" w:w="4320"/>
          </w:tcPr>
          <w:p>
            <w:pPr>
              <w:spacing w:after="40"/>
            </w:pPr>
            <w:r/>
            <w:r>
              <w:rPr>
                <w:sz w:val="17"/>
              </w:rPr>
              <w:t>Totals by jurisdiction</w:t>
            </w:r>
          </w:p>
        </w:tc>
        <w:tc>
          <w:tcPr>
            <w:tcW w:type="dxa" w:w="4752"/>
          </w:tcPr>
          <w:p>
            <w:pPr>
              <w:spacing w:after="40"/>
            </w:pPr>
            <w:r/>
            <w:r>
              <w:rPr>
                <w:sz w:val="17"/>
              </w:rPr>
              <w:t>Isolates the F0116 collapse variance specifically</w:t>
            </w:r>
          </w:p>
        </w:tc>
      </w:tr>
      <w:tr>
        <w:tc>
          <w:tcPr>
            <w:tcW w:type="dxa" w:w="576"/>
          </w:tcPr>
          <w:p>
            <w:pPr>
              <w:spacing w:after="40"/>
            </w:pPr>
            <w:r/>
            <w:r>
              <w:rPr>
                <w:sz w:val="17"/>
              </w:rPr>
              <w:t>5</w:t>
            </w:r>
          </w:p>
        </w:tc>
        <w:tc>
          <w:tcPr>
            <w:tcW w:type="dxa" w:w="4320"/>
          </w:tcPr>
          <w:p>
            <w:pPr>
              <w:spacing w:after="40"/>
            </w:pPr>
            <w:r/>
            <w:r>
              <w:rPr>
                <w:sz w:val="17"/>
              </w:rPr>
              <w:t>Spot-check 5–10 individual invoices end to end</w:t>
            </w:r>
          </w:p>
        </w:tc>
        <w:tc>
          <w:tcPr>
            <w:tcW w:type="dxa" w:w="4752"/>
          </w:tcPr>
          <w:p>
            <w:pPr>
              <w:spacing w:after="40"/>
            </w:pPr>
            <w:r/>
            <w:r>
              <w:rPr>
                <w:sz w:val="17"/>
              </w:rPr>
              <w:t>Confirms row-level correctness, not just totals that happen to net out</w:t>
            </w:r>
          </w:p>
        </w:tc>
      </w:tr>
      <w:tr>
        <w:tc>
          <w:tcPr>
            <w:tcW w:type="dxa" w:w="576"/>
          </w:tcPr>
          <w:p>
            <w:pPr>
              <w:spacing w:after="40"/>
            </w:pPr>
            <w:r/>
            <w:r>
              <w:rPr>
                <w:sz w:val="17"/>
              </w:rPr>
              <w:t>6</w:t>
            </w:r>
          </w:p>
        </w:tc>
        <w:tc>
          <w:tcPr>
            <w:tcW w:type="dxa" w:w="4320"/>
          </w:tcPr>
          <w:p>
            <w:pPr>
              <w:spacing w:after="40"/>
            </w:pPr>
            <w:r/>
            <w:r>
              <w:rPr>
                <w:sz w:val="17"/>
              </w:rPr>
              <w:t>Invoice Count</w:t>
            </w:r>
          </w:p>
        </w:tc>
        <w:tc>
          <w:tcPr>
            <w:tcW w:type="dxa" w:w="4752"/>
          </w:tcPr>
          <w:p>
            <w:pPr>
              <w:spacing w:after="40"/>
            </w:pPr>
            <w:r/>
            <w:r>
              <w:rPr>
                <w:sz w:val="17"/>
              </w:rPr>
              <w:t>Validates the inferred Avalara Code — expect this to be the last thing to tie</w:t>
            </w:r>
          </w:p>
        </w:tc>
      </w:tr>
    </w:tbl>
    <w:p>
      <w:pPr>
        <w:spacing w:after="80"/>
      </w:pPr>
    </w:p>
    <w:p>
      <w:pPr>
        <w:pStyle w:val="Heading2"/>
      </w:pPr>
      <w:r>
        <w:t>3.2  Filters, slicers and Field Parameters work across all report variations</w:t>
      </w:r>
    </w:p>
    <w:p>
      <w:pPr>
        <w:spacing w:before="120" w:after="200"/>
        <w:shd w:val="clear" w:fill="E7E6E6"/>
        <w:pBdr>
          <w:top w:val="single" w:sz="4" w:space="4" w:color="808080"/>
          <w:left w:val="single" w:sz="4" w:space="4" w:color="808080"/>
          <w:bottom w:val="single" w:sz="4" w:space="4" w:color="808080"/>
          <w:right w:val="single" w:sz="4" w:space="4" w:color="808080"/>
        </w:pBdr>
      </w:pPr>
      <w:r>
        <w:rPr>
          <w:b/>
          <w:sz w:val="21"/>
        </w:rPr>
        <w:t xml:space="preserve">VERDICT: BLOCKED  </w:t>
      </w:r>
      <w:r>
        <w:rPr>
          <w:sz w:val="20"/>
        </w:rPr>
        <w:t>Static validation passes; behaviour is untested.</w:t>
      </w:r>
    </w:p>
    <w:p>
      <w:r>
        <w:rPr>
          <w:b w:val="0"/>
          <w:i w:val="0"/>
        </w:rPr>
        <w:t>What static review established — every field reference in all 17 visual definitions across the three pages was extracted and checked against the TMDL. All of them resolve to a column or measure that exists. There are no broken references and no orphaned fields.</w:t>
      </w:r>
    </w:p>
    <w:p>
      <w:r>
        <w:rPr>
          <w:b w:val="0"/>
          <w:i w:val="0"/>
        </w:rPr>
        <w:t>This is worth stating precisely because one specific risk was checked and cleared: `dim_date` was removed from this model, and the Overview page has a slicer named `slicerYear`. It does not reference the removed dimension — it points at `fact_sales_tax_reconciliation.gl_date`, which exists as a native dateTime column. No dangling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8"/>
              </w:rPr>
              <w:t>Page</w:t>
            </w:r>
          </w:p>
        </w:tc>
        <w:tc>
          <w:tcPr>
            <w:tcW w:type="dxa" w:w="3168"/>
          </w:tcPr>
          <w:p>
            <w:r/>
            <w:r>
              <w:rPr>
                <w:b/>
                <w:sz w:val="18"/>
              </w:rPr>
              <w:t>Slicers</w:t>
            </w:r>
          </w:p>
        </w:tc>
        <w:tc>
          <w:tcPr>
            <w:tcW w:type="dxa" w:w="4320"/>
          </w:tcPr>
          <w:p>
            <w:r/>
            <w:r>
              <w:rPr>
                <w:b/>
                <w:sz w:val="18"/>
              </w:rPr>
              <w:t>Field references</w:t>
            </w:r>
          </w:p>
        </w:tc>
      </w:tr>
      <w:tr>
        <w:tc>
          <w:tcPr>
            <w:tcW w:type="dxa" w:w="2160"/>
          </w:tcPr>
          <w:p>
            <w:pPr>
              <w:spacing w:after="40"/>
            </w:pPr>
            <w:r/>
            <w:r>
              <w:rPr>
                <w:sz w:val="17"/>
              </w:rPr>
              <w:t>Overview</w:t>
            </w:r>
          </w:p>
        </w:tc>
        <w:tc>
          <w:tcPr>
            <w:tcW w:type="dxa" w:w="3168"/>
          </w:tcPr>
          <w:p>
            <w:pPr>
              <w:spacing w:after="40"/>
            </w:pPr>
            <w:r/>
            <w:r>
              <w:rPr>
                <w:sz w:val="17"/>
              </w:rPr>
              <w:t>Business Stream, Tax Area, Year</w:t>
            </w:r>
          </w:p>
        </w:tc>
        <w:tc>
          <w:tcPr>
            <w:tcW w:type="dxa" w:w="4320"/>
          </w:tcPr>
          <w:p>
            <w:pPr>
              <w:spacing w:after="40"/>
            </w:pPr>
            <w:r/>
            <w:r>
              <w:rPr>
                <w:sz w:val="17"/>
              </w:rPr>
            </w:r>
            <w:r>
              <w:rPr>
                <w:rFonts w:ascii="Consolas" w:hAnsi="Consolas"/>
                <w:sz w:val="16"/>
              </w:rPr>
              <w:t>business_stream</w:t>
            </w:r>
            <w:r>
              <w:rPr>
                <w:sz w:val="17"/>
              </w:rPr>
              <w:t xml:space="preserve">, </w:t>
            </w:r>
            <w:r>
              <w:rPr>
                <w:rFonts w:ascii="Consolas" w:hAnsi="Consolas"/>
                <w:sz w:val="16"/>
              </w:rPr>
              <w:t>tax_area</w:t>
            </w:r>
            <w:r>
              <w:rPr>
                <w:sz w:val="17"/>
              </w:rPr>
              <w:t xml:space="preserve">, </w:t>
            </w:r>
            <w:r>
              <w:rPr>
                <w:rFonts w:ascii="Consolas" w:hAnsi="Consolas"/>
                <w:sz w:val="16"/>
              </w:rPr>
              <w:t>gl_date</w:t>
            </w:r>
            <w:r>
              <w:rPr>
                <w:sz w:val="17"/>
              </w:rPr>
              <w:t xml:space="preserve"> — all valid</w:t>
            </w:r>
          </w:p>
        </w:tc>
      </w:tr>
      <w:tr>
        <w:tc>
          <w:tcPr>
            <w:tcW w:type="dxa" w:w="2160"/>
          </w:tcPr>
          <w:p>
            <w:pPr>
              <w:spacing w:after="40"/>
            </w:pPr>
            <w:r/>
            <w:r>
              <w:rPr>
                <w:sz w:val="17"/>
              </w:rPr>
              <w:t>Reconciliation Detail</w:t>
            </w:r>
          </w:p>
        </w:tc>
        <w:tc>
          <w:tcPr>
            <w:tcW w:type="dxa" w:w="3168"/>
          </w:tcPr>
          <w:p>
            <w:pPr>
              <w:spacing w:after="40"/>
            </w:pPr>
            <w:r/>
            <w:r>
              <w:rPr>
                <w:sz w:val="17"/>
              </w:rPr>
              <w:t>Invoice, Jurisdiction</w:t>
            </w:r>
          </w:p>
        </w:tc>
        <w:tc>
          <w:tcPr>
            <w:tcW w:type="dxa" w:w="4320"/>
          </w:tcPr>
          <w:p>
            <w:pPr>
              <w:spacing w:after="40"/>
            </w:pPr>
            <w:r/>
            <w:r>
              <w:rPr>
                <w:sz w:val="17"/>
              </w:rPr>
            </w:r>
            <w:r>
              <w:rPr>
                <w:rFonts w:ascii="Consolas" w:hAnsi="Consolas"/>
                <w:sz w:val="16"/>
              </w:rPr>
              <w:t>invoice_number</w:t>
            </w:r>
            <w:r>
              <w:rPr>
                <w:sz w:val="17"/>
              </w:rPr>
              <w:t xml:space="preserve">, </w:t>
            </w:r>
            <w:r>
              <w:rPr>
                <w:rFonts w:ascii="Consolas" w:hAnsi="Consolas"/>
                <w:sz w:val="16"/>
              </w:rPr>
              <w:t>dim_state.state_name</w:t>
            </w:r>
            <w:r>
              <w:rPr>
                <w:sz w:val="17"/>
              </w:rPr>
              <w:t xml:space="preserve"> — both valid</w:t>
            </w:r>
          </w:p>
        </w:tc>
      </w:tr>
      <w:tr>
        <w:tc>
          <w:tcPr>
            <w:tcW w:type="dxa" w:w="2160"/>
          </w:tcPr>
          <w:p>
            <w:pPr>
              <w:spacing w:after="40"/>
            </w:pPr>
            <w:r/>
            <w:r>
              <w:rPr>
                <w:sz w:val="17"/>
              </w:rPr>
              <w:t>Tax by Jurisdiction</w:t>
            </w:r>
          </w:p>
        </w:tc>
        <w:tc>
          <w:tcPr>
            <w:tcW w:type="dxa" w:w="3168"/>
          </w:tcPr>
          <w:p>
            <w:pPr>
              <w:spacing w:after="40"/>
            </w:pPr>
            <w:r/>
            <w:r>
              <w:rPr>
                <w:sz w:val="17"/>
              </w:rPr>
              <w:t>Business Stream, Tax Area</w:t>
            </w:r>
          </w:p>
        </w:tc>
        <w:tc>
          <w:tcPr>
            <w:tcW w:type="dxa" w:w="4320"/>
          </w:tcPr>
          <w:p>
            <w:pPr>
              <w:spacing w:after="40"/>
            </w:pPr>
            <w:r/>
            <w:r>
              <w:rPr>
                <w:sz w:val="17"/>
              </w:rPr>
            </w:r>
            <w:r>
              <w:rPr>
                <w:rFonts w:ascii="Consolas" w:hAnsi="Consolas"/>
                <w:sz w:val="16"/>
              </w:rPr>
              <w:t>business_stream</w:t>
            </w:r>
            <w:r>
              <w:rPr>
                <w:sz w:val="17"/>
              </w:rPr>
              <w:t xml:space="preserve">, </w:t>
            </w:r>
            <w:r>
              <w:rPr>
                <w:rFonts w:ascii="Consolas" w:hAnsi="Consolas"/>
                <w:sz w:val="16"/>
              </w:rPr>
              <w:t>tax_area</w:t>
            </w:r>
            <w:r>
              <w:rPr>
                <w:sz w:val="17"/>
              </w:rPr>
              <w:t xml:space="preserve"> — both valid</w:t>
            </w:r>
          </w:p>
        </w:tc>
      </w:tr>
    </w:tbl>
    <w:p>
      <w:pPr>
        <w:spacing w:after="80"/>
      </w:pPr>
    </w:p>
    <w:p>
      <w:r>
        <w:rPr>
          <w:b w:val="0"/>
          <w:i w:val="0"/>
        </w:rPr>
        <w:t>Two things this gate asks about do not apply to ESO4, and should be recorded as N/A rather than left ambiguous:</w:t>
      </w:r>
    </w:p>
    <w:p>
      <w:pPr>
        <w:pStyle w:val="ListBullet"/>
        <w:spacing w:after="60"/>
        <w:ind w:left="360"/>
      </w:pPr>
      <w:r>
        <w:t>Field Parameters — none are implemented. The model has exactly 7 tables and none is a field parameter table. If Field Parameters are expected by the gate as a standard, that is a gap against the standard, not a defect in what was built. Worth confirming whether they are required.</w:t>
      </w:r>
    </w:p>
    <w:p>
      <w:pPr>
        <w:pStyle w:val="ListBullet"/>
        <w:spacing w:after="60"/>
        <w:ind w:left="360"/>
      </w:pPr>
      <w:r>
        <w:t>Report variations — ESO4 has none. It is a single report with three pages. This clause exists because of ESO1, which has 107 Filter Capture variations; ESO4 has no equivalent.</w:t>
      </w:r>
    </w:p>
    <w:p>
      <w:r>
        <w:rPr>
          <w:b w:val="0"/>
          <w:i w:val="0"/>
        </w:rPr>
        <w:t>What remains untested is everything that matters behaviourally: whether slicers actually filter, whether cross-filtering between visuals behaves, and whether the Detail page's slicers interact correctly. All require a live report.</w:t>
      </w:r>
    </w:p>
    <w:p>
      <w:pPr>
        <w:pStyle w:val="Heading2"/>
      </w:pPr>
      <w:r>
        <w:t>3.3  Measures and Gold layer logic match the functional specification</w:t>
      </w:r>
    </w:p>
    <w:p>
      <w:pPr>
        <w:spacing w:before="120" w:after="200"/>
        <w:shd w:val="clear" w:fill="FFF2CC"/>
        <w:pBdr>
          <w:top w:val="single" w:sz="4" w:space="4" w:color="E8C48A"/>
          <w:left w:val="single" w:sz="4" w:space="4" w:color="E8C48A"/>
          <w:bottom w:val="single" w:sz="4" w:space="4" w:color="E8C48A"/>
          <w:right w:val="single" w:sz="4" w:space="4" w:color="E8C48A"/>
        </w:pBdr>
      </w:pPr>
      <w:r>
        <w:rPr>
          <w:b/>
          <w:sz w:val="21"/>
        </w:rPr>
        <w:t xml:space="preserve">VERDICT: PASS WITH FINDINGS  </w:t>
      </w:r>
      <w:r>
        <w:rPr>
          <w:sz w:val="20"/>
        </w:rPr>
        <w:t>Statically verified — this is the one Gate 2 clause that static review can genuinely address.</w:t>
      </w:r>
    </w:p>
    <w:p>
      <w:r>
        <w:rPr>
          <w:b w:val="0"/>
          <w:i w:val="0"/>
        </w:rPr>
        <w:t>Full detail is in Gate 1 section 1.4. In summary: all 7 measures correspond to the specification and to Hubble's expressions; the Business Stream calculation reproduces Hubble's CASE branch for branch; the transformation faithfully reproduces the inner DISTINCT and outer GROUP BY.</w:t>
      </w:r>
    </w:p>
    <w:p>
      <w:r>
        <w:rPr>
          <w:b w:val="0"/>
          <w:i w:val="0"/>
        </w:rPr>
        <w:t>Outstanding: the `Tax Lines` naming (Finding 7), and three open assumptions that only data can settle — the inferred Avalara Code formula, the inferred UDC selectors, and `SHIFT_FACTOR = 1.0`.</w:t>
      </w:r>
    </w:p>
    <w:p>
      <w:pPr>
        <w:pStyle w:val="Heading2"/>
      </w:pPr>
      <w:r>
        <w:t>3.4  Visuals, labels and formatting are correct</w:t>
      </w:r>
    </w:p>
    <w:p>
      <w:pPr>
        <w:spacing w:before="120" w:after="200"/>
        <w:shd w:val="clear" w:fill="E7E6E6"/>
        <w:pBdr>
          <w:top w:val="single" w:sz="4" w:space="4" w:color="808080"/>
          <w:left w:val="single" w:sz="4" w:space="4" w:color="808080"/>
          <w:bottom w:val="single" w:sz="4" w:space="4" w:color="808080"/>
          <w:right w:val="single" w:sz="4" w:space="4" w:color="808080"/>
        </w:pBdr>
      </w:pPr>
      <w:r>
        <w:rPr>
          <w:b/>
          <w:sz w:val="21"/>
        </w:rPr>
        <w:t xml:space="preserve">VERDICT: BLOCKED  </w:t>
      </w:r>
      <w:r>
        <w:rPr>
          <w:sz w:val="20"/>
        </w:rPr>
        <w:t>Static checks pass; rendering is untested.</w:t>
      </w:r>
    </w:p>
    <w:p>
      <w:r>
        <w:rPr>
          <w:b w:val="0"/>
          <w:i w:val="0"/>
        </w:rPr>
        <w:t>Static review confirms format strings are present and appropriate throughout: the four amount measures carry `\$#,0;-\$#,0` — currency with a negative form, which a tax report needs for credits — `Effective Tax Rate` carries `0.0%`, and the two count measures carry `#,0`. Measures are organised into 'Tax' and 'Counts' display folders. Internal key columns are hidden.</w:t>
      </w:r>
    </w:p>
    <w:p>
      <w:r>
        <w:rPr>
          <w:b w:val="0"/>
          <w:i w:val="0"/>
        </w:rPr>
        <w:t>One observation for the visual review: `plant`, `ship_to`, `sold_to` and `parent_number` are marked `isHidden` in the TMDL yet are referenced by the Detail page's table visual. This is legal — a hidden column still renders where a report explicitly references it — so it is not a defect. But it is worth a conscious look during QA, because hidden usually signals 'this is a join key, not a display field', and the Detail page displays the raw numbers alongside the friendly names from the address dimensions. Confirm that is intended rather than accidental.</w:t>
      </w:r>
    </w:p>
    <w:p>
      <w:r>
        <w:rPr>
          <w:b w:val="0"/>
          <w:i w:val="0"/>
        </w:rPr>
        <w:t>Everything else in this clause — whether visuals render, whether labels are readable, whether the layout works, whether totals display correctly — needs the report open.</w:t>
      </w:r>
    </w:p>
    <w:p>
      <w:pPr>
        <w:pStyle w:val="Heading2"/>
      </w:pPr>
      <w:r>
        <w:t>3.5  Published with settings allowing download from the Service</w:t>
      </w:r>
    </w:p>
    <w:p>
      <w:pPr>
        <w:spacing w:before="120" w:after="200"/>
        <w:shd w:val="clear" w:fill="E7E6E6"/>
        <w:pBdr>
          <w:top w:val="single" w:sz="4" w:space="4" w:color="808080"/>
          <w:left w:val="single" w:sz="4" w:space="4" w:color="808080"/>
          <w:bottom w:val="single" w:sz="4" w:space="4" w:color="808080"/>
          <w:right w:val="single" w:sz="4" w:space="4" w:color="808080"/>
        </w:pBdr>
      </w:pPr>
      <w:r>
        <w:rPr>
          <w:b/>
          <w:sz w:val="21"/>
        </w:rPr>
        <w:t xml:space="preserve">VERDICT: BLOCKED  </w:t>
      </w:r>
      <w:r>
        <w:rPr>
          <w:sz w:val="20"/>
        </w:rPr>
        <w:t>Not published. Nothing has been deployed to a workspace.</w:t>
      </w:r>
    </w:p>
    <w:p>
      <w:r>
        <w:rPr>
          <w:b w:val="0"/>
          <w:i w:val="0"/>
        </w:rPr>
        <w:t>The artifacts exist as source: `eso4/report/ESO4_Sales_Tax_Reconciliation.Report` in PBIR format and `eso4/report/sales_tax_reconciliation.SemanticModel` in TMDL. Neither has been deployed.</w:t>
      </w:r>
    </w:p>
    <w:p>
      <w:r>
        <w:rPr>
          <w:b w:val="0"/>
          <w:i w:val="0"/>
        </w:rPr>
        <w:t>When it is published, note that download-from-Service behaviour depends on tenant and workspace settings outside these files, and that a PBIR/TMDL report deployed as source is subject to the tenant's rules for downloading .pbix from a Direct Lake model. That should be confirmed against the actual tenant settings rather than assumed from the artifacts.</w:t>
      </w:r>
    </w:p>
    <w:p>
      <w:pPr>
        <w:pStyle w:val="Heading2"/>
      </w:pPr>
      <w:r>
        <w:t>3.6  Gate 2 — what must happen</w:t>
      </w:r>
    </w:p>
    <w:p>
      <w:r>
        <w:rPr>
          <w:b w:val="0"/>
          <w:i w:val="0"/>
        </w:rPr>
        <w:t>In order. Steps 1 and 2 are prerequisites the notebooks cannot perform for themselves.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tcPr>
          <w:p>
            <w:r/>
            <w:r>
              <w:rPr>
                <w:b/>
                <w:sz w:val="18"/>
              </w:rPr>
              <w:t>#</w:t>
            </w:r>
          </w:p>
        </w:tc>
        <w:tc>
          <w:tcPr>
            <w:tcW w:type="dxa" w:w="5616"/>
          </w:tcPr>
          <w:p>
            <w:r/>
            <w:r>
              <w:rPr>
                <w:b/>
                <w:sz w:val="18"/>
              </w:rPr>
              <w:t>Action</w:t>
            </w:r>
          </w:p>
        </w:tc>
        <w:tc>
          <w:tcPr>
            <w:tcW w:type="dxa" w:w="1584"/>
          </w:tcPr>
          <w:p>
            <w:r/>
            <w:r>
              <w:rPr>
                <w:b/>
                <w:sz w:val="18"/>
              </w:rPr>
              <w:t>Owner</w:t>
            </w:r>
          </w:p>
        </w:tc>
        <w:tc>
          <w:tcPr>
            <w:tcW w:type="dxa" w:w="2016"/>
          </w:tcPr>
          <w:p>
            <w:r/>
            <w:r>
              <w:rPr>
                <w:b/>
                <w:sz w:val="18"/>
              </w:rPr>
              <w:t>Status</w:t>
            </w:r>
          </w:p>
        </w:tc>
      </w:tr>
      <w:tr>
        <w:tc>
          <w:tcPr>
            <w:tcW w:type="dxa" w:w="432"/>
          </w:tcPr>
          <w:p>
            <w:pPr>
              <w:spacing w:after="40"/>
            </w:pPr>
            <w:r/>
            <w:r>
              <w:rPr>
                <w:sz w:val="16"/>
              </w:rPr>
              <w:t>1</w:t>
            </w:r>
          </w:p>
        </w:tc>
        <w:tc>
          <w:tcPr>
            <w:tcW w:type="dxa" w:w="5616"/>
          </w:tcPr>
          <w:p>
            <w:pPr>
              <w:spacing w:after="40"/>
            </w:pPr>
            <w:r/>
            <w:r>
              <w:rPr>
                <w:sz w:val="16"/>
              </w:rPr>
              <w:t xml:space="preserve">Enable </w:t>
            </w:r>
            <w:r>
              <w:rPr>
                <w:rFonts w:ascii="Consolas" w:hAnsi="Consolas"/>
                <w:sz w:val="15"/>
              </w:rPr>
              <w:t>delta.enableChangeDataFeed = true</w:t>
            </w:r>
            <w:r>
              <w:rPr>
                <w:sz w:val="16"/>
              </w:rPr>
              <w:t xml:space="preserve"> on F4211, F03B11, F0006 and F0005 in </w:t>
            </w:r>
            <w:r>
              <w:rPr>
                <w:rFonts w:ascii="Consolas" w:hAnsi="Consolas"/>
                <w:sz w:val="15"/>
              </w:rPr>
              <w:t>lh_jde_silver.jde_cdc</w:t>
            </w:r>
            <w:r>
              <w:rPr>
                <w:sz w:val="16"/>
              </w:rPr>
              <w:t>. Must be enabled at or before the version the streams start from.</w:t>
            </w:r>
          </w:p>
        </w:tc>
        <w:tc>
          <w:tcPr>
            <w:tcW w:type="dxa" w:w="1584"/>
          </w:tcPr>
          <w:p>
            <w:pPr>
              <w:spacing w:after="40"/>
            </w:pPr>
            <w:r/>
            <w:r>
              <w:rPr>
                <w:sz w:val="16"/>
              </w:rPr>
              <w:t>User / platform</w:t>
            </w:r>
          </w:p>
        </w:tc>
        <w:tc>
          <w:tcPr>
            <w:tcW w:type="dxa" w:w="2016"/>
          </w:tcPr>
          <w:p>
            <w:pPr>
              <w:spacing w:after="40"/>
            </w:pPr>
            <w:r/>
            <w:r>
              <w:rPr>
                <w:sz w:val="16"/>
              </w:rPr>
              <w:t>Outstanding</w:t>
            </w:r>
          </w:p>
        </w:tc>
      </w:tr>
      <w:tr>
        <w:tc>
          <w:tcPr>
            <w:tcW w:type="dxa" w:w="432"/>
          </w:tcPr>
          <w:p>
            <w:pPr>
              <w:spacing w:after="40"/>
            </w:pPr>
            <w:r/>
            <w:r>
              <w:rPr>
                <w:sz w:val="16"/>
              </w:rPr>
              <w:t>2</w:t>
            </w:r>
          </w:p>
        </w:tc>
        <w:tc>
          <w:tcPr>
            <w:tcW w:type="dxa" w:w="5616"/>
          </w:tcPr>
          <w:p>
            <w:pPr>
              <w:spacing w:after="40"/>
            </w:pPr>
            <w:r/>
            <w:r>
              <w:rPr>
                <w:sz w:val="16"/>
              </w:rPr>
              <w:t xml:space="preserve">Create the </w:t>
            </w:r>
            <w:r>
              <w:rPr>
                <w:rFonts w:ascii="Consolas" w:hAnsi="Consolas"/>
                <w:sz w:val="15"/>
              </w:rPr>
              <w:t>rpt.dim_address_parent</w:t>
            </w:r>
            <w:r>
              <w:rPr>
                <w:sz w:val="16"/>
              </w:rPr>
              <w:t xml:space="preserve"> view. Ship-to and sold-to already exist.</w:t>
            </w:r>
          </w:p>
        </w:tc>
        <w:tc>
          <w:tcPr>
            <w:tcW w:type="dxa" w:w="1584"/>
          </w:tcPr>
          <w:p>
            <w:pPr>
              <w:spacing w:after="40"/>
            </w:pPr>
            <w:r/>
            <w:r>
              <w:rPr>
                <w:sz w:val="16"/>
              </w:rPr>
              <w:t>User / platform</w:t>
            </w:r>
          </w:p>
        </w:tc>
        <w:tc>
          <w:tcPr>
            <w:tcW w:type="dxa" w:w="2016"/>
          </w:tcPr>
          <w:p>
            <w:pPr>
              <w:spacing w:after="40"/>
            </w:pPr>
            <w:r/>
            <w:r>
              <w:rPr>
                <w:sz w:val="16"/>
              </w:rPr>
              <w:t>Outstanding</w:t>
            </w:r>
          </w:p>
        </w:tc>
      </w:tr>
      <w:tr>
        <w:tc>
          <w:tcPr>
            <w:tcW w:type="dxa" w:w="432"/>
          </w:tcPr>
          <w:p>
            <w:pPr>
              <w:spacing w:after="40"/>
            </w:pPr>
            <w:r/>
            <w:r>
              <w:rPr>
                <w:sz w:val="16"/>
              </w:rPr>
              <w:t>3</w:t>
            </w:r>
          </w:p>
        </w:tc>
        <w:tc>
          <w:tcPr>
            <w:tcW w:type="dxa" w:w="5616"/>
          </w:tcPr>
          <w:p>
            <w:pPr>
              <w:spacing w:after="40"/>
            </w:pPr>
            <w:r/>
            <w:r>
              <w:rPr>
                <w:sz w:val="16"/>
              </w:rPr>
              <w:t>Fix Findings 2, 3 and 4 BEFORE the first load — all three change the stored schema or the stored values.</w:t>
            </w:r>
          </w:p>
        </w:tc>
        <w:tc>
          <w:tcPr>
            <w:tcW w:type="dxa" w:w="1584"/>
          </w:tcPr>
          <w:p>
            <w:pPr>
              <w:spacing w:after="40"/>
            </w:pPr>
            <w:r/>
            <w:r>
              <w:rPr>
                <w:sz w:val="16"/>
              </w:rPr>
              <w:t>Development</w:t>
            </w:r>
          </w:p>
        </w:tc>
        <w:tc>
          <w:tcPr>
            <w:tcW w:type="dxa" w:w="2016"/>
          </w:tcPr>
          <w:p>
            <w:pPr>
              <w:spacing w:after="40"/>
            </w:pPr>
            <w:r/>
            <w:r>
              <w:rPr>
                <w:sz w:val="16"/>
              </w:rPr>
              <w:t>✔ Done (Rev 2)</w:t>
            </w:r>
          </w:p>
        </w:tc>
      </w:tr>
      <w:tr>
        <w:tc>
          <w:tcPr>
            <w:tcW w:type="dxa" w:w="432"/>
          </w:tcPr>
          <w:p>
            <w:pPr>
              <w:spacing w:after="40"/>
            </w:pPr>
            <w:r/>
            <w:r>
              <w:rPr>
                <w:sz w:val="16"/>
              </w:rPr>
              <w:t>4</w:t>
            </w:r>
          </w:p>
        </w:tc>
        <w:tc>
          <w:tcPr>
            <w:tcW w:type="dxa" w:w="5616"/>
          </w:tcPr>
          <w:p>
            <w:pPr>
              <w:spacing w:after="40"/>
            </w:pPr>
            <w:r/>
            <w:r>
              <w:rPr>
                <w:sz w:val="16"/>
              </w:rPr>
              <w:t>Obtain an explicit ruling on Finding 1 (the aggregated grain). This is the last moment it is free to change.</w:t>
            </w:r>
          </w:p>
        </w:tc>
        <w:tc>
          <w:tcPr>
            <w:tcW w:type="dxa" w:w="1584"/>
          </w:tcPr>
          <w:p>
            <w:pPr>
              <w:spacing w:after="40"/>
            </w:pPr>
            <w:r/>
            <w:r>
              <w:rPr>
                <w:sz w:val="16"/>
              </w:rPr>
              <w:t>Data owner</w:t>
            </w:r>
          </w:p>
        </w:tc>
        <w:tc>
          <w:tcPr>
            <w:tcW w:type="dxa" w:w="2016"/>
          </w:tcPr>
          <w:p>
            <w:pPr>
              <w:spacing w:after="40"/>
            </w:pPr>
            <w:r/>
            <w:r>
              <w:rPr>
                <w:sz w:val="16"/>
              </w:rPr>
              <w:t>OUTSTANDING — now the only Gate 1 blocker</w:t>
            </w:r>
          </w:p>
        </w:tc>
      </w:tr>
      <w:tr>
        <w:tc>
          <w:tcPr>
            <w:tcW w:type="dxa" w:w="432"/>
          </w:tcPr>
          <w:p>
            <w:pPr>
              <w:spacing w:after="40"/>
            </w:pPr>
            <w:r/>
            <w:r>
              <w:rPr>
                <w:sz w:val="16"/>
              </w:rPr>
              <w:t>5</w:t>
            </w:r>
          </w:p>
        </w:tc>
        <w:tc>
          <w:tcPr>
            <w:tcW w:type="dxa" w:w="5616"/>
          </w:tcPr>
          <w:p>
            <w:pPr>
              <w:spacing w:after="40"/>
            </w:pPr>
            <w:r/>
            <w:r>
              <w:rPr>
                <w:sz w:val="16"/>
              </w:rPr>
              <w:t xml:space="preserve">Run the two ESO4 notebooks with </w:t>
            </w:r>
            <w:r>
              <w:rPr>
                <w:rFonts w:ascii="Consolas" w:hAnsi="Consolas"/>
                <w:sz w:val="15"/>
              </w:rPr>
              <w:t>MANUAL_OVERWRITE = True</w:t>
            </w:r>
            <w:r>
              <w:rPr>
                <w:sz w:val="16"/>
              </w:rPr>
              <w:t>, in order: dim_udc, then the fact. (</w:t>
            </w:r>
            <w:r>
              <w:rPr>
                <w:rFonts w:ascii="Consolas" w:hAnsi="Consolas"/>
                <w:sz w:val="15"/>
              </w:rPr>
              <w:t>dim_plant</w:t>
            </w:r>
            <w:r>
              <w:rPr>
                <w:sz w:val="16"/>
              </w:rPr>
              <w:t xml:space="preserve"> is a reused Gold dim — already built upstream, not run by ESO4.)</w:t>
            </w:r>
          </w:p>
        </w:tc>
        <w:tc>
          <w:tcPr>
            <w:tcW w:type="dxa" w:w="1584"/>
          </w:tcPr>
          <w:p>
            <w:pPr>
              <w:spacing w:after="40"/>
            </w:pPr>
            <w:r/>
            <w:r>
              <w:rPr>
                <w:sz w:val="16"/>
              </w:rPr>
              <w:t>User</w:t>
            </w:r>
          </w:p>
        </w:tc>
        <w:tc>
          <w:tcPr>
            <w:tcW w:type="dxa" w:w="2016"/>
          </w:tcPr>
          <w:p>
            <w:pPr>
              <w:spacing w:after="40"/>
            </w:pPr>
            <w:r/>
            <w:r>
              <w:rPr>
                <w:sz w:val="16"/>
              </w:rPr>
              <w:t>Outstanding</w:t>
            </w:r>
          </w:p>
        </w:tc>
      </w:tr>
      <w:tr>
        <w:tc>
          <w:tcPr>
            <w:tcW w:type="dxa" w:w="432"/>
          </w:tcPr>
          <w:p>
            <w:pPr>
              <w:spacing w:after="40"/>
            </w:pPr>
            <w:r/>
            <w:r>
              <w:rPr>
                <w:sz w:val="16"/>
              </w:rPr>
              <w:t>6</w:t>
            </w:r>
          </w:p>
        </w:tc>
        <w:tc>
          <w:tcPr>
            <w:tcW w:type="dxa" w:w="5616"/>
          </w:tcPr>
          <w:p>
            <w:pPr>
              <w:spacing w:after="40"/>
            </w:pPr>
            <w:r/>
            <w:r>
              <w:rPr>
                <w:sz w:val="16"/>
              </w:rPr>
              <w:t xml:space="preserve">Verify the load: 24 business columns present (26 stored) including </w:t>
            </w:r>
            <w:r>
              <w:rPr>
                <w:rFonts w:ascii="Consolas" w:hAnsi="Consolas"/>
                <w:sz w:val="15"/>
              </w:rPr>
              <w:t>tax_status</w:t>
            </w:r>
            <w:r>
              <w:rPr>
                <w:sz w:val="16"/>
              </w:rPr>
              <w:t xml:space="preserve">, </w:t>
            </w:r>
            <w:r>
              <w:rPr>
                <w:rFonts w:ascii="Consolas" w:hAnsi="Consolas"/>
                <w:sz w:val="15"/>
              </w:rPr>
              <w:t>startingVersion=N init_ver=N</w:t>
            </w:r>
            <w:r>
              <w:rPr>
                <w:sz w:val="16"/>
              </w:rPr>
              <w:t xml:space="preserve"> with N &gt; 0, both UDC dims non-empty, and the referential-integrity check in section 1.3 returning 0 for all three FKs.</w:t>
            </w:r>
          </w:p>
        </w:tc>
        <w:tc>
          <w:tcPr>
            <w:tcW w:type="dxa" w:w="1584"/>
          </w:tcPr>
          <w:p>
            <w:pPr>
              <w:spacing w:after="40"/>
            </w:pPr>
            <w:r/>
            <w:r>
              <w:rPr>
                <w:sz w:val="16"/>
              </w:rPr>
              <w:t>Development</w:t>
            </w:r>
          </w:p>
        </w:tc>
        <w:tc>
          <w:tcPr>
            <w:tcW w:type="dxa" w:w="2016"/>
          </w:tcPr>
          <w:p>
            <w:pPr>
              <w:spacing w:after="40"/>
            </w:pPr>
            <w:r/>
            <w:r>
              <w:rPr>
                <w:sz w:val="16"/>
              </w:rPr>
              <w:t>Outstanding — column count updated for Rev 2</w:t>
            </w:r>
          </w:p>
        </w:tc>
      </w:tr>
      <w:tr>
        <w:tc>
          <w:tcPr>
            <w:tcW w:type="dxa" w:w="432"/>
          </w:tcPr>
          <w:p>
            <w:pPr>
              <w:spacing w:after="40"/>
            </w:pPr>
            <w:r/>
            <w:r>
              <w:rPr>
                <w:sz w:val="16"/>
              </w:rPr>
              <w:t>7</w:t>
            </w:r>
          </w:p>
        </w:tc>
        <w:tc>
          <w:tcPr>
            <w:tcW w:type="dxa" w:w="5616"/>
          </w:tcPr>
          <w:p>
            <w:pPr>
              <w:spacing w:after="40"/>
            </w:pPr>
            <w:r/>
            <w:r>
              <w:rPr>
                <w:sz w:val="16"/>
              </w:rPr>
              <w:t>Run the F0116 multiplicity query from section 1.2 to determine whether the collapse variance is real or theoretical.</w:t>
            </w:r>
          </w:p>
        </w:tc>
        <w:tc>
          <w:tcPr>
            <w:tcW w:type="dxa" w:w="1584"/>
          </w:tcPr>
          <w:p>
            <w:pPr>
              <w:spacing w:after="40"/>
            </w:pPr>
            <w:r/>
            <w:r>
              <w:rPr>
                <w:sz w:val="16"/>
              </w:rPr>
              <w:t>Development</w:t>
            </w:r>
          </w:p>
        </w:tc>
        <w:tc>
          <w:tcPr>
            <w:tcW w:type="dxa" w:w="2016"/>
          </w:tcPr>
          <w:p>
            <w:pPr>
              <w:spacing w:after="40"/>
            </w:pPr>
            <w:r/>
            <w:r>
              <w:rPr>
                <w:sz w:val="16"/>
              </w:rPr>
              <w:t>Outstanding</w:t>
            </w:r>
          </w:p>
        </w:tc>
      </w:tr>
      <w:tr>
        <w:tc>
          <w:tcPr>
            <w:tcW w:type="dxa" w:w="432"/>
          </w:tcPr>
          <w:p>
            <w:pPr>
              <w:spacing w:after="40"/>
            </w:pPr>
            <w:r/>
            <w:r>
              <w:rPr>
                <w:sz w:val="16"/>
              </w:rPr>
              <w:t>8</w:t>
            </w:r>
          </w:p>
        </w:tc>
        <w:tc>
          <w:tcPr>
            <w:tcW w:type="dxa" w:w="5616"/>
          </w:tcPr>
          <w:p>
            <w:pPr>
              <w:spacing w:after="40"/>
            </w:pPr>
            <w:r/>
            <w:r>
              <w:rPr>
                <w:sz w:val="16"/>
              </w:rPr>
              <w:t>N/A since the batch + ESO7 restructure (Rev 4) — there is no streaming/CDC delete; the section 1.6 duplicate-key hazard is eliminated (single build path, overwrite write). Was: run the duplicate-key query once streaming.</w:t>
            </w:r>
          </w:p>
        </w:tc>
        <w:tc>
          <w:tcPr>
            <w:tcW w:type="dxa" w:w="1584"/>
          </w:tcPr>
          <w:p>
            <w:pPr>
              <w:spacing w:after="40"/>
            </w:pPr>
            <w:r/>
            <w:r>
              <w:rPr>
                <w:sz w:val="16"/>
              </w:rPr>
              <w:t>Development</w:t>
            </w:r>
          </w:p>
        </w:tc>
        <w:tc>
          <w:tcPr>
            <w:tcW w:type="dxa" w:w="2016"/>
          </w:tcPr>
          <w:p>
            <w:pPr>
              <w:spacing w:after="40"/>
            </w:pPr>
            <w:r/>
            <w:r>
              <w:rPr>
                <w:sz w:val="16"/>
              </w:rPr>
              <w:t>NEW in Rev 2</w:t>
            </w:r>
          </w:p>
        </w:tc>
      </w:tr>
      <w:tr>
        <w:tc>
          <w:tcPr>
            <w:tcW w:type="dxa" w:w="432"/>
          </w:tcPr>
          <w:p>
            <w:pPr>
              <w:spacing w:after="40"/>
            </w:pPr>
            <w:r/>
            <w:r>
              <w:rPr>
                <w:sz w:val="16"/>
              </w:rPr>
              <w:t>9</w:t>
            </w:r>
          </w:p>
        </w:tc>
        <w:tc>
          <w:tcPr>
            <w:tcW w:type="dxa" w:w="5616"/>
          </w:tcPr>
          <w:p>
            <w:pPr>
              <w:spacing w:after="40"/>
            </w:pPr>
            <w:r/>
            <w:r>
              <w:rPr>
                <w:sz w:val="16"/>
              </w:rPr>
              <w:t xml:space="preserve">Set </w:t>
            </w:r>
            <w:r>
              <w:rPr>
                <w:rFonts w:ascii="Consolas" w:hAnsi="Consolas"/>
                <w:sz w:val="15"/>
              </w:rPr>
              <w:t>MANUAL_OVERWRITE = False</w:t>
            </w:r>
            <w:r>
              <w:rPr>
                <w:sz w:val="16"/>
              </w:rPr>
              <w:t xml:space="preserve"> in both ESO4 notebooks (batch — re-run to refresh; no streams to restart).</w:t>
            </w:r>
          </w:p>
        </w:tc>
        <w:tc>
          <w:tcPr>
            <w:tcW w:type="dxa" w:w="1584"/>
          </w:tcPr>
          <w:p>
            <w:pPr>
              <w:spacing w:after="40"/>
            </w:pPr>
            <w:r/>
            <w:r>
              <w:rPr>
                <w:sz w:val="16"/>
              </w:rPr>
              <w:t>User</w:t>
            </w:r>
          </w:p>
        </w:tc>
        <w:tc>
          <w:tcPr>
            <w:tcW w:type="dxa" w:w="2016"/>
          </w:tcPr>
          <w:p>
            <w:pPr>
              <w:spacing w:after="40"/>
            </w:pPr>
            <w:r/>
            <w:r>
              <w:rPr>
                <w:sz w:val="16"/>
              </w:rPr>
              <w:t>Outstanding</w:t>
            </w:r>
          </w:p>
        </w:tc>
      </w:tr>
      <w:tr>
        <w:tc>
          <w:tcPr>
            <w:tcW w:type="dxa" w:w="432"/>
          </w:tcPr>
          <w:p>
            <w:pPr>
              <w:spacing w:after="40"/>
            </w:pPr>
            <w:r/>
            <w:r>
              <w:rPr>
                <w:sz w:val="16"/>
              </w:rPr>
              <w:t>10</w:t>
            </w:r>
          </w:p>
        </w:tc>
        <w:tc>
          <w:tcPr>
            <w:tcW w:type="dxa" w:w="5616"/>
          </w:tcPr>
          <w:p>
            <w:pPr>
              <w:spacing w:after="40"/>
            </w:pPr>
            <w:r/>
            <w:r>
              <w:rPr>
                <w:sz w:val="16"/>
              </w:rPr>
              <w:t>Deploy the semantic model and report; confirm the fact table is genuinely in Direct Lake mode and has not fallen back to DirectQuery.</w:t>
            </w:r>
          </w:p>
        </w:tc>
        <w:tc>
          <w:tcPr>
            <w:tcW w:type="dxa" w:w="1584"/>
          </w:tcPr>
          <w:p>
            <w:pPr>
              <w:spacing w:after="40"/>
            </w:pPr>
            <w:r/>
            <w:r>
              <w:rPr>
                <w:sz w:val="16"/>
              </w:rPr>
              <w:t>Development</w:t>
            </w:r>
          </w:p>
        </w:tc>
        <w:tc>
          <w:tcPr>
            <w:tcW w:type="dxa" w:w="2016"/>
          </w:tcPr>
          <w:p>
            <w:pPr>
              <w:spacing w:after="40"/>
            </w:pPr>
            <w:r/>
            <w:r>
              <w:rPr>
                <w:sz w:val="16"/>
              </w:rPr>
              <w:t>Outstanding</w:t>
            </w:r>
          </w:p>
        </w:tc>
      </w:tr>
      <w:tr>
        <w:tc>
          <w:tcPr>
            <w:tcW w:type="dxa" w:w="432"/>
          </w:tcPr>
          <w:p>
            <w:pPr>
              <w:spacing w:after="40"/>
            </w:pPr>
            <w:r/>
            <w:r>
              <w:rPr>
                <w:sz w:val="16"/>
              </w:rPr>
              <w:t>11</w:t>
            </w:r>
          </w:p>
        </w:tc>
        <w:tc>
          <w:tcPr>
            <w:tcW w:type="dxa" w:w="5616"/>
          </w:tcPr>
          <w:p>
            <w:pPr>
              <w:spacing w:after="40"/>
            </w:pPr>
            <w:r/>
            <w:r>
              <w:rPr>
                <w:sz w:val="16"/>
              </w:rPr>
              <w:t>Reconcile against Hubble in the order given in section 3.1, quantifying each known variance rather than expecting a clean tie.</w:t>
            </w:r>
          </w:p>
        </w:tc>
        <w:tc>
          <w:tcPr>
            <w:tcW w:type="dxa" w:w="1584"/>
          </w:tcPr>
          <w:p>
            <w:pPr>
              <w:spacing w:after="40"/>
            </w:pPr>
            <w:r/>
            <w:r>
              <w:rPr>
                <w:sz w:val="16"/>
              </w:rPr>
              <w:t>Development + Tax</w:t>
            </w:r>
          </w:p>
        </w:tc>
        <w:tc>
          <w:tcPr>
            <w:tcW w:type="dxa" w:w="2016"/>
          </w:tcPr>
          <w:p>
            <w:pPr>
              <w:spacing w:after="40"/>
            </w:pPr>
            <w:r/>
            <w:r>
              <w:rPr>
                <w:sz w:val="16"/>
              </w:rPr>
              <w:t>Outstanding</w:t>
            </w:r>
          </w:p>
        </w:tc>
      </w:tr>
      <w:tr>
        <w:tc>
          <w:tcPr>
            <w:tcW w:type="dxa" w:w="432"/>
          </w:tcPr>
          <w:p>
            <w:pPr>
              <w:spacing w:after="40"/>
            </w:pPr>
            <w:r/>
            <w:r>
              <w:rPr>
                <w:sz w:val="16"/>
              </w:rPr>
              <w:t>12</w:t>
            </w:r>
          </w:p>
        </w:tc>
        <w:tc>
          <w:tcPr>
            <w:tcW w:type="dxa" w:w="5616"/>
          </w:tcPr>
          <w:p>
            <w:pPr>
              <w:spacing w:after="40"/>
            </w:pPr>
            <w:r/>
            <w:r>
              <w:rPr>
                <w:sz w:val="16"/>
              </w:rPr>
              <w:t>Confirm publish and download settings against the tenant.</w:t>
            </w:r>
          </w:p>
        </w:tc>
        <w:tc>
          <w:tcPr>
            <w:tcW w:type="dxa" w:w="1584"/>
          </w:tcPr>
          <w:p>
            <w:pPr>
              <w:spacing w:after="40"/>
            </w:pPr>
            <w:r/>
            <w:r>
              <w:rPr>
                <w:sz w:val="16"/>
              </w:rPr>
              <w:t>User / platform</w:t>
            </w:r>
          </w:p>
        </w:tc>
        <w:tc>
          <w:tcPr>
            <w:tcW w:type="dxa" w:w="2016"/>
          </w:tcPr>
          <w:p>
            <w:pPr>
              <w:spacing w:after="40"/>
            </w:pPr>
            <w:r/>
            <w:r>
              <w:rPr>
                <w:sz w:val="16"/>
              </w:rPr>
              <w:t>Outstanding</w:t>
            </w:r>
          </w:p>
        </w:tc>
      </w:tr>
    </w:tbl>
    <w:p>
      <w:pPr>
        <w:spacing w:after="80"/>
      </w:pPr>
    </w:p>
    <w:p>
      <w:r>
        <w:br w:type="page"/>
      </w:r>
    </w:p>
    <w:p>
      <w:pPr>
        <w:pStyle w:val="Heading1"/>
      </w:pPr>
      <w:r>
        <w:t>Appendix — Findings register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60"/>
          </w:tcPr>
          <w:p>
            <w:r/>
            <w:r>
              <w:rPr>
                <w:b/>
                <w:sz w:val="18"/>
              </w:rPr>
              <w:t>#</w:t>
            </w:r>
          </w:p>
        </w:tc>
        <w:tc>
          <w:tcPr>
            <w:tcW w:type="dxa" w:w="576"/>
          </w:tcPr>
          <w:p>
            <w:r/>
            <w:r>
              <w:rPr>
                <w:b/>
                <w:sz w:val="18"/>
              </w:rPr>
              <w:t>Sev</w:t>
            </w:r>
          </w:p>
        </w:tc>
        <w:tc>
          <w:tcPr>
            <w:tcW w:type="dxa" w:w="3456"/>
          </w:tcPr>
          <w:p>
            <w:r/>
            <w:r>
              <w:rPr>
                <w:b/>
                <w:sz w:val="18"/>
              </w:rPr>
              <w:t>Finding</w:t>
            </w:r>
          </w:p>
        </w:tc>
        <w:tc>
          <w:tcPr>
            <w:tcW w:type="dxa" w:w="3456"/>
          </w:tcPr>
          <w:p>
            <w:r/>
            <w:r>
              <w:rPr>
                <w:b/>
                <w:sz w:val="18"/>
              </w:rPr>
              <w:t>Action taken / required</w:t>
            </w:r>
          </w:p>
        </w:tc>
        <w:tc>
          <w:tcPr>
            <w:tcW w:type="dxa" w:w="1368"/>
          </w:tcPr>
          <w:p>
            <w:r/>
            <w:r>
              <w:rPr>
                <w:b/>
                <w:sz w:val="18"/>
              </w:rPr>
              <w:t>Status</w:t>
            </w:r>
          </w:p>
        </w:tc>
      </w:tr>
      <w:tr>
        <w:tc>
          <w:tcPr>
            <w:tcW w:type="dxa" w:w="360"/>
          </w:tcPr>
          <w:p>
            <w:pPr>
              <w:spacing w:after="40"/>
            </w:pPr>
            <w:r/>
            <w:r>
              <w:rPr>
                <w:sz w:val="15"/>
              </w:rPr>
              <w:t>1</w:t>
            </w:r>
          </w:p>
        </w:tc>
        <w:tc>
          <w:tcPr>
            <w:tcW w:type="dxa" w:w="576"/>
          </w:tcPr>
          <w:p>
            <w:pPr>
              <w:spacing w:after="40"/>
            </w:pPr>
            <w:r/>
            <w:r>
              <w:rPr>
                <w:sz w:val="15"/>
              </w:rPr>
              <w:t>HIGH</w:t>
            </w:r>
          </w:p>
        </w:tc>
        <w:tc>
          <w:tcPr>
            <w:tcW w:type="dxa" w:w="3456"/>
          </w:tcPr>
          <w:p>
            <w:pPr>
              <w:spacing w:after="40"/>
            </w:pPr>
            <w:r/>
            <w:r>
              <w:rPr>
                <w:sz w:val="15"/>
              </w:rPr>
              <w:t>Fact pre-aggregated to one report's GROUP BY grain; F03B11 pay-item PK dropped. Conflicts with the Gold reuse rule.</w:t>
            </w:r>
          </w:p>
        </w:tc>
        <w:tc>
          <w:tcPr>
            <w:tcW w:type="dxa" w:w="3456"/>
          </w:tcPr>
          <w:p>
            <w:pPr>
              <w:spacing w:after="40"/>
            </w:pPr>
            <w:r/>
            <w:r>
              <w:rPr>
                <w:sz w:val="15"/>
              </w:rPr>
              <w:t>Escalate for an explicit ruling. Cheapest to change now — nothing is loaded and nothing consumes it.</w:t>
            </w:r>
          </w:p>
        </w:tc>
        <w:tc>
          <w:tcPr>
            <w:tcW w:type="dxa" w:w="1368"/>
          </w:tcPr>
          <w:p>
            <w:pPr>
              <w:spacing w:after="40"/>
            </w:pPr>
            <w:r/>
            <w:r>
              <w:rPr>
                <w:sz w:val="15"/>
              </w:rPr>
              <w:t>OPEN — blocks Gate 1 sign-off</w:t>
            </w:r>
          </w:p>
        </w:tc>
      </w:tr>
      <w:tr>
        <w:tc>
          <w:tcPr>
            <w:tcW w:type="dxa" w:w="360"/>
          </w:tcPr>
          <w:p>
            <w:pPr>
              <w:spacing w:after="40"/>
            </w:pPr>
            <w:r/>
            <w:r>
              <w:rPr>
                <w:sz w:val="15"/>
              </w:rPr>
              <w:t>2</w:t>
            </w:r>
          </w:p>
        </w:tc>
        <w:tc>
          <w:tcPr>
            <w:tcW w:type="dxa" w:w="576"/>
          </w:tcPr>
          <w:p>
            <w:pPr>
              <w:spacing w:after="40"/>
            </w:pPr>
            <w:r/>
            <w:r>
              <w:rPr>
                <w:sz w:val="15"/>
              </w:rPr>
              <w:t>HIGH</w:t>
            </w:r>
          </w:p>
        </w:tc>
        <w:tc>
          <w:tcPr>
            <w:tcW w:type="dxa" w:w="3456"/>
          </w:tcPr>
          <w:p>
            <w:pPr>
              <w:spacing w:after="40"/>
            </w:pPr>
            <w:r/>
            <w:r>
              <w:rPr>
                <w:sz w:val="15"/>
              </w:rPr>
            </w:r>
            <w:r>
              <w:rPr>
                <w:rFonts w:ascii="Consolas" w:hAnsi="Consolas"/>
                <w:sz w:val="14"/>
              </w:rPr>
              <w:t>Tax Status</w:t>
            </w:r>
            <w:r>
              <w:rPr>
                <w:sz w:val="15"/>
              </w:rPr>
              <w:t xml:space="preserve"> was a DAX calculated column on a Direct Lake table; unsupported.</w:t>
            </w:r>
          </w:p>
        </w:tc>
        <w:tc>
          <w:tcPr>
            <w:tcW w:type="dxa" w:w="3456"/>
          </w:tcPr>
          <w:p>
            <w:pPr>
              <w:spacing w:after="40"/>
            </w:pPr>
            <w:r/>
            <w:r>
              <w:rPr>
                <w:sz w:val="15"/>
              </w:rPr>
              <w:t xml:space="preserve">Made physical: </w:t>
            </w:r>
            <w:r>
              <w:rPr>
                <w:rFonts w:ascii="Consolas" w:hAnsi="Consolas"/>
                <w:sz w:val="14"/>
              </w:rPr>
              <w:t>tax_status</w:t>
            </w:r>
            <w:r>
              <w:rPr>
                <w:sz w:val="15"/>
              </w:rPr>
              <w:t xml:space="preserve"> computed post-aggregate from the summed </w:t>
            </w:r>
            <w:r>
              <w:rPr>
                <w:rFonts w:ascii="Consolas" w:hAnsi="Consolas"/>
                <w:sz w:val="14"/>
              </w:rPr>
              <w:t>tax_amount</w:t>
            </w:r>
            <w:r>
              <w:rPr>
                <w:sz w:val="15"/>
              </w:rPr>
              <w:t xml:space="preserve">; TMDL now a plain </w:t>
            </w:r>
            <w:r>
              <w:rPr>
                <w:rFonts w:ascii="Consolas" w:hAnsi="Consolas"/>
                <w:sz w:val="14"/>
              </w:rPr>
              <w:t>sourceColumn</w:t>
            </w:r>
            <w:r>
              <w:rPr>
                <w:sz w:val="15"/>
              </w:rPr>
              <w:t>. Fact +1 column.</w:t>
            </w:r>
          </w:p>
        </w:tc>
        <w:tc>
          <w:tcPr>
            <w:tcW w:type="dxa" w:w="1368"/>
          </w:tcPr>
          <w:p>
            <w:pPr>
              <w:spacing w:after="40"/>
            </w:pPr>
            <w:r/>
            <w:r>
              <w:rPr>
                <w:sz w:val="15"/>
              </w:rPr>
              <w:t>✔ RESOLVED Rev 2</w:t>
            </w:r>
          </w:p>
        </w:tc>
      </w:tr>
      <w:tr>
        <w:tc>
          <w:tcPr>
            <w:tcW w:type="dxa" w:w="360"/>
          </w:tcPr>
          <w:p>
            <w:pPr>
              <w:spacing w:after="40"/>
            </w:pPr>
            <w:r/>
            <w:r>
              <w:rPr>
                <w:sz w:val="15"/>
              </w:rPr>
              <w:t>3</w:t>
            </w:r>
          </w:p>
        </w:tc>
        <w:tc>
          <w:tcPr>
            <w:tcW w:type="dxa" w:w="576"/>
          </w:tcPr>
          <w:p>
            <w:pPr>
              <w:spacing w:after="40"/>
            </w:pPr>
            <w:r/>
            <w:r>
              <w:rPr>
                <w:sz w:val="15"/>
              </w:rPr>
              <w:t>HIGH</w:t>
            </w:r>
          </w:p>
        </w:tc>
        <w:tc>
          <w:tcPr>
            <w:tcW w:type="dxa" w:w="3456"/>
          </w:tcPr>
          <w:p>
            <w:pPr>
              <w:spacing w:after="40"/>
            </w:pPr>
            <w:r/>
            <w:r>
              <w:rPr>
                <w:sz w:val="15"/>
              </w:rPr>
              <w:t xml:space="preserve">Address collapse used </w:t>
            </w:r>
            <w:r>
              <w:rPr>
                <w:rFonts w:ascii="Consolas" w:hAnsi="Consolas"/>
                <w:sz w:val="14"/>
              </w:rPr>
              <w:t>first()</w:t>
            </w:r>
            <w:r>
              <w:rPr>
                <w:sz w:val="15"/>
              </w:rPr>
              <w:t xml:space="preserve"> with no ordering over effective-dated F0116 — non-deterministic jurisdiction/county/SIC.</w:t>
            </w:r>
          </w:p>
        </w:tc>
        <w:tc>
          <w:tcPr>
            <w:tcW w:type="dxa" w:w="3456"/>
          </w:tcPr>
          <w:p>
            <w:pPr>
              <w:spacing w:after="40"/>
            </w:pPr>
            <w:r/>
            <w:r>
              <w:rPr>
                <w:sz w:val="15"/>
              </w:rPr>
              <w:t xml:space="preserve">Replaced with a </w:t>
            </w:r>
            <w:r>
              <w:rPr>
                <w:rFonts w:ascii="Consolas" w:hAnsi="Consolas"/>
                <w:sz w:val="14"/>
              </w:rPr>
              <w:t>row_number()</w:t>
            </w:r>
            <w:r>
              <w:rPr>
                <w:sz w:val="15"/>
              </w:rPr>
              <w:t xml:space="preserve"> latest-effective window (</w:t>
            </w:r>
            <w:r>
              <w:rPr>
                <w:rFonts w:ascii="Consolas" w:hAnsi="Consolas"/>
                <w:sz w:val="14"/>
              </w:rPr>
              <w:t>date_beginning_effective</w:t>
            </w:r>
            <w:r>
              <w:rPr>
                <w:sz w:val="15"/>
              </w:rPr>
              <w:t xml:space="preserve"> desc, tie-break </w:t>
            </w:r>
            <w:r>
              <w:rPr>
                <w:rFonts w:ascii="Consolas" w:hAnsi="Consolas"/>
                <w:sz w:val="14"/>
              </w:rPr>
              <w:t>date_updated</w:t>
            </w:r>
            <w:r>
              <w:rPr>
                <w:sz w:val="15"/>
              </w:rPr>
              <w:t>), matching the reused dim and ESO1.</w:t>
            </w:r>
          </w:p>
        </w:tc>
        <w:tc>
          <w:tcPr>
            <w:tcW w:type="dxa" w:w="1368"/>
          </w:tcPr>
          <w:p>
            <w:pPr>
              <w:spacing w:after="40"/>
            </w:pPr>
            <w:r/>
            <w:r>
              <w:rPr>
                <w:sz w:val="15"/>
              </w:rPr>
              <w:t>✔ RESOLVED Rev 2</w:t>
            </w:r>
          </w:p>
        </w:tc>
      </w:tr>
      <w:tr>
        <w:tc>
          <w:tcPr>
            <w:tcW w:type="dxa" w:w="360"/>
          </w:tcPr>
          <w:p>
            <w:pPr>
              <w:spacing w:after="40"/>
            </w:pPr>
            <w:r/>
            <w:r>
              <w:rPr>
                <w:sz w:val="15"/>
              </w:rPr>
              <w:t>4</w:t>
            </w:r>
          </w:p>
        </w:tc>
        <w:tc>
          <w:tcPr>
            <w:tcW w:type="dxa" w:w="576"/>
          </w:tcPr>
          <w:p>
            <w:pPr>
              <w:spacing w:after="40"/>
            </w:pPr>
            <w:r/>
            <w:r>
              <w:rPr>
                <w:sz w:val="15"/>
              </w:rPr>
              <w:t>MED</w:t>
            </w:r>
          </w:p>
        </w:tc>
        <w:tc>
          <w:tcPr>
            <w:tcW w:type="dxa" w:w="3456"/>
          </w:tcPr>
          <w:p>
            <w:pPr>
              <w:spacing w:after="40"/>
            </w:pPr>
            <w:r/>
            <w:r>
              <w:rPr>
                <w:sz w:val="15"/>
              </w:rPr>
            </w:r>
            <w:r>
              <w:rPr>
                <w:rFonts w:ascii="Consolas" w:hAnsi="Consolas"/>
                <w:sz w:val="14"/>
              </w:rPr>
              <w:t>invoice_number</w:t>
            </w:r>
            <w:r>
              <w:rPr>
                <w:sz w:val="15"/>
              </w:rPr>
              <w:t xml:space="preserve">, </w:t>
            </w:r>
            <w:r>
              <w:rPr>
                <w:rFonts w:ascii="Consolas" w:hAnsi="Consolas"/>
                <w:sz w:val="14"/>
              </w:rPr>
              <w:t>order_number</w:t>
            </w:r>
            <w:r>
              <w:rPr>
                <w:sz w:val="15"/>
              </w:rPr>
              <w:t xml:space="preserve">, </w:t>
            </w:r>
            <w:r>
              <w:rPr>
                <w:rFonts w:ascii="Consolas" w:hAnsi="Consolas"/>
                <w:sz w:val="14"/>
              </w:rPr>
              <w:t>ship_to</w:t>
            </w:r>
            <w:r>
              <w:rPr>
                <w:sz w:val="15"/>
              </w:rPr>
              <w:t xml:space="preserve">, </w:t>
            </w:r>
            <w:r>
              <w:rPr>
                <w:rFonts w:ascii="Consolas" w:hAnsi="Consolas"/>
                <w:sz w:val="14"/>
              </w:rPr>
              <w:t>sold_to</w:t>
            </w:r>
            <w:r>
              <w:rPr>
                <w:sz w:val="15"/>
              </w:rPr>
              <w:t xml:space="preserve">, </w:t>
            </w:r>
            <w:r>
              <w:rPr>
                <w:rFonts w:ascii="Consolas" w:hAnsi="Consolas"/>
                <w:sz w:val="14"/>
              </w:rPr>
              <w:t>parent_number</w:t>
            </w:r>
            <w:r>
              <w:rPr>
                <w:sz w:val="15"/>
              </w:rPr>
              <w:t xml:space="preserve"> declared int64 but written from Silver decimals with no cast.</w:t>
            </w:r>
          </w:p>
        </w:tc>
        <w:tc>
          <w:tcPr>
            <w:tcW w:type="dxa" w:w="3456"/>
          </w:tcPr>
          <w:p>
            <w:pPr>
              <w:spacing w:after="40"/>
            </w:pPr>
            <w:r/>
            <w:r>
              <w:rPr>
                <w:sz w:val="15"/>
              </w:rPr>
            </w:r>
            <w:r>
              <w:rPr>
                <w:rFonts w:ascii="Consolas" w:hAnsi="Consolas"/>
                <w:sz w:val="14"/>
              </w:rPr>
              <w:t>.cast("long")</w:t>
            </w:r>
            <w:r>
              <w:rPr>
                <w:sz w:val="15"/>
              </w:rPr>
              <w:t xml:space="preserve"> on all five, AND propagated to both stream handlers to keep </w:t>
            </w:r>
            <w:r>
              <w:rPr>
                <w:rFonts w:ascii="Consolas" w:hAnsi="Consolas"/>
                <w:sz w:val="14"/>
              </w:rPr>
              <w:t>document_scope_key</w:t>
            </w:r>
            <w:r>
              <w:rPr>
                <w:sz w:val="15"/>
              </w:rPr>
              <w:t xml:space="preserve"> hashes in lockstep.</w:t>
            </w:r>
          </w:p>
        </w:tc>
        <w:tc>
          <w:tcPr>
            <w:tcW w:type="dxa" w:w="1368"/>
          </w:tcPr>
          <w:p>
            <w:pPr>
              <w:spacing w:after="40"/>
            </w:pPr>
            <w:r/>
            <w:r>
              <w:rPr>
                <w:sz w:val="15"/>
              </w:rPr>
              <w:t>✔ RESOLVED Rev 2</w:t>
            </w:r>
          </w:p>
        </w:tc>
      </w:tr>
      <w:tr>
        <w:tc>
          <w:tcPr>
            <w:tcW w:type="dxa" w:w="360"/>
          </w:tcPr>
          <w:p>
            <w:pPr>
              <w:spacing w:after="40"/>
            </w:pPr>
            <w:r/>
            <w:r>
              <w:rPr>
                <w:sz w:val="15"/>
              </w:rPr>
              <w:t>5</w:t>
            </w:r>
          </w:p>
        </w:tc>
        <w:tc>
          <w:tcPr>
            <w:tcW w:type="dxa" w:w="576"/>
          </w:tcPr>
          <w:p>
            <w:pPr>
              <w:spacing w:after="40"/>
            </w:pPr>
            <w:r/>
            <w:r>
              <w:rPr>
                <w:sz w:val="15"/>
              </w:rPr>
              <w:t>MED</w:t>
            </w:r>
          </w:p>
        </w:tc>
        <w:tc>
          <w:tcPr>
            <w:tcW w:type="dxa" w:w="3456"/>
          </w:tcPr>
          <w:p>
            <w:pPr>
              <w:spacing w:after="40"/>
            </w:pPr>
            <w:r/>
            <w:r>
              <w:rPr>
                <w:sz w:val="15"/>
              </w:rPr>
              <w:t xml:space="preserve">ABAT1 omission is documented as filter-neutral but changes computed </w:t>
            </w:r>
            <w:r>
              <w:rPr>
                <w:rFonts w:ascii="Consolas" w:hAnsi="Consolas"/>
                <w:sz w:val="14"/>
              </w:rPr>
              <w:t>business_stream</w:t>
            </w:r>
            <w:r>
              <w:rPr>
                <w:sz w:val="15"/>
              </w:rPr>
              <w:t>/</w:t>
            </w:r>
            <w:r>
              <w:rPr>
                <w:rFonts w:ascii="Consolas" w:hAnsi="Consolas"/>
                <w:sz w:val="14"/>
              </w:rPr>
              <w:t>jurisdiction</w:t>
            </w:r>
            <w:r>
              <w:rPr>
                <w:sz w:val="15"/>
              </w:rPr>
              <w:t>/</w:t>
            </w:r>
            <w:r>
              <w:rPr>
                <w:rFonts w:ascii="Consolas" w:hAnsi="Consolas"/>
                <w:sz w:val="14"/>
              </w:rPr>
              <w:t>county</w:t>
            </w:r>
            <w:r>
              <w:rPr>
                <w:sz w:val="15"/>
              </w:rPr>
              <w:t>.</w:t>
            </w:r>
          </w:p>
        </w:tc>
        <w:tc>
          <w:tcPr>
            <w:tcW w:type="dxa" w:w="3456"/>
          </w:tcPr>
          <w:p>
            <w:pPr>
              <w:spacing w:after="40"/>
            </w:pPr>
            <w:r/>
            <w:r>
              <w:rPr>
                <w:sz w:val="15"/>
              </w:rPr>
              <w:t>ABAT1 band applied to the F0101 ⋈ F0116 address lookup as a value-qualification (not a fact filter), mirroring ESO5; out-of-band ship-tos blank via the LEFT join. Design doc corrected. Needs MANUAL_OVERWRITE=True reload.</w:t>
            </w:r>
          </w:p>
        </w:tc>
        <w:tc>
          <w:tcPr>
            <w:tcW w:type="dxa" w:w="1368"/>
          </w:tcPr>
          <w:p>
            <w:pPr>
              <w:spacing w:after="40"/>
            </w:pPr>
            <w:r/>
            <w:r>
              <w:rPr>
                <w:sz w:val="15"/>
              </w:rPr>
              <w:t>✔ RESOLVED Rev 3</w:t>
            </w:r>
          </w:p>
        </w:tc>
      </w:tr>
      <w:tr>
        <w:tc>
          <w:tcPr>
            <w:tcW w:type="dxa" w:w="360"/>
          </w:tcPr>
          <w:p>
            <w:pPr>
              <w:spacing w:after="40"/>
            </w:pPr>
            <w:r/>
            <w:r>
              <w:rPr>
                <w:sz w:val="15"/>
              </w:rPr>
              <w:t>6</w:t>
            </w:r>
          </w:p>
        </w:tc>
        <w:tc>
          <w:tcPr>
            <w:tcW w:type="dxa" w:w="576"/>
          </w:tcPr>
          <w:p>
            <w:pPr>
              <w:spacing w:after="40"/>
            </w:pPr>
            <w:r/>
            <w:r>
              <w:rPr>
                <w:sz w:val="15"/>
              </w:rPr>
              <w:t>MED</w:t>
            </w:r>
          </w:p>
        </w:tc>
        <w:tc>
          <w:tcPr>
            <w:tcW w:type="dxa" w:w="3456"/>
          </w:tcPr>
          <w:p>
            <w:pPr>
              <w:spacing w:after="40"/>
            </w:pPr>
            <w:r/>
            <w:r>
              <w:rPr>
                <w:sz w:val="15"/>
              </w:rPr>
              <w:t>Business Stream is computed from unwatched static sources at recompute time, so classification varies with recompute timing.</w:t>
            </w:r>
          </w:p>
        </w:tc>
        <w:tc>
          <w:tcPr>
            <w:tcW w:type="dxa" w:w="3456"/>
          </w:tcPr>
          <w:p>
            <w:pPr>
              <w:spacing w:after="40"/>
            </w:pPr>
            <w:r/>
            <w:r>
              <w:rPr>
                <w:sz w:val="15"/>
              </w:rPr>
              <w:t>Accept and document. Consider a scheduled periodic full reload to bound the window.</w:t>
            </w:r>
          </w:p>
        </w:tc>
        <w:tc>
          <w:tcPr>
            <w:tcW w:type="dxa" w:w="1368"/>
          </w:tcPr>
          <w:p>
            <w:pPr>
              <w:spacing w:after="40"/>
            </w:pPr>
            <w:r/>
            <w:r>
              <w:rPr>
                <w:sz w:val="15"/>
              </w:rPr>
              <w:t>ACCEPTED — document</w:t>
            </w:r>
          </w:p>
        </w:tc>
      </w:tr>
      <w:tr>
        <w:tc>
          <w:tcPr>
            <w:tcW w:type="dxa" w:w="360"/>
          </w:tcPr>
          <w:p>
            <w:pPr>
              <w:spacing w:after="40"/>
            </w:pPr>
            <w:r/>
            <w:r>
              <w:rPr>
                <w:sz w:val="15"/>
              </w:rPr>
              <w:t>7</w:t>
            </w:r>
          </w:p>
        </w:tc>
        <w:tc>
          <w:tcPr>
            <w:tcW w:type="dxa" w:w="576"/>
          </w:tcPr>
          <w:p>
            <w:pPr>
              <w:spacing w:after="40"/>
            </w:pPr>
            <w:r/>
            <w:r>
              <w:rPr>
                <w:sz w:val="15"/>
              </w:rPr>
              <w:t>LOW</w:t>
            </w:r>
          </w:p>
        </w:tc>
        <w:tc>
          <w:tcPr>
            <w:tcW w:type="dxa" w:w="3456"/>
          </w:tcPr>
          <w:p>
            <w:pPr>
              <w:spacing w:after="40"/>
            </w:pPr>
            <w:r/>
            <w:r>
              <w:rPr>
                <w:sz w:val="15"/>
              </w:rPr>
            </w:r>
            <w:r>
              <w:rPr>
                <w:rFonts w:ascii="Consolas" w:hAnsi="Consolas"/>
                <w:sz w:val="14"/>
              </w:rPr>
              <w:t>Tax Lines</w:t>
            </w:r>
            <w:r>
              <w:rPr>
                <w:sz w:val="15"/>
              </w:rPr>
              <w:t xml:space="preserve"> counts grouped display tuples, not tax lines.</w:t>
            </w:r>
          </w:p>
        </w:tc>
        <w:tc>
          <w:tcPr>
            <w:tcW w:type="dxa" w:w="3456"/>
          </w:tcPr>
          <w:p>
            <w:pPr>
              <w:spacing w:after="40"/>
            </w:pPr>
            <w:r/>
            <w:r>
              <w:rPr>
                <w:sz w:val="15"/>
              </w:rPr>
              <w:t>Rename to 'Reporting Lines'. Do not try to count pay items — see Finding 1.</w:t>
            </w:r>
          </w:p>
        </w:tc>
        <w:tc>
          <w:tcPr>
            <w:tcW w:type="dxa" w:w="1368"/>
          </w:tcPr>
          <w:p>
            <w:pPr>
              <w:spacing w:after="40"/>
            </w:pPr>
            <w:r/>
            <w:r>
              <w:rPr>
                <w:sz w:val="15"/>
              </w:rPr>
              <w:t>OPEN — cosmetic</w:t>
            </w:r>
          </w:p>
        </w:tc>
      </w:tr>
    </w:tbl>
    <w:p>
      <w:pPr>
        <w:spacing w:after="80"/>
      </w:pPr>
    </w:p>
    <w:p>
      <w:pPr>
        <w:pStyle w:val="Heading2"/>
      </w:pPr>
      <w:r>
        <w:t>Standing maintenance constraints</w:t>
      </w:r>
    </w:p>
    <w:p>
      <w:r>
        <w:rPr>
          <w:b w:val="0"/>
          <w:i w:val="0"/>
        </w:rPr>
        <w:t>Not findings — properties of the design that a future maintainer must know, or they will break something silently. Recorded here because both are invisible in normal operation.</w:t>
      </w:r>
    </w:p>
    <w:tbl>
      <w:tblPr>
        <w:tblStyle w:val="LightGrid-Accent1"/>
        <w:tblW w:type="auto" w:w="0"/>
        <w:jc w:val="center"/>
        <w:tblLook w:firstColumn="1" w:firstRow="1" w:lastColumn="0" w:lastRow="0" w:noHBand="0" w:noVBand="1" w:val="04A0"/>
      </w:tblPr>
      <w:tblGrid>
        <w:gridCol w:w="4320"/>
        <w:gridCol w:w="4320"/>
      </w:tblGrid>
      <w:tr>
        <w:tc>
          <w:tcPr>
            <w:tcW w:type="dxa" w:w="4608"/>
          </w:tcPr>
          <w:p>
            <w:r/>
            <w:r>
              <w:rPr>
                <w:b/>
                <w:sz w:val="18"/>
              </w:rPr>
              <w:t>Constraint</w:t>
            </w:r>
          </w:p>
        </w:tc>
        <w:tc>
          <w:tcPr>
            <w:tcW w:type="dxa" w:w="5040"/>
          </w:tcPr>
          <w:p>
            <w:r/>
            <w:r>
              <w:rPr>
                <w:b/>
                <w:sz w:val="18"/>
              </w:rPr>
              <w:t>Consequence if violated</w:t>
            </w:r>
          </w:p>
        </w:tc>
      </w:tr>
      <w:tr>
        <w:tc>
          <w:tcPr>
            <w:tcW w:type="dxa" w:w="4608"/>
          </w:tcPr>
          <w:p>
            <w:pPr>
              <w:spacing w:after="40"/>
            </w:pPr>
            <w:r/>
            <w:r>
              <w:rPr>
                <w:sz w:val="17"/>
              </w:rPr>
              <w:t xml:space="preserve">The </w:t>
            </w:r>
            <w:r>
              <w:rPr>
                <w:rFonts w:ascii="Consolas" w:hAnsi="Consolas"/>
                <w:sz w:val="16"/>
              </w:rPr>
              <w:t>invoice_number</w:t>
            </w:r>
            <w:r>
              <w:rPr>
                <w:sz w:val="17"/>
              </w:rPr>
              <w:t xml:space="preserve"> cast must stay identical in </w:t>
            </w:r>
            <w:r>
              <w:rPr>
                <w:rFonts w:ascii="Consolas" w:hAnsi="Consolas"/>
                <w:sz w:val="16"/>
              </w:rPr>
              <w:t>transform_fact</w:t>
            </w:r>
            <w:r>
              <w:rPr>
                <w:sz w:val="17"/>
              </w:rPr>
              <w:t xml:space="preserve"> (line 292) and BOTH stream handlers (lines 439, 458). Same for any column feeding </w:t>
            </w:r>
            <w:r>
              <w:rPr>
                <w:rFonts w:ascii="Consolas" w:hAnsi="Consolas"/>
                <w:sz w:val="16"/>
              </w:rPr>
              <w:t>document_scope_key</w:t>
            </w:r>
            <w:r>
              <w:rPr>
                <w:sz w:val="17"/>
              </w:rPr>
              <w:t>.</w:t>
            </w:r>
          </w:p>
        </w:tc>
        <w:tc>
          <w:tcPr>
            <w:tcW w:type="dxa" w:w="5040"/>
          </w:tcPr>
          <w:p>
            <w:pPr>
              <w:spacing w:after="40"/>
            </w:pPr>
            <w:r/>
            <w:r>
              <w:rPr>
                <w:sz w:val="17"/>
              </w:rPr>
              <w:t>The CDC delete silently matches nothing and every update APPENDS A DUPLICATE. No error is raised; a full load looks perfect. See section 1.6.</w:t>
            </w:r>
          </w:p>
        </w:tc>
      </w:tr>
      <w:tr>
        <w:tc>
          <w:tcPr>
            <w:tcW w:type="dxa" w:w="4608"/>
          </w:tcPr>
          <w:p>
            <w:pPr>
              <w:spacing w:after="40"/>
            </w:pPr>
            <w:r/>
            <w:r>
              <w:rPr>
                <w:sz w:val="17"/>
              </w:rPr>
            </w:r>
            <w:r>
              <w:rPr>
                <w:rFonts w:ascii="Consolas" w:hAnsi="Consolas"/>
                <w:sz w:val="16"/>
              </w:rPr>
              <w:t>tax_status</w:t>
            </w:r>
            <w:r>
              <w:rPr>
                <w:sz w:val="17"/>
              </w:rPr>
              <w:t xml:space="preserve"> must be computed AFTER the </w:t>
            </w:r>
            <w:r>
              <w:rPr>
                <w:rFonts w:ascii="Consolas" w:hAnsi="Consolas"/>
                <w:sz w:val="16"/>
              </w:rPr>
              <w:t>groupBy</w:t>
            </w:r>
            <w:r>
              <w:rPr>
                <w:sz w:val="17"/>
              </w:rPr>
              <w:t xml:space="preserve">, never in </w:t>
            </w:r>
            <w:r>
              <w:rPr>
                <w:rFonts w:ascii="Consolas" w:hAnsi="Consolas"/>
                <w:sz w:val="16"/>
              </w:rPr>
              <w:t>sel</w:t>
            </w:r>
            <w:r>
              <w:rPr>
                <w:sz w:val="17"/>
              </w:rPr>
              <w:t>.</w:t>
            </w:r>
          </w:p>
        </w:tc>
        <w:tc>
          <w:tcPr>
            <w:tcW w:type="dxa" w:w="5040"/>
          </w:tcPr>
          <w:p>
            <w:pPr>
              <w:spacing w:after="40"/>
            </w:pPr>
            <w:r/>
            <w:r>
              <w:rPr>
                <w:sz w:val="17"/>
              </w:rPr>
              <w:t>Pre-aggregation it derives from one pay item and joins the grain, splitting invoices whose pay items differ in sign. See section 1.5.</w:t>
            </w:r>
          </w:p>
        </w:tc>
      </w:tr>
    </w:tbl>
    <w:p>
      <w:pPr>
        <w:spacing w:after="80"/>
      </w:pPr>
    </w:p>
    <w:p>
      <w:pPr>
        <w:pStyle w:val="Heading2"/>
      </w:pPr>
      <w:r>
        <w:t>Open assumptions carried into Gate 2</w:t>
      </w:r>
    </w:p>
    <w:p>
      <w:r>
        <w:rPr>
          <w:b w:val="0"/>
          <w:i w:val="0"/>
        </w:rPr>
        <w:t>These are not findings — they are known unknowns that only data can settle. All were already flagged in the design doc; they are repeated here because each one can cause a Gate 2 reconciliation failure that looks like a bug and is not.</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tcPr>
          <w:p>
            <w:r/>
            <w:r>
              <w:rPr>
                <w:b/>
                <w:sz w:val="18"/>
              </w:rPr>
              <w:t>Assumption</w:t>
            </w:r>
          </w:p>
        </w:tc>
        <w:tc>
          <w:tcPr>
            <w:tcW w:type="dxa" w:w="2160"/>
          </w:tcPr>
          <w:p>
            <w:r/>
            <w:r>
              <w:rPr>
                <w:b/>
                <w:sz w:val="18"/>
              </w:rPr>
              <w:t>Where</w:t>
            </w:r>
          </w:p>
        </w:tc>
        <w:tc>
          <w:tcPr>
            <w:tcW w:type="dxa" w:w="4176"/>
          </w:tcPr>
          <w:p>
            <w:r/>
            <w:r>
              <w:rPr>
                <w:b/>
                <w:sz w:val="18"/>
              </w:rPr>
              <w:t>Symptom if wrong</w:t>
            </w:r>
          </w:p>
        </w:tc>
      </w:tr>
      <w:tr>
        <w:tc>
          <w:tcPr>
            <w:tcW w:type="dxa" w:w="3312"/>
          </w:tcPr>
          <w:p>
            <w:pPr>
              <w:spacing w:after="40"/>
            </w:pPr>
            <w:r/>
            <w:r>
              <w:rPr>
                <w:sz w:val="17"/>
              </w:rPr>
              <w:t>Avalara Code = concat(invoice, doc type, company)</w:t>
            </w:r>
          </w:p>
        </w:tc>
        <w:tc>
          <w:tcPr>
            <w:tcW w:type="dxa" w:w="2160"/>
          </w:tcPr>
          <w:p>
            <w:pPr>
              <w:spacing w:after="40"/>
            </w:pPr>
            <w:r/>
            <w:r>
              <w:rPr>
                <w:sz w:val="17"/>
              </w:rPr>
              <w:t>fact, lines 220–223</w:t>
            </w:r>
          </w:p>
        </w:tc>
        <w:tc>
          <w:tcPr>
            <w:tcW w:type="dxa" w:w="4176"/>
          </w:tcPr>
          <w:p>
            <w:pPr>
              <w:spacing w:after="40"/>
            </w:pPr>
            <w:r/>
            <w:r>
              <w:rPr>
                <w:sz w:val="17"/>
              </w:rPr>
              <w:t>Invoice Count is wrong; amounts unaffected. Tax team reports match failures against Avalara.</w:t>
            </w:r>
          </w:p>
        </w:tc>
      </w:tr>
      <w:tr>
        <w:tc>
          <w:tcPr>
            <w:tcW w:type="dxa" w:w="3312"/>
          </w:tcPr>
          <w:p>
            <w:pPr>
              <w:spacing w:after="40"/>
            </w:pPr>
            <w:r/>
            <w:r>
              <w:rPr>
                <w:sz w:val="17"/>
              </w:rPr>
              <w:t>UDC selectors 01/SC and 00/S</w:t>
            </w:r>
          </w:p>
        </w:tc>
        <w:tc>
          <w:tcPr>
            <w:tcW w:type="dxa" w:w="2160"/>
          </w:tcPr>
          <w:p>
            <w:pPr>
              <w:spacing w:after="40"/>
            </w:pPr>
            <w:r/>
            <w:r>
              <w:rPr>
                <w:sz w:val="17"/>
              </w:rPr>
              <w:t>dim_udc, lines 50–51</w:t>
            </w:r>
          </w:p>
        </w:tc>
        <w:tc>
          <w:tcPr>
            <w:tcW w:type="dxa" w:w="4176"/>
          </w:tcPr>
          <w:p>
            <w:pPr>
              <w:spacing w:after="40"/>
            </w:pPr>
            <w:r/>
            <w:r>
              <w:rPr>
                <w:sz w:val="17"/>
              </w:rPr>
            </w:r>
            <w:r>
              <w:rPr>
                <w:rFonts w:ascii="Consolas" w:hAnsi="Consolas"/>
                <w:sz w:val="16"/>
              </w:rPr>
              <w:t>dim_sic</w:t>
            </w:r>
            <w:r>
              <w:rPr>
                <w:sz w:val="17"/>
              </w:rPr>
              <w:t xml:space="preserve"> and/or </w:t>
            </w:r>
            <w:r>
              <w:rPr>
                <w:rFonts w:ascii="Consolas" w:hAnsi="Consolas"/>
                <w:sz w:val="16"/>
              </w:rPr>
              <w:t>dim_state</w:t>
            </w:r>
            <w:r>
              <w:rPr>
                <w:sz w:val="17"/>
              </w:rPr>
              <w:t xml:space="preserve"> load empty; SIC and state names blank on the report; fails SILENTLY.</w:t>
            </w:r>
          </w:p>
        </w:tc>
      </w:tr>
      <w:tr>
        <w:tc>
          <w:tcPr>
            <w:tcW w:type="dxa" w:w="3312"/>
          </w:tcPr>
          <w:p>
            <w:pPr>
              <w:spacing w:after="40"/>
            </w:pPr>
            <w:r/>
            <w:r>
              <w:rPr>
                <w:sz w:val="17"/>
              </w:rPr>
            </w:r>
            <w:r>
              <w:rPr>
                <w:rFonts w:ascii="Consolas" w:hAnsi="Consolas"/>
                <w:sz w:val="16"/>
              </w:rPr>
              <w:t>SHIFT_FACTOR = 1.0</w:t>
            </w:r>
            <w:r>
              <w:rPr>
                <w:sz w:val="17"/>
              </w:rPr>
            </w:r>
          </w:p>
        </w:tc>
        <w:tc>
          <w:tcPr>
            <w:tcW w:type="dxa" w:w="2160"/>
          </w:tcPr>
          <w:p>
            <w:pPr>
              <w:spacing w:after="40"/>
            </w:pPr>
            <w:r/>
            <w:r>
              <w:rPr>
                <w:sz w:val="17"/>
              </w:rPr>
              <w:t>fact, line 67</w:t>
            </w:r>
          </w:p>
        </w:tc>
        <w:tc>
          <w:tcPr>
            <w:tcW w:type="dxa" w:w="4176"/>
          </w:tcPr>
          <w:p>
            <w:pPr>
              <w:spacing w:after="40"/>
            </w:pPr>
            <w:r/>
            <w:r>
              <w:rPr>
                <w:sz w:val="17"/>
              </w:rPr>
              <w:t>Every amount out by exactly 100×. Unmistakable.</w:t>
            </w:r>
          </w:p>
        </w:tc>
      </w:tr>
      <w:tr>
        <w:tc>
          <w:tcPr>
            <w:tcW w:type="dxa" w:w="3312"/>
          </w:tcPr>
          <w:p>
            <w:pPr>
              <w:spacing w:after="40"/>
            </w:pPr>
            <w:r/>
            <w:r>
              <w:rPr>
                <w:sz w:val="17"/>
              </w:rPr>
              <w:t>Ship-to / sold-to labelling (SDAN8 → sold_to, SDSHAN → ship_to)</w:t>
            </w:r>
          </w:p>
        </w:tc>
        <w:tc>
          <w:tcPr>
            <w:tcW w:type="dxa" w:w="2160"/>
          </w:tcPr>
          <w:p>
            <w:pPr>
              <w:spacing w:after="40"/>
            </w:pPr>
            <w:r/>
            <w:r>
              <w:rPr>
                <w:sz w:val="17"/>
              </w:rPr>
              <w:t>fact, lines 244–245</w:t>
            </w:r>
          </w:p>
        </w:tc>
        <w:tc>
          <w:tcPr>
            <w:tcW w:type="dxa" w:w="4176"/>
          </w:tcPr>
          <w:p>
            <w:pPr>
              <w:spacing w:after="40"/>
            </w:pPr>
            <w:r/>
            <w:r>
              <w:rPr>
                <w:sz w:val="17"/>
              </w:rPr>
              <w:t>The two customer columns are transposed throughout. Flips the labels used in the requirements document — docs were aligned to the code deliberately, so confirm with the tax team.</w:t>
            </w:r>
          </w:p>
        </w:tc>
      </w:tr>
    </w:tbl>
    <w:p>
      <w:pPr>
        <w:spacing w:after="80"/>
      </w:pPr>
    </w:p>
    <w:p>
      <w:r>
        <w:br w:type="page"/>
      </w:r>
    </w:p>
    <w:p>
      <w:pPr>
        <w:pStyle w:val="Heading2"/>
      </w:pPr>
      <w:r>
        <w:t>Review basis</w:t>
      </w:r>
    </w:p>
    <w:p>
      <w:r>
        <w:rPr>
          <w:b w:val="0"/>
          <w:i w:val="0"/>
        </w:rPr>
        <w:t>This review was produced by static examination of the following artifacts. No query was executed against Fabric, and no figure in this document has been validated against data.</w:t>
      </w:r>
    </w:p>
    <w:p>
      <w:r>
        <w:rPr>
          <w:b w:val="0"/>
          <w:i w:val="0"/>
        </w:rPr>
        <w:t>For Revision 2, the amended fact notebook and TMDL were re-read in full and the fixes re-verified independently rather than assumed from the change description: the notebook was compiled, the `FACT_BUSINESS_COLS` and TMDL `sourceColumn` sets were extracted and compared programmatically (26 each, no difference), `tax_status` was confirmed absent from `FACT_GROUP_BY_COLS`, the three `invoice_number` cast sites were confirmed consistent, and every table TMDL was searched to confirm no DAX calculated column remains.</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sz w:val="18"/>
              </w:rPr>
              <w:t>Artifact</w:t>
            </w:r>
          </w:p>
        </w:tc>
        <w:tc>
          <w:tcPr>
            <w:tcW w:type="dxa" w:w="5904"/>
          </w:tcPr>
          <w:p>
            <w:r/>
            <w:r>
              <w:rPr>
                <w:b/>
                <w:sz w:val="18"/>
              </w:rPr>
              <w:t>What was checked</w:t>
            </w:r>
          </w:p>
        </w:tc>
      </w:tr>
      <w:tr>
        <w:tc>
          <w:tcPr>
            <w:tcW w:type="dxa" w:w="3744"/>
          </w:tcPr>
          <w:p>
            <w:pPr>
              <w:spacing w:after="40"/>
            </w:pPr>
            <w:r/>
            <w:r>
              <w:rPr>
                <w:sz w:val="17"/>
              </w:rPr>
            </w:r>
            <w:r>
              <w:rPr>
                <w:rFonts w:ascii="Consolas" w:hAnsi="Consolas"/>
                <w:sz w:val="16"/>
              </w:rPr>
              <w:t>eso4/nb/nb_eso4_gold_fact_sales_tax_reconciliation.py</w:t>
            </w:r>
            <w:r>
              <w:rPr>
                <w:sz w:val="17"/>
              </w:rPr>
            </w:r>
          </w:p>
        </w:tc>
        <w:tc>
          <w:tcPr>
            <w:tcW w:type="dxa" w:w="5904"/>
          </w:tcPr>
          <w:p>
            <w:pPr>
              <w:spacing w:after="40"/>
            </w:pPr>
            <w:r/>
            <w:r>
              <w:rPr>
                <w:sz w:val="17"/>
              </w:rPr>
              <w:t xml:space="preserve">Read in full (474 lines at Rev 1; 512 at Rev 2). Every </w:t>
            </w:r>
            <w:r>
              <w:rPr>
                <w:rFonts w:ascii="Consolas" w:hAnsi="Consolas"/>
                <w:sz w:val="16"/>
              </w:rPr>
              <w:t>.where</w:t>
            </w:r>
            <w:r>
              <w:rPr>
                <w:sz w:val="17"/>
              </w:rPr>
              <w:t xml:space="preserve">, </w:t>
            </w:r>
            <w:r>
              <w:rPr>
                <w:rFonts w:ascii="Consolas" w:hAnsi="Consolas"/>
                <w:sz w:val="16"/>
              </w:rPr>
              <w:t>.filter</w:t>
            </w:r>
            <w:r>
              <w:rPr>
                <w:sz w:val="17"/>
              </w:rPr>
              <w:t xml:space="preserve"> and join condition traced; every stored column's cast checked against the TMDL.</w:t>
            </w:r>
          </w:p>
        </w:tc>
      </w:tr>
      <w:tr>
        <w:tc>
          <w:tcPr>
            <w:tcW w:type="dxa" w:w="3744"/>
          </w:tcPr>
          <w:p>
            <w:pPr>
              <w:spacing w:after="40"/>
            </w:pPr>
            <w:r/>
            <w:r>
              <w:rPr>
                <w:sz w:val="17"/>
              </w:rPr>
            </w:r>
            <w:r>
              <w:rPr>
                <w:rFonts w:ascii="Consolas" w:hAnsi="Consolas"/>
                <w:sz w:val="16"/>
              </w:rPr>
              <w:t>eso4/nb/nb_eso4_gold_dim_udc.py</w:t>
            </w:r>
            <w:r>
              <w:rPr>
                <w:sz w:val="17"/>
              </w:rPr>
            </w:r>
          </w:p>
        </w:tc>
        <w:tc>
          <w:tcPr>
            <w:tcW w:type="dxa" w:w="5904"/>
          </w:tcPr>
          <w:p>
            <w:pPr>
              <w:spacing w:after="40"/>
            </w:pPr>
            <w:r/>
            <w:r>
              <w:rPr>
                <w:sz w:val="17"/>
              </w:rPr>
              <w:t xml:space="preserve">Read in full (251 lines). (In the v1.4 dim swap </w:t>
            </w:r>
            <w:r>
              <w:rPr>
                <w:rFonts w:ascii="Consolas" w:hAnsi="Consolas"/>
                <w:sz w:val="16"/>
              </w:rPr>
              <w:t>plant</w:t>
            </w:r>
            <w:r>
              <w:rPr>
                <w:sz w:val="17"/>
              </w:rPr>
              <w:t xml:space="preserve"> now relates to the reused </w:t>
            </w:r>
            <w:r>
              <w:rPr>
                <w:rFonts w:ascii="Consolas" w:hAnsi="Consolas"/>
                <w:sz w:val="16"/>
              </w:rPr>
              <w:t>rpt.dim_plant</w:t>
            </w:r>
            <w:r>
              <w:rPr>
                <w:sz w:val="17"/>
              </w:rPr>
              <w:t xml:space="preserve">; </w:t>
            </w:r>
            <w:r>
              <w:rPr>
                <w:rFonts w:ascii="Consolas" w:hAnsi="Consolas"/>
                <w:sz w:val="16"/>
              </w:rPr>
              <w:t>dim_business_unit.tmdl</w:t>
            </w:r>
            <w:r>
              <w:rPr>
                <w:sz w:val="17"/>
              </w:rPr>
              <w:t xml:space="preserve"> was removed and </w:t>
            </w:r>
            <w:r>
              <w:rPr>
                <w:rFonts w:ascii="Consolas" w:hAnsi="Consolas"/>
                <w:sz w:val="16"/>
              </w:rPr>
              <w:t>nb_eso4_gold_dim_business_unit.py</w:t>
            </w:r>
            <w:r>
              <w:rPr>
                <w:sz w:val="17"/>
              </w:rPr>
              <w:t xml:space="preserve"> was deleted — ESO5, its last consumer, was migrated to </w:t>
            </w:r>
            <w:r>
              <w:rPr>
                <w:rFonts w:ascii="Consolas" w:hAnsi="Consolas"/>
                <w:sz w:val="16"/>
              </w:rPr>
              <w:t>dim_plant</w:t>
            </w:r>
            <w:r>
              <w:rPr>
                <w:sz w:val="17"/>
              </w:rPr>
              <w:t xml:space="preserve"> too.)</w:t>
            </w:r>
          </w:p>
        </w:tc>
      </w:tr>
      <w:tr>
        <w:tc>
          <w:tcPr>
            <w:tcW w:type="dxa" w:w="3744"/>
          </w:tcPr>
          <w:p>
            <w:pPr>
              <w:spacing w:after="40"/>
            </w:pPr>
            <w:r/>
            <w:r>
              <w:rPr>
                <w:sz w:val="17"/>
              </w:rPr>
            </w:r>
            <w:r>
              <w:rPr>
                <w:rFonts w:ascii="Consolas" w:hAnsi="Consolas"/>
                <w:sz w:val="16"/>
              </w:rPr>
              <w:t>eso4/report/sales_tax_reconciliation.SemanticModel</w:t>
            </w:r>
            <w:r>
              <w:rPr>
                <w:sz w:val="17"/>
              </w:rPr>
            </w:r>
          </w:p>
        </w:tc>
        <w:tc>
          <w:tcPr>
            <w:tcW w:type="dxa" w:w="5904"/>
          </w:tcPr>
          <w:p>
            <w:pPr>
              <w:spacing w:after="40"/>
            </w:pPr>
            <w:r/>
            <w:r>
              <w:rPr>
                <w:sz w:val="17"/>
              </w:rPr>
              <w:t xml:space="preserve">All 7 table TMDLs (incl. the reused </w:t>
            </w:r>
            <w:r>
              <w:rPr>
                <w:rFonts w:ascii="Consolas" w:hAnsi="Consolas"/>
                <w:sz w:val="16"/>
              </w:rPr>
              <w:t>dim_plant</w:t>
            </w:r>
            <w:r>
              <w:rPr>
                <w:sz w:val="17"/>
              </w:rPr>
              <w:t xml:space="preserve">), </w:t>
            </w:r>
            <w:r>
              <w:rPr>
                <w:rFonts w:ascii="Consolas" w:hAnsi="Consolas"/>
                <w:sz w:val="16"/>
              </w:rPr>
              <w:t>relationships.tmdl</w:t>
            </w:r>
            <w:r>
              <w:rPr>
                <w:sz w:val="17"/>
              </w:rPr>
              <w:t>, all 7 measures, all partition modes.</w:t>
            </w:r>
          </w:p>
        </w:tc>
      </w:tr>
      <w:tr>
        <w:tc>
          <w:tcPr>
            <w:tcW w:type="dxa" w:w="3744"/>
          </w:tcPr>
          <w:p>
            <w:pPr>
              <w:spacing w:after="40"/>
            </w:pPr>
            <w:r/>
            <w:r>
              <w:rPr>
                <w:sz w:val="17"/>
              </w:rPr>
            </w:r>
            <w:r>
              <w:rPr>
                <w:rFonts w:ascii="Consolas" w:hAnsi="Consolas"/>
                <w:sz w:val="16"/>
              </w:rPr>
              <w:t>eso4/report/ESO4_Sales_Tax_Reconciliation.Report</w:t>
            </w:r>
            <w:r>
              <w:rPr>
                <w:sz w:val="17"/>
              </w:rPr>
            </w:r>
          </w:p>
        </w:tc>
        <w:tc>
          <w:tcPr>
            <w:tcW w:type="dxa" w:w="5904"/>
          </w:tcPr>
          <w:p>
            <w:pPr>
              <w:spacing w:after="40"/>
            </w:pPr>
            <w:r/>
            <w:r>
              <w:rPr>
                <w:sz w:val="17"/>
              </w:rPr>
              <w:t>All 17 visual definitions across 3 pages; every field reference extracted and resolved against the TMDL.</w:t>
            </w:r>
          </w:p>
        </w:tc>
      </w:tr>
      <w:tr>
        <w:tc>
          <w:tcPr>
            <w:tcW w:type="dxa" w:w="3744"/>
          </w:tcPr>
          <w:p>
            <w:pPr>
              <w:spacing w:after="40"/>
            </w:pPr>
            <w:r/>
            <w:r>
              <w:rPr>
                <w:sz w:val="17"/>
              </w:rPr>
            </w:r>
            <w:r>
              <w:rPr>
                <w:rFonts w:ascii="Consolas" w:hAnsi="Consolas"/>
                <w:sz w:val="16"/>
              </w:rPr>
              <w:t>eso4/hubble query.txt</w:t>
            </w:r>
            <w:r>
              <w:rPr>
                <w:sz w:val="17"/>
              </w:rPr>
              <w:t xml:space="preserve"> and the TX002 Reconciliation Version SQL</w:t>
            </w:r>
          </w:p>
        </w:tc>
        <w:tc>
          <w:tcPr>
            <w:tcW w:type="dxa" w:w="5904"/>
          </w:tcPr>
          <w:p>
            <w:pPr>
              <w:spacing w:after="40"/>
            </w:pPr>
            <w:r/>
            <w:r>
              <w:rPr>
                <w:sz w:val="17"/>
              </w:rPr>
              <w:t>Both read in full and diffed; every predicate classified as filter or calculation.</w:t>
            </w:r>
          </w:p>
        </w:tc>
      </w:tr>
      <w:tr>
        <w:tc>
          <w:tcPr>
            <w:tcW w:type="dxa" w:w="3744"/>
          </w:tcPr>
          <w:p>
            <w:pPr>
              <w:spacing w:after="40"/>
            </w:pPr>
            <w:r/>
            <w:r>
              <w:rPr>
                <w:sz w:val="17"/>
              </w:rPr>
            </w:r>
            <w:r>
              <w:rPr>
                <w:rFonts w:ascii="Consolas" w:hAnsi="Consolas"/>
                <w:sz w:val="16"/>
              </w:rPr>
              <w:t>eso4/converted_tables_21.json</w:t>
            </w:r>
            <w:r>
              <w:rPr>
                <w:sz w:val="17"/>
              </w:rPr>
            </w:r>
          </w:p>
        </w:tc>
        <w:tc>
          <w:tcPr>
            <w:tcW w:type="dxa" w:w="5904"/>
          </w:tcPr>
          <w:p>
            <w:pPr>
              <w:spacing w:after="40"/>
            </w:pPr>
            <w:r/>
            <w:r>
              <w:rPr>
                <w:sz w:val="17"/>
              </w:rPr>
              <w:t>All 6 tables' column metadata; used to confirm Silver names and F0116's effective dating.</w:t>
            </w:r>
          </w:p>
        </w:tc>
      </w:tr>
      <w:tr>
        <w:tc>
          <w:tcPr>
            <w:tcW w:type="dxa" w:w="3744"/>
          </w:tcPr>
          <w:p>
            <w:pPr>
              <w:spacing w:after="40"/>
            </w:pPr>
            <w:r/>
            <w:r>
              <w:rPr>
                <w:sz w:val="17"/>
              </w:rPr>
            </w:r>
            <w:r>
              <w:rPr>
                <w:rFonts w:ascii="Consolas" w:hAnsi="Consolas"/>
                <w:sz w:val="16"/>
              </w:rPr>
              <w:t>eso4/docs/</w:t>
            </w:r>
            <w:r>
              <w:rPr>
                <w:sz w:val="17"/>
              </w:rPr>
              <w:t xml:space="preserve"> — design, field mapping, semantic model docs</w:t>
            </w:r>
          </w:p>
        </w:tc>
        <w:tc>
          <w:tcPr>
            <w:tcW w:type="dxa" w:w="5904"/>
          </w:tcPr>
          <w:p>
            <w:pPr>
              <w:spacing w:after="40"/>
            </w:pPr>
            <w:r/>
            <w:r>
              <w:rPr>
                <w:sz w:val="17"/>
              </w:rPr>
              <w:t>Read; cross-checked against the code for divergence.</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4546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