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ESO4 — Sales Tax Reconciliation</w:t>
      </w:r>
    </w:p>
    <w:p>
      <w:pPr>
        <w:jc w:val="center"/>
      </w:pPr>
      <w:r>
        <w:rPr>
          <w:color w:val="2E5496"/>
          <w:sz w:val="34"/>
        </w:rPr>
        <w:t>Gold-Layer Notebook Code Walkthrough</w:t>
      </w:r>
    </w:p>
    <w:p>
      <w:pPr>
        <w:jc w:val="center"/>
      </w:pPr>
      <w:r>
        <w:rPr>
          <w:i/>
          <w:sz w:val="24"/>
        </w:rPr>
        <w:t>A line-by-line guide for developers new to the project</w:t>
      </w:r>
    </w:p>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18"/>
              </w:rPr>
            </w:r>
          </w:p>
        </w:tc>
        <w:tc>
          <w:tcPr>
            <w:tcW w:type="dxa" w:w="7488"/>
          </w:tcPr>
          <w:p>
            <w:r/>
            <w:r>
              <w:rPr>
                <w:b/>
                <w:sz w:val="18"/>
              </w:rPr>
            </w:r>
          </w:p>
        </w:tc>
      </w:tr>
      <w:tr>
        <w:tc>
          <w:tcPr>
            <w:tcW w:type="dxa" w:w="2160"/>
          </w:tcPr>
          <w:p>
            <w:pPr>
              <w:spacing w:after="40"/>
            </w:pPr>
            <w:r/>
            <w:r>
              <w:rPr>
                <w:sz w:val="17"/>
              </w:rPr>
              <w:t>Project</w:t>
            </w:r>
          </w:p>
        </w:tc>
        <w:tc>
          <w:tcPr>
            <w:tcW w:type="dxa" w:w="7488"/>
          </w:tcPr>
          <w:p>
            <w:pPr>
              <w:spacing w:after="40"/>
            </w:pPr>
            <w:r/>
            <w:r>
              <w:rPr>
                <w:sz w:val="17"/>
              </w:rPr>
              <w:t>US Silica — JDE on Microsoft Fabric</w:t>
            </w:r>
          </w:p>
        </w:tc>
      </w:tr>
      <w:tr>
        <w:tc>
          <w:tcPr>
            <w:tcW w:type="dxa" w:w="2160"/>
          </w:tcPr>
          <w:p>
            <w:pPr>
              <w:spacing w:after="40"/>
            </w:pPr>
            <w:r/>
            <w:r>
              <w:rPr>
                <w:sz w:val="17"/>
              </w:rPr>
              <w:t>Report</w:t>
            </w:r>
          </w:p>
        </w:tc>
        <w:tc>
          <w:tcPr>
            <w:tcW w:type="dxa" w:w="7488"/>
          </w:tcPr>
          <w:p>
            <w:pPr>
              <w:spacing w:after="40"/>
            </w:pPr>
            <w:r/>
            <w:r>
              <w:rPr>
                <w:sz w:val="17"/>
              </w:rPr>
              <w:t>ESO4 — Sales Tax with Business Stream Summary (Avalara reconciliation); mirrors Hubble TX002</w:t>
            </w:r>
          </w:p>
        </w:tc>
      </w:tr>
      <w:tr>
        <w:tc>
          <w:tcPr>
            <w:tcW w:type="dxa" w:w="2160"/>
          </w:tcPr>
          <w:p>
            <w:pPr>
              <w:spacing w:after="40"/>
            </w:pPr>
            <w:r/>
            <w:r>
              <w:rPr>
                <w:sz w:val="17"/>
              </w:rPr>
              <w:t>Notebooks covered</w:t>
            </w:r>
          </w:p>
        </w:tc>
        <w:tc>
          <w:tcPr>
            <w:tcW w:type="dxa" w:w="7488"/>
          </w:tcPr>
          <w:p>
            <w:pPr>
              <w:spacing w:after="40"/>
            </w:pPr>
            <w:r/>
            <w:r>
              <w:rPr>
                <w:sz w:val="17"/>
              </w:rPr>
            </w:r>
            <w:r>
              <w:rPr>
                <w:rFonts w:ascii="Consolas" w:hAnsi="Consolas"/>
                <w:sz w:val="16"/>
              </w:rPr>
              <w:t>nb_eso4_gold_fact_sales_tax_reconciliation.py</w:t>
            </w:r>
            <w:r>
              <w:rPr>
                <w:sz w:val="17"/>
              </w:rPr>
              <w:br/>
            </w:r>
            <w:r>
              <w:rPr>
                <w:rFonts w:ascii="Consolas" w:hAnsi="Consolas"/>
                <w:sz w:val="16"/>
              </w:rPr>
              <w:t>nb_eso4_gold_dim_business_unit.py</w:t>
            </w:r>
            <w:r>
              <w:rPr>
                <w:sz w:val="17"/>
              </w:rPr>
              <w:br/>
            </w:r>
            <w:r>
              <w:rPr>
                <w:rFonts w:ascii="Consolas" w:hAnsi="Consolas"/>
                <w:sz w:val="16"/>
              </w:rPr>
              <w:t>nb_eso4_gold_dim_udc.py</w:t>
            </w:r>
            <w:r>
              <w:rPr>
                <w:sz w:val="17"/>
              </w:rPr>
            </w:r>
          </w:p>
        </w:tc>
      </w:tr>
      <w:tr>
        <w:tc>
          <w:tcPr>
            <w:tcW w:type="dxa" w:w="2160"/>
          </w:tcPr>
          <w:p>
            <w:pPr>
              <w:spacing w:after="40"/>
            </w:pPr>
            <w:r/>
            <w:r>
              <w:rPr>
                <w:sz w:val="17"/>
              </w:rPr>
              <w:t>Gold target schema</w:t>
            </w:r>
          </w:p>
        </w:tc>
        <w:tc>
          <w:tcPr>
            <w:tcW w:type="dxa" w:w="7488"/>
          </w:tcPr>
          <w:p>
            <w:pPr>
              <w:spacing w:after="40"/>
            </w:pPr>
            <w:r/>
            <w:r>
              <w:rPr>
                <w:sz w:val="17"/>
              </w:rPr>
            </w:r>
            <w:r>
              <w:rPr>
                <w:rFonts w:ascii="Consolas" w:hAnsi="Consolas"/>
                <w:sz w:val="16"/>
              </w:rPr>
              <w:t>lh_jde_gold.rpt</w:t>
            </w:r>
            <w:r>
              <w:rPr>
                <w:sz w:val="17"/>
              </w:rPr>
            </w:r>
          </w:p>
        </w:tc>
      </w:tr>
      <w:tr>
        <w:tc>
          <w:tcPr>
            <w:tcW w:type="dxa" w:w="2160"/>
          </w:tcPr>
          <w:p>
            <w:pPr>
              <w:spacing w:after="40"/>
            </w:pPr>
            <w:r/>
            <w:r>
              <w:rPr>
                <w:sz w:val="17"/>
              </w:rPr>
              <w:t>Silver source</w:t>
            </w:r>
          </w:p>
        </w:tc>
        <w:tc>
          <w:tcPr>
            <w:tcW w:type="dxa" w:w="7488"/>
          </w:tcPr>
          <w:p>
            <w:pPr>
              <w:spacing w:after="40"/>
            </w:pPr>
            <w:r/>
            <w:r>
              <w:rPr>
                <w:sz w:val="17"/>
              </w:rPr>
            </w:r>
            <w:r>
              <w:rPr>
                <w:rFonts w:ascii="Consolas" w:hAnsi="Consolas"/>
                <w:sz w:val="16"/>
              </w:rPr>
              <w:t>lh_jde_silver.jde_cdc</w:t>
            </w:r>
            <w:r>
              <w:rPr>
                <w:sz w:val="17"/>
              </w:rPr>
            </w:r>
          </w:p>
        </w:tc>
      </w:tr>
      <w:tr>
        <w:tc>
          <w:tcPr>
            <w:tcW w:type="dxa" w:w="2160"/>
          </w:tcPr>
          <w:p>
            <w:pPr>
              <w:spacing w:after="40"/>
            </w:pPr>
            <w:r/>
            <w:r>
              <w:rPr>
                <w:sz w:val="17"/>
              </w:rPr>
              <w:t>Companion documents</w:t>
            </w:r>
          </w:p>
        </w:tc>
        <w:tc>
          <w:tcPr>
            <w:tcW w:type="dxa" w:w="7488"/>
          </w:tcPr>
          <w:p>
            <w:pPr>
              <w:spacing w:after="40"/>
            </w:pPr>
            <w:r/>
            <w:r>
              <w:rPr>
                <w:sz w:val="17"/>
              </w:rPr>
            </w:r>
            <w:r>
              <w:rPr>
                <w:rFonts w:ascii="Consolas" w:hAnsi="Consolas"/>
                <w:sz w:val="16"/>
              </w:rPr>
              <w:t>eso4/docs/ESO4_gold_layer_design.md</w:t>
            </w:r>
            <w:r>
              <w:rPr>
                <w:sz w:val="17"/>
              </w:rPr>
              <w:br/>
            </w:r>
            <w:r>
              <w:rPr>
                <w:rFonts w:ascii="Consolas" w:hAnsi="Consolas"/>
                <w:sz w:val="16"/>
              </w:rPr>
              <w:t>eso4/docs/ESO4_hubble_field_mapping.md</w:t>
            </w:r>
            <w:r>
              <w:rPr>
                <w:sz w:val="17"/>
              </w:rPr>
              <w:br/>
            </w:r>
            <w:r>
              <w:rPr>
                <w:rFonts w:ascii="Consolas" w:hAnsi="Consolas"/>
                <w:sz w:val="16"/>
              </w:rPr>
              <w:t>eso4/docs/ESO4_semantic_model_relationships_measures.md</w:t>
            </w:r>
            <w:r>
              <w:rPr>
                <w:sz w:val="17"/>
              </w:rPr>
            </w:r>
          </w:p>
        </w:tc>
      </w:tr>
      <w:tr>
        <w:tc>
          <w:tcPr>
            <w:tcW w:type="dxa" w:w="2160"/>
          </w:tcPr>
          <w:p>
            <w:pPr>
              <w:spacing w:after="40"/>
            </w:pPr>
            <w:r/>
            <w:r>
              <w:rPr>
                <w:sz w:val="17"/>
              </w:rPr>
              <w:t>Audience</w:t>
            </w:r>
          </w:p>
        </w:tc>
        <w:tc>
          <w:tcPr>
            <w:tcW w:type="dxa" w:w="7488"/>
          </w:tcPr>
          <w:p>
            <w:pPr>
              <w:spacing w:after="40"/>
            </w:pPr>
            <w:r/>
            <w:r>
              <w:rPr>
                <w:sz w:val="17"/>
              </w:rPr>
              <w:t>Developers new to PySpark, Delta Lake, and the JD Edwards data model</w:t>
            </w:r>
          </w:p>
        </w:tc>
      </w:tr>
    </w:tbl>
    <w:p>
      <w:pPr>
        <w:spacing w:after="80"/>
      </w:pPr>
    </w:p>
    <w:p/>
    <w:p>
      <w:pPr>
        <w:spacing w:before="120" w:after="160"/>
        <w:ind w:left="144"/>
        <w:shd w:val="clear" w:fill="EAF1FB"/>
        <w:pBdr>
          <w:top w:val="single" w:sz="4" w:space="4" w:color="E8C48A"/>
          <w:left w:val="single" w:sz="4" w:space="4" w:color="E8C48A"/>
          <w:bottom w:val="single" w:sz="4" w:space="4" w:color="E8C48A"/>
          <w:right w:val="single" w:sz="4" w:space="4" w:color="E8C48A"/>
        </w:pBdr>
      </w:pPr>
      <w:r>
        <w:rPr>
          <w:b/>
          <w:sz w:val="20"/>
        </w:rPr>
        <w:t xml:space="preserve">How to read this document.  </w:t>
      </w:r>
      <w:r>
        <w:rPr>
          <w:sz w:val="20"/>
        </w:rPr>
        <w:t>Every code listing below is copied directly out of the real .py file, in source order, with the file's own line numbers noted above it. Each listing is followed by a plain-English walkthrough and a summary box giving the block's purpose, its input, its output, the business rule it implements (where there is one), and how it fits the wider pipeline. You do not need to read Part 2 to Part 4 in order — but you should read Part 1 first, because every notebook repeats the same five-stage skeleton, and Part 1 explains that skeleton once.</w:t>
      </w:r>
    </w:p>
    <w:p>
      <w:r>
        <w:br w:type="page"/>
      </w:r>
    </w:p>
    <w:p>
      <w:pPr>
        <w:pStyle w:val="Heading1"/>
      </w:pPr>
      <w:r>
        <w:t>Part 0 — Concepts you need before reading the code</w:t>
      </w:r>
    </w:p>
    <w:p>
      <w:r>
        <w:rPr>
          <w:b w:val="0"/>
          <w:i w:val="0"/>
          <w:sz w:val="21"/>
        </w:rPr>
        <w:t>If you have never worked on this platform, five ideas explain almost everything in these notebooks. Read this part once; the rest of the document assumes it.</w:t>
      </w:r>
    </w:p>
    <w:p>
      <w:pPr>
        <w:pStyle w:val="Heading2"/>
      </w:pPr>
      <w:r>
        <w:t>0.1  The medallion architecture — Bronze, Silver, Gold</w:t>
      </w:r>
    </w:p>
    <w:p>
      <w:r>
        <w:rPr>
          <w:b w:val="0"/>
          <w:i w:val="0"/>
          <w:sz w:val="21"/>
        </w:rPr>
        <w:t>Data arrives from JD Edwards (JDE), the ERP system US Silica runs its business on, and lands in a Microsoft Fabric lakehouse in three successive layers. Each layer is a set of Delta tables, and each one is cleaner than the last:</w:t>
      </w:r>
    </w:p>
    <w:p>
      <w:pPr>
        <w:pStyle w:val="ListBullet"/>
        <w:spacing w:after="60"/>
        <w:ind w:left="360"/>
      </w:pPr>
      <w:r>
        <w:t>Bronze — the raw landing zone. Change events stream out of JDE via Debezium and Event Hub and are written down exactly as they arrive, warts and all.</w:t>
      </w:r>
    </w:p>
    <w:p>
      <w:pPr>
        <w:pStyle w:val="ListBullet"/>
        <w:spacing w:after="60"/>
        <w:ind w:left="360"/>
      </w:pPr>
      <w:r>
        <w:t>Silver — decoded and conformed. This is where JDE's storage quirks are undone: dates are converted from JDE's Julian integers into real dates, and 'implied decimal' numbers (JDE stores $118.43 as the integer 11843) are divided back down into real decimals. Column names are translated from JDE's cryptic aliases into snake_case. Our notebooks read Silver, never Bronze.</w:t>
      </w:r>
    </w:p>
    <w:p>
      <w:pPr>
        <w:pStyle w:val="ListBullet"/>
        <w:spacing w:after="60"/>
        <w:ind w:left="360"/>
      </w:pPr>
      <w:r>
        <w:t>Gold — the reporting layer. Business logic applied, shaped into a star schema, and served to Power BI. This is what our three notebooks write.</w:t>
      </w:r>
    </w:p>
    <w:p>
      <w:pPr>
        <w:spacing w:before="120" w:after="160"/>
        <w:ind w:left="144"/>
        <w:shd w:val="clear" w:fill="FDECEA"/>
        <w:pBdr>
          <w:top w:val="single" w:sz="4" w:space="4" w:color="E8C48A"/>
          <w:left w:val="single" w:sz="4" w:space="4" w:color="E8C48A"/>
          <w:bottom w:val="single" w:sz="4" w:space="4" w:color="E8C48A"/>
          <w:right w:val="single" w:sz="4" w:space="4" w:color="E8C48A"/>
        </w:pBdr>
      </w:pPr>
      <w:r>
        <w:rPr>
          <w:b/>
          <w:sz w:val="20"/>
        </w:rPr>
        <w:t xml:space="preserve">Why this matters for the code.  </w:t>
      </w:r>
      <w:r>
        <w:rPr>
          <w:sz w:val="20"/>
        </w:rPr>
        <w:t>Because Silver is already decoded, the notebooks do NOT re-scale numbers or re-convert dates. You will see a constant called SHIFT_FACTOR set to 1.0 in the fact notebook — the original Hubble report multiplied every amount by 0.01 to undo JDE's implied decimals, but our Silver layer has already done that, so multiplying again would divide every dollar figure by a hundred. The constant is kept at 1.0, and carried onto the fact as a column, purely so the lineage is visible.</w:t>
      </w:r>
    </w:p>
    <w:p>
      <w:pPr>
        <w:pStyle w:val="Heading2"/>
      </w:pPr>
      <w:r>
        <w:t>0.2  The star schema — facts and dimensions</w:t>
      </w:r>
    </w:p>
    <w:p>
      <w:r>
        <w:rPr>
          <w:b w:val="0"/>
          <w:i w:val="0"/>
          <w:sz w:val="21"/>
        </w:rPr>
        <w:t>A star schema splits the reporting data into two kinds of table.</w:t>
      </w:r>
    </w:p>
    <w:p>
      <w:r>
        <w:rPr>
          <w:b w:val="0"/>
          <w:i w:val="0"/>
          <w:sz w:val="21"/>
        </w:rPr>
        <w:t>A fact table holds the events you measure and the numbers you add up. Ours is fact_sales_tax_reconciliation: one row per invoice tax line, carrying four dollar amounts (taxable, non-taxable, tax, gross).</w:t>
      </w:r>
    </w:p>
    <w:p>
      <w:r>
        <w:rPr>
          <w:b w:val="0"/>
          <w:i w:val="0"/>
          <w:sz w:val="21"/>
        </w:rPr>
        <w:t>A dimension table holds the descriptive attributes you slice and filter by. Ours are dim_business_unit (which plant?), dim_sic (what industry is this customer in?), and dim_state (what does the state code 'CO' actually mean?). We also reuse dimensions another team already built — the address dimensions in lh_jde_gold.rpt.</w:t>
      </w:r>
    </w:p>
    <w:p>
      <w:r>
        <w:rPr>
          <w:b w:val="0"/>
          <w:i w:val="0"/>
          <w:sz w:val="21"/>
        </w:rPr>
        <w:t>The fact stores only short foreign-key codes — plant, sic_code, jurisdiction. The readable text that goes with each code lives once in its dimension. Power BI joins them back together at query time. This is why the fact notebook does not read F0005 at all: SIC and state descriptions are somebody else's job, namely the dim_udc notebook.</w:t>
      </w:r>
    </w:p>
    <w:p>
      <w:pPr>
        <w:spacing w:before="120" w:after="160"/>
        <w:ind w:left="144"/>
        <w:shd w:val="clear" w:fill="EAF1FB"/>
        <w:pBdr>
          <w:top w:val="single" w:sz="4" w:space="4" w:color="E8C48A"/>
          <w:left w:val="single" w:sz="4" w:space="4" w:color="E8C48A"/>
          <w:bottom w:val="single" w:sz="4" w:space="4" w:color="E8C48A"/>
          <w:right w:val="single" w:sz="4" w:space="4" w:color="E8C48A"/>
        </w:pBdr>
      </w:pPr>
      <w:r>
        <w:rPr>
          <w:b/>
          <w:sz w:val="20"/>
        </w:rPr>
        <w:t xml:space="preserve">The rule to remember.  </w:t>
      </w:r>
      <w:r>
        <w:rPr>
          <w:sz w:val="20"/>
        </w:rPr>
        <w:t>Codes on the fact; descriptions in the dimension. If you ever find yourself about to add a '…_description' column to the fact, stop — it belongs in a dimension. The one exception here is county, which lives on the fact as a degenerate attribute simply because no dimension exists for it.</w:t>
      </w:r>
    </w:p>
    <w:p>
      <w:pPr>
        <w:pStyle w:val="Heading2"/>
      </w:pPr>
      <w:r>
        <w:t>0.3  JDE table and column names</w:t>
      </w:r>
    </w:p>
    <w:p>
      <w:r>
        <w:rPr>
          <w:b w:val="0"/>
          <w:i w:val="0"/>
          <w:sz w:val="21"/>
        </w:rPr>
        <w:t>JDE names everything cryptically, and the notebooks are full of these names in comments because they are how you trace a column back to the source system and back to the original Hubble report. The tables ESO4 touches: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r/>
            <w:r>
              <w:rPr>
                <w:b/>
                <w:sz w:val="18"/>
              </w:rPr>
              <w:t>JDE table</w:t>
            </w:r>
          </w:p>
        </w:tc>
        <w:tc>
          <w:tcPr>
            <w:tcW w:type="dxa" w:w="3600"/>
          </w:tcPr>
          <w:p>
            <w:r/>
            <w:r>
              <w:rPr>
                <w:b/>
                <w:sz w:val="18"/>
              </w:rPr>
              <w:t>What it holds</w:t>
            </w:r>
          </w:p>
        </w:tc>
        <w:tc>
          <w:tcPr>
            <w:tcW w:type="dxa" w:w="2880"/>
          </w:tcPr>
          <w:p>
            <w:r/>
            <w:r>
              <w:rPr>
                <w:b/>
                <w:sz w:val="18"/>
              </w:rPr>
              <w:t>Silver table name</w:t>
            </w:r>
          </w:p>
        </w:tc>
        <w:tc>
          <w:tcPr>
            <w:tcW w:type="dxa" w:w="2016"/>
          </w:tcPr>
          <w:p>
            <w:r/>
            <w:r>
              <w:rPr>
                <w:b/>
                <w:sz w:val="18"/>
              </w:rPr>
              <w:t>Used by</w:t>
            </w:r>
          </w:p>
        </w:tc>
      </w:tr>
      <w:tr>
        <w:tc>
          <w:tcPr>
            <w:tcW w:type="dxa" w:w="1152"/>
          </w:tcPr>
          <w:p>
            <w:pPr>
              <w:spacing w:after="40"/>
            </w:pPr>
            <w:r/>
            <w:r>
              <w:rPr>
                <w:sz w:val="17"/>
              </w:rPr>
              <w:t>F4211</w:t>
            </w:r>
          </w:p>
        </w:tc>
        <w:tc>
          <w:tcPr>
            <w:tcW w:type="dxa" w:w="3600"/>
          </w:tcPr>
          <w:p>
            <w:pPr>
              <w:spacing w:after="40"/>
            </w:pPr>
            <w:r/>
            <w:r>
              <w:rPr>
                <w:sz w:val="17"/>
              </w:rPr>
              <w:t>Sales order detail — one row per order line</w:t>
            </w:r>
          </w:p>
        </w:tc>
        <w:tc>
          <w:tcPr>
            <w:tcW w:type="dxa" w:w="2880"/>
          </w:tcPr>
          <w:p>
            <w:pPr>
              <w:spacing w:after="40"/>
            </w:pPr>
            <w:r/>
            <w:r>
              <w:rPr>
                <w:sz w:val="17"/>
              </w:rPr>
            </w:r>
            <w:r>
              <w:rPr>
                <w:rFonts w:ascii="Consolas" w:hAnsi="Consolas"/>
                <w:sz w:val="16"/>
              </w:rPr>
              <w:t>f4211_sales_order_detail_file</w:t>
            </w:r>
            <w:r>
              <w:rPr>
                <w:sz w:val="17"/>
              </w:rPr>
            </w:r>
          </w:p>
        </w:tc>
        <w:tc>
          <w:tcPr>
            <w:tcW w:type="dxa" w:w="2016"/>
          </w:tcPr>
          <w:p>
            <w:pPr>
              <w:spacing w:after="40"/>
            </w:pPr>
            <w:r/>
            <w:r>
              <w:rPr>
                <w:sz w:val="17"/>
              </w:rPr>
              <w:t>fact (streamed)</w:t>
            </w:r>
          </w:p>
        </w:tc>
      </w:tr>
      <w:tr>
        <w:tc>
          <w:tcPr>
            <w:tcW w:type="dxa" w:w="1152"/>
          </w:tcPr>
          <w:p>
            <w:pPr>
              <w:spacing w:after="40"/>
            </w:pPr>
            <w:r/>
            <w:r>
              <w:rPr>
                <w:sz w:val="17"/>
              </w:rPr>
              <w:t>F03B11</w:t>
            </w:r>
          </w:p>
        </w:tc>
        <w:tc>
          <w:tcPr>
            <w:tcW w:type="dxa" w:w="3600"/>
          </w:tcPr>
          <w:p>
            <w:pPr>
              <w:spacing w:after="40"/>
            </w:pPr>
            <w:r/>
            <w:r>
              <w:rPr>
                <w:sz w:val="17"/>
              </w:rPr>
              <w:t>Customer ledger — the invoice/AR side, with the tax amounts</w:t>
            </w:r>
          </w:p>
        </w:tc>
        <w:tc>
          <w:tcPr>
            <w:tcW w:type="dxa" w:w="2880"/>
          </w:tcPr>
          <w:p>
            <w:pPr>
              <w:spacing w:after="40"/>
            </w:pPr>
            <w:r/>
            <w:r>
              <w:rPr>
                <w:sz w:val="17"/>
              </w:rPr>
            </w:r>
            <w:r>
              <w:rPr>
                <w:rFonts w:ascii="Consolas" w:hAnsi="Consolas"/>
                <w:sz w:val="16"/>
              </w:rPr>
              <w:t>f03b11_customer_ledger</w:t>
            </w:r>
            <w:r>
              <w:rPr>
                <w:sz w:val="17"/>
              </w:rPr>
            </w:r>
          </w:p>
        </w:tc>
        <w:tc>
          <w:tcPr>
            <w:tcW w:type="dxa" w:w="2016"/>
          </w:tcPr>
          <w:p>
            <w:pPr>
              <w:spacing w:after="40"/>
            </w:pPr>
            <w:r/>
            <w:r>
              <w:rPr>
                <w:sz w:val="17"/>
              </w:rPr>
              <w:t>fact (streamed)</w:t>
            </w:r>
          </w:p>
        </w:tc>
      </w:tr>
      <w:tr>
        <w:tc>
          <w:tcPr>
            <w:tcW w:type="dxa" w:w="1152"/>
          </w:tcPr>
          <w:p>
            <w:pPr>
              <w:spacing w:after="40"/>
            </w:pPr>
            <w:r/>
            <w:r>
              <w:rPr>
                <w:sz w:val="17"/>
              </w:rPr>
              <w:t>F0006</w:t>
            </w:r>
          </w:p>
        </w:tc>
        <w:tc>
          <w:tcPr>
            <w:tcW w:type="dxa" w:w="3600"/>
          </w:tcPr>
          <w:p>
            <w:pPr>
              <w:spacing w:after="40"/>
            </w:pPr>
            <w:r/>
            <w:r>
              <w:rPr>
                <w:sz w:val="17"/>
              </w:rPr>
              <w:t>Business unit master — plants and their attributes</w:t>
            </w:r>
          </w:p>
        </w:tc>
        <w:tc>
          <w:tcPr>
            <w:tcW w:type="dxa" w:w="2880"/>
          </w:tcPr>
          <w:p>
            <w:pPr>
              <w:spacing w:after="40"/>
            </w:pPr>
            <w:r/>
            <w:r>
              <w:rPr>
                <w:sz w:val="17"/>
              </w:rPr>
            </w:r>
            <w:r>
              <w:rPr>
                <w:rFonts w:ascii="Consolas" w:hAnsi="Consolas"/>
                <w:sz w:val="16"/>
              </w:rPr>
              <w:t>f0006_business_unit_master</w:t>
            </w:r>
            <w:r>
              <w:rPr>
                <w:sz w:val="17"/>
              </w:rPr>
            </w:r>
          </w:p>
        </w:tc>
        <w:tc>
          <w:tcPr>
            <w:tcW w:type="dxa" w:w="2016"/>
          </w:tcPr>
          <w:p>
            <w:pPr>
              <w:spacing w:after="40"/>
            </w:pPr>
            <w:r/>
            <w:r>
              <w:rPr>
                <w:sz w:val="17"/>
              </w:rPr>
              <w:t>fact (static), dim_business_unit (streamed)</w:t>
            </w:r>
          </w:p>
        </w:tc>
      </w:tr>
      <w:tr>
        <w:tc>
          <w:tcPr>
            <w:tcW w:type="dxa" w:w="1152"/>
          </w:tcPr>
          <w:p>
            <w:pPr>
              <w:spacing w:after="40"/>
            </w:pPr>
            <w:r/>
            <w:r>
              <w:rPr>
                <w:sz w:val="17"/>
              </w:rPr>
              <w:t>F0101</w:t>
            </w:r>
          </w:p>
        </w:tc>
        <w:tc>
          <w:tcPr>
            <w:tcW w:type="dxa" w:w="3600"/>
          </w:tcPr>
          <w:p>
            <w:pPr>
              <w:spacing w:after="40"/>
            </w:pPr>
            <w:r/>
            <w:r>
              <w:rPr>
                <w:sz w:val="17"/>
              </w:rPr>
              <w:t>Address book master — customers, carriers, everyone</w:t>
            </w:r>
          </w:p>
        </w:tc>
        <w:tc>
          <w:tcPr>
            <w:tcW w:type="dxa" w:w="2880"/>
          </w:tcPr>
          <w:p>
            <w:pPr>
              <w:spacing w:after="40"/>
            </w:pPr>
            <w:r/>
            <w:r>
              <w:rPr>
                <w:sz w:val="17"/>
              </w:rPr>
            </w:r>
            <w:r>
              <w:rPr>
                <w:rFonts w:ascii="Consolas" w:hAnsi="Consolas"/>
                <w:sz w:val="16"/>
              </w:rPr>
              <w:t>f0101_address_book_master</w:t>
            </w:r>
            <w:r>
              <w:rPr>
                <w:sz w:val="17"/>
              </w:rPr>
            </w:r>
          </w:p>
        </w:tc>
        <w:tc>
          <w:tcPr>
            <w:tcW w:type="dxa" w:w="2016"/>
          </w:tcPr>
          <w:p>
            <w:pPr>
              <w:spacing w:after="40"/>
            </w:pPr>
            <w:r/>
            <w:r>
              <w:rPr>
                <w:sz w:val="17"/>
              </w:rPr>
              <w:t>fact (static)</w:t>
            </w:r>
          </w:p>
        </w:tc>
      </w:tr>
      <w:tr>
        <w:tc>
          <w:tcPr>
            <w:tcW w:type="dxa" w:w="1152"/>
          </w:tcPr>
          <w:p>
            <w:pPr>
              <w:spacing w:after="40"/>
            </w:pPr>
            <w:r/>
            <w:r>
              <w:rPr>
                <w:sz w:val="17"/>
              </w:rPr>
              <w:t>F0116</w:t>
            </w:r>
          </w:p>
        </w:tc>
        <w:tc>
          <w:tcPr>
            <w:tcW w:type="dxa" w:w="3600"/>
          </w:tcPr>
          <w:p>
            <w:pPr>
              <w:spacing w:after="40"/>
            </w:pPr>
            <w:r/>
            <w:r>
              <w:rPr>
                <w:sz w:val="17"/>
              </w:rPr>
              <w:t>Address by date — the effective-dated address rows</w:t>
            </w:r>
          </w:p>
        </w:tc>
        <w:tc>
          <w:tcPr>
            <w:tcW w:type="dxa" w:w="2880"/>
          </w:tcPr>
          <w:p>
            <w:pPr>
              <w:spacing w:after="40"/>
            </w:pPr>
            <w:r/>
            <w:r>
              <w:rPr>
                <w:sz w:val="17"/>
              </w:rPr>
            </w:r>
            <w:r>
              <w:rPr>
                <w:rFonts w:ascii="Consolas" w:hAnsi="Consolas"/>
                <w:sz w:val="16"/>
              </w:rPr>
              <w:t>f0116_address_by_date</w:t>
            </w:r>
            <w:r>
              <w:rPr>
                <w:sz w:val="17"/>
              </w:rPr>
            </w:r>
          </w:p>
        </w:tc>
        <w:tc>
          <w:tcPr>
            <w:tcW w:type="dxa" w:w="2016"/>
          </w:tcPr>
          <w:p>
            <w:pPr>
              <w:spacing w:after="40"/>
            </w:pPr>
            <w:r/>
            <w:r>
              <w:rPr>
                <w:sz w:val="17"/>
              </w:rPr>
              <w:t>fact (static)</w:t>
            </w:r>
          </w:p>
        </w:tc>
      </w:tr>
      <w:tr>
        <w:tc>
          <w:tcPr>
            <w:tcW w:type="dxa" w:w="1152"/>
          </w:tcPr>
          <w:p>
            <w:pPr>
              <w:spacing w:after="40"/>
            </w:pPr>
            <w:r/>
            <w:r>
              <w:rPr>
                <w:sz w:val="17"/>
              </w:rPr>
              <w:t>F0005</w:t>
            </w:r>
          </w:p>
        </w:tc>
        <w:tc>
          <w:tcPr>
            <w:tcW w:type="dxa" w:w="3600"/>
          </w:tcPr>
          <w:p>
            <w:pPr>
              <w:spacing w:after="40"/>
            </w:pPr>
            <w:r/>
            <w:r>
              <w:rPr>
                <w:sz w:val="17"/>
              </w:rPr>
              <w:t>User-defined codes — JDE's universal lookup table</w:t>
            </w:r>
          </w:p>
        </w:tc>
        <w:tc>
          <w:tcPr>
            <w:tcW w:type="dxa" w:w="2880"/>
          </w:tcPr>
          <w:p>
            <w:pPr>
              <w:spacing w:after="40"/>
            </w:pPr>
            <w:r/>
            <w:r>
              <w:rPr>
                <w:sz w:val="17"/>
              </w:rPr>
            </w:r>
            <w:r>
              <w:rPr>
                <w:rFonts w:ascii="Consolas" w:hAnsi="Consolas"/>
                <w:sz w:val="16"/>
              </w:rPr>
              <w:t>f0005_user_defined_code_values</w:t>
            </w:r>
            <w:r>
              <w:rPr>
                <w:sz w:val="17"/>
              </w:rPr>
            </w:r>
          </w:p>
        </w:tc>
        <w:tc>
          <w:tcPr>
            <w:tcW w:type="dxa" w:w="2016"/>
          </w:tcPr>
          <w:p>
            <w:pPr>
              <w:spacing w:after="40"/>
            </w:pPr>
            <w:r/>
            <w:r>
              <w:rPr>
                <w:sz w:val="17"/>
              </w:rPr>
              <w:t>dim_udc (streamed)</w:t>
            </w:r>
          </w:p>
        </w:tc>
      </w:tr>
    </w:tbl>
    <w:p>
      <w:pPr>
        <w:spacing w:after="80"/>
      </w:pPr>
    </w:p>
    <w:p>
      <w:r>
        <w:rPr>
          <w:b w:val="0"/>
          <w:i w:val="0"/>
          <w:sz w:val="21"/>
        </w:rPr>
        <w:t>Column aliases follow a pattern: a two-letter table prefix plus a mnemonic. SDDOC is F4211's (SD) document number (DOC). RPATXA is F03B11's (RP) taxable amount. MCRP20 is F0006's (MC) category code 20. You will see these throughout the comments.</w:t>
      </w:r>
    </w:p>
    <w:p>
      <w:pPr>
        <w:spacing w:before="120" w:after="160"/>
        <w:ind w:left="144"/>
        <w:shd w:val="clear" w:fill="FDECEA"/>
        <w:pBdr>
          <w:top w:val="single" w:sz="4" w:space="4" w:color="E8C48A"/>
          <w:left w:val="single" w:sz="4" w:space="4" w:color="E8C48A"/>
          <w:bottom w:val="single" w:sz="4" w:space="4" w:color="E8C48A"/>
          <w:right w:val="single" w:sz="4" w:space="4" w:color="E8C48A"/>
        </w:pBdr>
      </w:pPr>
      <w:r>
        <w:rPr>
          <w:b/>
          <w:sz w:val="20"/>
        </w:rPr>
        <w:t xml:space="preserve">Never guess a Silver column name.  </w:t>
      </w:r>
      <w:r>
        <w:rPr>
          <w:sz w:val="20"/>
        </w:rPr>
        <w:t>The JDE-alias-to-snake_case translation is NOT literal or predictable. SDDOC becomes doc_voucher_invoice_e, not sd_doc. MCRP20 becomes category_code_cost_ct_020. ABSIC becomes standard_industry_code. The authoritative map for ESO4 is eso4/converted_tables_21.json — look the alias up there rather than inventing a name that will not exist at runtime.</w:t>
      </w:r>
    </w:p>
    <w:p>
      <w:pPr>
        <w:pStyle w:val="Heading2"/>
      </w:pPr>
      <w:r>
        <w:t>0.4  Delta Lake and the Change Data Feed (CDF)</w:t>
      </w:r>
    </w:p>
    <w:p>
      <w:r>
        <w:rPr>
          <w:b w:val="0"/>
          <w:i w:val="0"/>
          <w:sz w:val="21"/>
        </w:rPr>
        <w:t>Every table in the lakehouse is a Delta table. Delta gives us two things these notebooks depend on:</w:t>
      </w:r>
    </w:p>
    <w:p>
      <w:r>
        <w:rPr>
          <w:b w:val="0"/>
          <w:i w:val="0"/>
          <w:sz w:val="21"/>
        </w:rPr>
        <w:t>Versions. Every write creates a new numbered version of the table. You can ask a table what version it is currently on — that is what the current_version() helper does — and you can read it as of a past version.</w:t>
      </w:r>
    </w:p>
    <w:p>
      <w:r>
        <w:rPr>
          <w:b w:val="0"/>
          <w:i w:val="0"/>
          <w:sz w:val="21"/>
        </w:rPr>
        <w:t>The Change Data Feed. If a table has the property delta.enableChangeDataFeed = true, Delta records not just the new state but a log of what changed: every inserted, updated, and deleted row. Reading that log gives you three extra columns:</w:t>
      </w:r>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18"/>
              </w:rPr>
              <w:t>Column</w:t>
            </w:r>
          </w:p>
        </w:tc>
        <w:tc>
          <w:tcPr>
            <w:tcW w:type="dxa" w:w="7488"/>
          </w:tcPr>
          <w:p>
            <w:r/>
            <w:r>
              <w:rPr>
                <w:b/>
                <w:sz w:val="18"/>
              </w:rPr>
              <w:t>Meaning</w:t>
            </w:r>
          </w:p>
        </w:tc>
      </w:tr>
      <w:tr>
        <w:tc>
          <w:tcPr>
            <w:tcW w:type="dxa" w:w="2160"/>
          </w:tcPr>
          <w:p>
            <w:pPr>
              <w:spacing w:after="40"/>
            </w:pPr>
            <w:r/>
            <w:r>
              <w:rPr>
                <w:sz w:val="17"/>
              </w:rPr>
            </w:r>
            <w:r>
              <w:rPr>
                <w:rFonts w:ascii="Consolas" w:hAnsi="Consolas"/>
                <w:sz w:val="16"/>
              </w:rPr>
              <w:t>_change_type</w:t>
            </w:r>
            <w:r>
              <w:rPr>
                <w:sz w:val="17"/>
              </w:rPr>
            </w:r>
          </w:p>
        </w:tc>
        <w:tc>
          <w:tcPr>
            <w:tcW w:type="dxa" w:w="7488"/>
          </w:tcPr>
          <w:p>
            <w:pPr>
              <w:spacing w:after="40"/>
            </w:pPr>
            <w:r/>
            <w:r>
              <w:rPr>
                <w:sz w:val="17"/>
              </w:rPr>
              <w:t xml:space="preserve">One of </w:t>
            </w:r>
            <w:r>
              <w:rPr>
                <w:rFonts w:ascii="Consolas" w:hAnsi="Consolas"/>
                <w:sz w:val="16"/>
              </w:rPr>
              <w:t>insert</w:t>
            </w:r>
            <w:r>
              <w:rPr>
                <w:sz w:val="17"/>
              </w:rPr>
              <w:t xml:space="preserve">, </w:t>
            </w:r>
            <w:r>
              <w:rPr>
                <w:rFonts w:ascii="Consolas" w:hAnsi="Consolas"/>
                <w:sz w:val="16"/>
              </w:rPr>
              <w:t>update_preimage</w:t>
            </w:r>
            <w:r>
              <w:rPr>
                <w:sz w:val="17"/>
              </w:rPr>
              <w:t xml:space="preserve">, </w:t>
            </w:r>
            <w:r>
              <w:rPr>
                <w:rFonts w:ascii="Consolas" w:hAnsi="Consolas"/>
                <w:sz w:val="16"/>
              </w:rPr>
              <w:t>update_postimage</w:t>
            </w:r>
            <w:r>
              <w:rPr>
                <w:sz w:val="17"/>
              </w:rPr>
              <w:t xml:space="preserve">, </w:t>
            </w:r>
            <w:r>
              <w:rPr>
                <w:rFonts w:ascii="Consolas" w:hAnsi="Consolas"/>
                <w:sz w:val="16"/>
              </w:rPr>
              <w:t>delete</w:t>
            </w:r>
            <w:r>
              <w:rPr>
                <w:sz w:val="17"/>
              </w:rPr>
              <w:t>. The pre-image is the row as it looked before an update; we ignore those and use only the post-image.</w:t>
            </w:r>
          </w:p>
        </w:tc>
      </w:tr>
      <w:tr>
        <w:tc>
          <w:tcPr>
            <w:tcW w:type="dxa" w:w="2160"/>
          </w:tcPr>
          <w:p>
            <w:pPr>
              <w:spacing w:after="40"/>
            </w:pPr>
            <w:r/>
            <w:r>
              <w:rPr>
                <w:sz w:val="17"/>
              </w:rPr>
            </w:r>
            <w:r>
              <w:rPr>
                <w:rFonts w:ascii="Consolas" w:hAnsi="Consolas"/>
                <w:sz w:val="16"/>
              </w:rPr>
              <w:t>_commit_version</w:t>
            </w:r>
            <w:r>
              <w:rPr>
                <w:sz w:val="17"/>
              </w:rPr>
            </w:r>
          </w:p>
        </w:tc>
        <w:tc>
          <w:tcPr>
            <w:tcW w:type="dxa" w:w="7488"/>
          </w:tcPr>
          <w:p>
            <w:pPr>
              <w:spacing w:after="40"/>
            </w:pPr>
            <w:r/>
            <w:r>
              <w:rPr>
                <w:sz w:val="17"/>
              </w:rPr>
              <w:t>The table version this change was committed in. Used to tell seed data apart from genuinely new changes.</w:t>
            </w:r>
          </w:p>
        </w:tc>
      </w:tr>
      <w:tr>
        <w:tc>
          <w:tcPr>
            <w:tcW w:type="dxa" w:w="2160"/>
          </w:tcPr>
          <w:p>
            <w:pPr>
              <w:spacing w:after="40"/>
            </w:pPr>
            <w:r/>
            <w:r>
              <w:rPr>
                <w:sz w:val="17"/>
              </w:rPr>
            </w:r>
            <w:r>
              <w:rPr>
                <w:rFonts w:ascii="Consolas" w:hAnsi="Consolas"/>
                <w:sz w:val="16"/>
              </w:rPr>
              <w:t>_commit_timestamp</w:t>
            </w:r>
            <w:r>
              <w:rPr>
                <w:sz w:val="17"/>
              </w:rPr>
            </w:r>
          </w:p>
        </w:tc>
        <w:tc>
          <w:tcPr>
            <w:tcW w:type="dxa" w:w="7488"/>
          </w:tcPr>
          <w:p>
            <w:pPr>
              <w:spacing w:after="40"/>
            </w:pPr>
            <w:r/>
            <w:r>
              <w:rPr>
                <w:sz w:val="17"/>
              </w:rPr>
              <w:t>When it was committed.</w:t>
            </w:r>
          </w:p>
        </w:tc>
      </w:tr>
    </w:tbl>
    <w:p>
      <w:pPr>
        <w:spacing w:after="80"/>
      </w:pPr>
    </w:p>
    <w:p>
      <w:pPr>
        <w:spacing w:before="120" w:after="160"/>
        <w:ind w:left="144"/>
        <w:shd w:val="clear" w:fill="FDECEA"/>
        <w:pBdr>
          <w:top w:val="single" w:sz="4" w:space="4" w:color="E8C48A"/>
          <w:left w:val="single" w:sz="4" w:space="4" w:color="E8C48A"/>
          <w:bottom w:val="single" w:sz="4" w:space="4" w:color="E8C48A"/>
          <w:right w:val="single" w:sz="4" w:space="4" w:color="E8C48A"/>
        </w:pBdr>
      </w:pPr>
      <w:r>
        <w:rPr>
          <w:b/>
          <w:sz w:val="20"/>
        </w:rPr>
        <w:t xml:space="preserve">A hard prerequisite.  </w:t>
      </w:r>
      <w:r>
        <w:rPr>
          <w:sz w:val="20"/>
        </w:rPr>
        <w:t>CDF must be switched on for a source table BEFORE the notebook first reads it. If you try to read the change feed from a version that predates CDF being enabled, Delta raises DELTA_MISSING_CHANGE_DATA — the change log for that version simply does not exist and cannot be reconstructed. Several pieces of defensive code in these notebooks exist purely to avoid that error.</w:t>
      </w:r>
    </w:p>
    <w:p>
      <w:pPr>
        <w:pStyle w:val="Heading2"/>
      </w:pPr>
      <w:r>
        <w:t>0.5  Structured Streaming, foreachBatch, and checkpoints</w:t>
      </w:r>
    </w:p>
    <w:p>
      <w:r>
        <w:rPr>
          <w:b w:val="0"/>
          <w:i w:val="0"/>
          <w:sz w:val="21"/>
        </w:rPr>
        <w:t>The report has a five-minute freshness target, so these notebooks do not run once a night. They run continuously. Spark Structured Streaming watches each source's change feed and, every 30 seconds, hands us whatever changed as a small ordinary DataFrame. That handoff is foreachBatch: a function you write that receives (batch_df, batch_id) and does whatever it likes with it. Inside foreachBatch you are back in normal, familiar batch Spark — which is why these notebooks are readable at all.</w:t>
      </w:r>
    </w:p>
    <w:p>
      <w:r>
        <w:rPr>
          <w:b w:val="0"/>
          <w:i w:val="0"/>
          <w:sz w:val="21"/>
        </w:rPr>
        <w:t>A checkpoint is the stream's bookmark: a folder on storage recording how far it has read. If the notebook restarts, the stream resumes from the bookmark rather than reprocessing history. Each notebook keeps its checkpoints under its own root folder so the three never interfere with one another.</w:t>
      </w:r>
    </w:p>
    <w:p>
      <w:pPr>
        <w:pStyle w:val="Heading2"/>
      </w:pPr>
      <w:r>
        <w:t>0.6  A DataFrame is a recipe, not a result</w:t>
      </w:r>
    </w:p>
    <w:p>
      <w:r>
        <w:rPr>
          <w:b w:val="0"/>
          <w:i w:val="0"/>
          <w:sz w:val="21"/>
        </w:rPr>
        <w:t>One PySpark idea trips up nearly every newcomer. When you write df.join(...).select(...).where(...), nothing happens. You are describing a computation, not performing one. Spark only executes when you call an action — .count(), .collect(), .write, or .rdd.isEmpty(). This is called lazy evaluation.</w:t>
      </w:r>
    </w:p>
    <w:p>
      <w:r>
        <w:rPr>
          <w:b w:val="0"/>
          <w:i w:val="0"/>
          <w:sz w:val="21"/>
        </w:rPr>
        <w:t>Two practical consequences show up in this code. First, transform_fact() is cheap to call — it just builds a recipe — and the cost lands later at .write or .count(). Second, you will see .rdd.isEmpty() used as a guard before doing work; that IS an action, and it is how the code avoids launching an expensive delete-and-append for an empty batch.</w:t>
      </w:r>
    </w:p>
    <w:p>
      <w:r>
        <w:rPr>
          <w:b w:val="0"/>
          <w:i w:val="0"/>
          <w:sz w:val="21"/>
        </w:rPr>
        <w:t>Two more bits of syntax you will meet constantly:</w:t>
      </w:r>
    </w:p>
    <w:p>
      <w:r>
        <w:rPr>
          <w:rFonts w:ascii="Consolas" w:hAnsi="Consolas"/>
          <w:color w:val="A31C3C"/>
          <w:sz w:val="19"/>
        </w:rPr>
        <w:t>F.col("x")</w:t>
      </w:r>
      <w:r>
        <w:t xml:space="preserve"> refers to the column named x. </w:t>
      </w:r>
      <w:r>
        <w:rPr>
          <w:rFonts w:ascii="Consolas" w:hAnsi="Consolas"/>
          <w:color w:val="A31C3C"/>
          <w:sz w:val="19"/>
        </w:rPr>
        <w:t>F.lit(1.0)</w:t>
      </w:r>
      <w:r>
        <w:t xml:space="preserve"> means the literal constant 1.0, as opposed to a column. And </w:t>
      </w:r>
      <w:r>
        <w:rPr>
          <w:rFonts w:ascii="Consolas" w:hAnsi="Consolas"/>
          <w:color w:val="A31C3C"/>
          <w:sz w:val="19"/>
        </w:rPr>
        <w:t>.alias("y")</w:t>
      </w:r>
      <w:r>
        <w:t xml:space="preserve"> renames a column or a table — the code aliases whole DataFrames as </w:t>
      </w:r>
      <w:r>
        <w:rPr>
          <w:rFonts w:ascii="Consolas" w:hAnsi="Consolas"/>
          <w:color w:val="A31C3C"/>
          <w:sz w:val="19"/>
        </w:rPr>
        <w:t>sd</w:t>
      </w:r>
      <w:r>
        <w:t xml:space="preserve">, </w:t>
      </w:r>
      <w:r>
        <w:rPr>
          <w:rFonts w:ascii="Consolas" w:hAnsi="Consolas"/>
          <w:color w:val="A31C3C"/>
          <w:sz w:val="19"/>
        </w:rPr>
        <w:t>ar</w:t>
      </w:r>
      <w:r>
        <w:t xml:space="preserve">, </w:t>
      </w:r>
      <w:r>
        <w:rPr>
          <w:rFonts w:ascii="Consolas" w:hAnsi="Consolas"/>
          <w:color w:val="A31C3C"/>
          <w:sz w:val="19"/>
        </w:rPr>
        <w:t>bu</w:t>
      </w:r>
      <w:r>
        <w:t xml:space="preserve">, </w:t>
      </w:r>
      <w:r>
        <w:rPr>
          <w:rFonts w:ascii="Consolas" w:hAnsi="Consolas"/>
          <w:color w:val="A31C3C"/>
          <w:sz w:val="19"/>
        </w:rPr>
        <w:t>ad</w:t>
      </w:r>
      <w:r>
        <w:t xml:space="preserve"> so that a join condition can say unambiguously which side a column came from.</w:t>
      </w:r>
    </w:p>
    <w:p>
      <w:r>
        <w:br w:type="page"/>
      </w:r>
    </w:p>
    <w:p>
      <w:pPr>
        <w:pStyle w:val="Heading1"/>
      </w:pPr>
      <w:r>
        <w:t>Part 1 — The pipeline at a glance</w:t>
      </w:r>
    </w:p>
    <w:p>
      <w:pPr>
        <w:pStyle w:val="Heading2"/>
      </w:pPr>
      <w:r>
        <w:t>1.1  What the three notebooks build</w:t>
      </w:r>
    </w:p>
    <w:p>
      <w:r>
        <w:rPr>
          <w:b w:val="0"/>
          <w:i w:val="0"/>
          <w:sz w:val="21"/>
        </w:rPr>
        <w:t>ESO4 reproduces a legacy Hubble report called TX002 — 'Sales Tax with Business Stream Summary'. The Tax department (stakeholder: Lisa Covington) uses it to reconcile what JDE thinks the sales tax was against what Avalara, the third-party tax engine, calculated. The report needs each invoice's taxable, non-taxable, tax and gross amounts, broken down by plant, customer, tax jurisdiction, and a derived classification called Business Stream.</w:t>
      </w:r>
    </w:p>
    <w:p>
      <w:r>
        <w:rPr>
          <w:b w:val="0"/>
          <w:i w:val="0"/>
          <w:sz w:val="21"/>
        </w:rPr>
        <w:t>Three notebooks, each owning its own Gold tables, each running as an independent continuous stream: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456"/>
          </w:tcPr>
          <w:p>
            <w:r/>
            <w:r>
              <w:rPr>
                <w:b/>
                <w:sz w:val="18"/>
              </w:rPr>
              <w:t>Notebook</w:t>
            </w:r>
          </w:p>
        </w:tc>
        <w:tc>
          <w:tcPr>
            <w:tcW w:type="dxa" w:w="2736"/>
          </w:tcPr>
          <w:p>
            <w:r/>
            <w:r>
              <w:rPr>
                <w:b/>
                <w:sz w:val="18"/>
              </w:rPr>
              <w:t>Reads (Silver)</w:t>
            </w:r>
          </w:p>
        </w:tc>
        <w:tc>
          <w:tcPr>
            <w:tcW w:type="dxa" w:w="2304"/>
          </w:tcPr>
          <w:p>
            <w:r/>
            <w:r>
              <w:rPr>
                <w:b/>
                <w:sz w:val="18"/>
              </w:rPr>
              <w:t>Writes (Gold)</w:t>
            </w:r>
          </w:p>
        </w:tc>
        <w:tc>
          <w:tcPr>
            <w:tcW w:type="dxa" w:w="720"/>
          </w:tcPr>
          <w:p>
            <w:r/>
            <w:r>
              <w:rPr>
                <w:b/>
                <w:sz w:val="18"/>
              </w:rPr>
              <w:t>Streams</w:t>
            </w:r>
          </w:p>
        </w:tc>
      </w:tr>
      <w:tr>
        <w:tc>
          <w:tcPr>
            <w:tcW w:type="dxa" w:w="3456"/>
          </w:tcPr>
          <w:p>
            <w:pPr>
              <w:spacing w:after="40"/>
            </w:pPr>
            <w:r/>
            <w:r>
              <w:rPr>
                <w:sz w:val="17"/>
              </w:rPr>
            </w:r>
            <w:r>
              <w:rPr>
                <w:rFonts w:ascii="Consolas" w:hAnsi="Consolas"/>
                <w:sz w:val="16"/>
              </w:rPr>
              <w:t>nb_eso4_gold_fact_sales_tax_reconciliation.py</w:t>
            </w:r>
            <w:r>
              <w:rPr>
                <w:sz w:val="17"/>
              </w:rPr>
            </w:r>
          </w:p>
        </w:tc>
        <w:tc>
          <w:tcPr>
            <w:tcW w:type="dxa" w:w="2736"/>
          </w:tcPr>
          <w:p>
            <w:pPr>
              <w:spacing w:after="40"/>
            </w:pPr>
            <w:r/>
            <w:r>
              <w:rPr>
                <w:sz w:val="17"/>
              </w:rPr>
              <w:t>F4211, F03B11 (streamed); F0006, F0101, F0116 (static)</w:t>
            </w:r>
          </w:p>
        </w:tc>
        <w:tc>
          <w:tcPr>
            <w:tcW w:type="dxa" w:w="2304"/>
          </w:tcPr>
          <w:p>
            <w:pPr>
              <w:spacing w:after="40"/>
            </w:pPr>
            <w:r/>
            <w:r>
              <w:rPr>
                <w:sz w:val="17"/>
              </w:rPr>
            </w:r>
            <w:r>
              <w:rPr>
                <w:rFonts w:ascii="Consolas" w:hAnsi="Consolas"/>
                <w:sz w:val="16"/>
              </w:rPr>
              <w:t>rpt.fact_sales_tax_reconciliation</w:t>
            </w:r>
            <w:r>
              <w:rPr>
                <w:sz w:val="17"/>
              </w:rPr>
            </w:r>
          </w:p>
        </w:tc>
        <w:tc>
          <w:tcPr>
            <w:tcW w:type="dxa" w:w="720"/>
          </w:tcPr>
          <w:p>
            <w:pPr>
              <w:spacing w:after="40"/>
            </w:pPr>
            <w:r/>
            <w:r>
              <w:rPr>
                <w:sz w:val="17"/>
              </w:rPr>
              <w:t>2</w:t>
            </w:r>
          </w:p>
        </w:tc>
      </w:tr>
      <w:tr>
        <w:tc>
          <w:tcPr>
            <w:tcW w:type="dxa" w:w="3456"/>
          </w:tcPr>
          <w:p>
            <w:pPr>
              <w:spacing w:after="40"/>
            </w:pPr>
            <w:r/>
            <w:r>
              <w:rPr>
                <w:sz w:val="17"/>
              </w:rPr>
            </w:r>
            <w:r>
              <w:rPr>
                <w:rFonts w:ascii="Consolas" w:hAnsi="Consolas"/>
                <w:sz w:val="16"/>
              </w:rPr>
              <w:t>nb_eso4_gold_dim_business_unit.py</w:t>
            </w:r>
            <w:r>
              <w:rPr>
                <w:sz w:val="17"/>
              </w:rPr>
            </w:r>
          </w:p>
        </w:tc>
        <w:tc>
          <w:tcPr>
            <w:tcW w:type="dxa" w:w="2736"/>
          </w:tcPr>
          <w:p>
            <w:pPr>
              <w:spacing w:after="40"/>
            </w:pPr>
            <w:r/>
            <w:r>
              <w:rPr>
                <w:sz w:val="17"/>
              </w:rPr>
              <w:t>F0006</w:t>
            </w:r>
          </w:p>
        </w:tc>
        <w:tc>
          <w:tcPr>
            <w:tcW w:type="dxa" w:w="2304"/>
          </w:tcPr>
          <w:p>
            <w:pPr>
              <w:spacing w:after="40"/>
            </w:pPr>
            <w:r/>
            <w:r>
              <w:rPr>
                <w:sz w:val="17"/>
              </w:rPr>
            </w:r>
            <w:r>
              <w:rPr>
                <w:rFonts w:ascii="Consolas" w:hAnsi="Consolas"/>
                <w:sz w:val="16"/>
              </w:rPr>
              <w:t>rpt.dim_business_unit</w:t>
            </w:r>
            <w:r>
              <w:rPr>
                <w:sz w:val="17"/>
              </w:rPr>
            </w:r>
          </w:p>
        </w:tc>
        <w:tc>
          <w:tcPr>
            <w:tcW w:type="dxa" w:w="720"/>
          </w:tcPr>
          <w:p>
            <w:pPr>
              <w:spacing w:after="40"/>
            </w:pPr>
            <w:r/>
            <w:r>
              <w:rPr>
                <w:sz w:val="17"/>
              </w:rPr>
              <w:t>1</w:t>
            </w:r>
          </w:p>
        </w:tc>
      </w:tr>
      <w:tr>
        <w:tc>
          <w:tcPr>
            <w:tcW w:type="dxa" w:w="3456"/>
          </w:tcPr>
          <w:p>
            <w:pPr>
              <w:spacing w:after="40"/>
            </w:pPr>
            <w:r/>
            <w:r>
              <w:rPr>
                <w:sz w:val="17"/>
              </w:rPr>
            </w:r>
            <w:r>
              <w:rPr>
                <w:rFonts w:ascii="Consolas" w:hAnsi="Consolas"/>
                <w:sz w:val="16"/>
              </w:rPr>
              <w:t>nb_eso4_gold_dim_udc.py</w:t>
            </w:r>
            <w:r>
              <w:rPr>
                <w:sz w:val="17"/>
              </w:rPr>
            </w:r>
          </w:p>
        </w:tc>
        <w:tc>
          <w:tcPr>
            <w:tcW w:type="dxa" w:w="2736"/>
          </w:tcPr>
          <w:p>
            <w:pPr>
              <w:spacing w:after="40"/>
            </w:pPr>
            <w:r/>
            <w:r>
              <w:rPr>
                <w:sz w:val="17"/>
              </w:rPr>
              <w:t>F0005</w:t>
            </w:r>
          </w:p>
        </w:tc>
        <w:tc>
          <w:tcPr>
            <w:tcW w:type="dxa" w:w="2304"/>
          </w:tcPr>
          <w:p>
            <w:pPr>
              <w:spacing w:after="40"/>
            </w:pPr>
            <w:r/>
            <w:r>
              <w:rPr>
                <w:sz w:val="17"/>
              </w:rPr>
            </w:r>
            <w:r>
              <w:rPr>
                <w:rFonts w:ascii="Consolas" w:hAnsi="Consolas"/>
                <w:sz w:val="16"/>
              </w:rPr>
              <w:t>rpt.dim_sic</w:t>
            </w:r>
            <w:r>
              <w:rPr>
                <w:sz w:val="17"/>
              </w:rPr>
              <w:t xml:space="preserve"> and </w:t>
            </w:r>
            <w:r>
              <w:rPr>
                <w:rFonts w:ascii="Consolas" w:hAnsi="Consolas"/>
                <w:sz w:val="16"/>
              </w:rPr>
              <w:t>rpt.dim_state</w:t>
            </w:r>
            <w:r>
              <w:rPr>
                <w:sz w:val="17"/>
              </w:rPr>
            </w:r>
          </w:p>
        </w:tc>
        <w:tc>
          <w:tcPr>
            <w:tcW w:type="dxa" w:w="720"/>
          </w:tcPr>
          <w:p>
            <w:pPr>
              <w:spacing w:after="40"/>
            </w:pPr>
            <w:r/>
            <w:r>
              <w:rPr>
                <w:sz w:val="17"/>
              </w:rPr>
              <w:t>1</w:t>
            </w:r>
          </w:p>
        </w:tc>
      </w:tr>
    </w:tbl>
    <w:p>
      <w:pPr>
        <w:spacing w:after="80"/>
      </w:pPr>
    </w:p>
    <w:p>
      <w:r>
        <w:rPr>
          <w:b w:val="0"/>
          <w:i w:val="0"/>
          <w:sz w:val="21"/>
        </w:rPr>
        <w:t>Plus dimensions ESO4 does not build but does use: the address role views rpt.dim_address_ship_to, rpt.dim_address_sold_to and rpt.dim_address_parent, which another job maintains. ESO4 reuses them rather than duplicating an address dimension.</w:t>
      </w:r>
    </w:p>
    <w:p>
      <w:pPr>
        <w:pStyle w:val="Heading2"/>
      </w:pPr>
      <w:r>
        <w:t>1.2  'Streamed' versus 'static' sources</w:t>
      </w:r>
    </w:p>
    <w:p>
      <w:r>
        <w:rPr>
          <w:b w:val="0"/>
          <w:i w:val="0"/>
          <w:sz w:val="21"/>
        </w:rPr>
        <w:t>This distinction drives the whole design, and it is worth being precise about it.</w:t>
      </w:r>
    </w:p>
    <w:p>
      <w:r>
        <w:rPr>
          <w:b w:val="0"/>
          <w:i w:val="0"/>
          <w:sz w:val="21"/>
        </w:rPr>
        <w:t>A streamed source is one whose changes must trigger a rebuild. F4211 and F03B11 are streamed on the fact: if an order line or an invoice changes, the fact row for that invoice is wrong until we redo it.</w:t>
      </w:r>
    </w:p>
    <w:p>
      <w:r>
        <w:rPr>
          <w:b w:val="0"/>
          <w:i w:val="0"/>
          <w:sz w:val="21"/>
        </w:rPr>
        <w:t>A static source is read as an ordinary snapshot inside the transform, not watched for changes. F0006, F0101 and F0116 are static on the fact. They are read fresh every time the transform runs, so their current values are always used — but a change to them alone will not, by itself, kick off a recompute. That is a deliberate trade-off: those tables change rarely, and watching three more change feeds would cost far more than it is worth. Note F0006 is streamed in the dim_business_unit notebook and static in the fact notebook — same table, two different roles.</w:t>
      </w:r>
    </w:p>
    <w:p>
      <w:pPr>
        <w:pStyle w:val="Heading2"/>
      </w:pPr>
      <w:r>
        <w:t>1.3  The five-stage skeleton every notebook follows</w:t>
      </w:r>
    </w:p>
    <w:p>
      <w:r>
        <w:rPr>
          <w:b w:val="0"/>
          <w:i w:val="0"/>
          <w:sz w:val="21"/>
        </w:rPr>
        <w:t>All three notebooks are the same shape. Learn it once: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8"/>
              </w:rPr>
              <w:t>Stage</w:t>
            </w:r>
          </w:p>
        </w:tc>
        <w:tc>
          <w:tcPr>
            <w:tcW w:type="dxa" w:w="1008"/>
          </w:tcPr>
          <w:p>
            <w:r/>
            <w:r>
              <w:rPr>
                <w:b/>
                <w:sz w:val="18"/>
              </w:rPr>
              <w:t>Cell</w:t>
            </w:r>
          </w:p>
        </w:tc>
        <w:tc>
          <w:tcPr>
            <w:tcW w:type="dxa" w:w="6624"/>
          </w:tcPr>
          <w:p>
            <w:r/>
            <w:r>
              <w:rPr>
                <w:b/>
                <w:sz w:val="18"/>
              </w:rPr>
              <w:t>What it does</w:t>
            </w:r>
          </w:p>
        </w:tc>
      </w:tr>
      <w:tr>
        <w:tc>
          <w:tcPr>
            <w:tcW w:type="dxa" w:w="2016"/>
          </w:tcPr>
          <w:p>
            <w:pPr>
              <w:spacing w:after="40"/>
            </w:pPr>
            <w:r/>
            <w:r>
              <w:rPr>
                <w:sz w:val="17"/>
              </w:rPr>
              <w:t>1. Config</w:t>
            </w:r>
          </w:p>
        </w:tc>
        <w:tc>
          <w:tcPr>
            <w:tcW w:type="dxa" w:w="1008"/>
          </w:tcPr>
          <w:p>
            <w:pPr>
              <w:spacing w:after="40"/>
            </w:pPr>
            <w:r/>
            <w:r>
              <w:rPr>
                <w:sz w:val="17"/>
              </w:rPr>
              <w:t>In[1]</w:t>
            </w:r>
          </w:p>
        </w:tc>
        <w:tc>
          <w:tcPr>
            <w:tcW w:type="dxa" w:w="6624"/>
          </w:tcPr>
          <w:p>
            <w:pPr>
              <w:spacing w:after="40"/>
            </w:pPr>
            <w:r/>
            <w:r>
              <w:rPr>
                <w:sz w:val="17"/>
              </w:rPr>
              <w:t>Constants: which schema, which tables, the trigger interval, the OVERWRITE switch.</w:t>
            </w:r>
          </w:p>
        </w:tc>
      </w:tr>
      <w:tr>
        <w:tc>
          <w:tcPr>
            <w:tcW w:type="dxa" w:w="2016"/>
          </w:tcPr>
          <w:p>
            <w:pPr>
              <w:spacing w:after="40"/>
            </w:pPr>
            <w:r/>
            <w:r>
              <w:rPr>
                <w:sz w:val="17"/>
              </w:rPr>
              <w:t>2. Helpers</w:t>
            </w:r>
          </w:p>
        </w:tc>
        <w:tc>
          <w:tcPr>
            <w:tcW w:type="dxa" w:w="1008"/>
          </w:tcPr>
          <w:p>
            <w:pPr>
              <w:spacing w:after="40"/>
            </w:pPr>
            <w:r/>
            <w:r>
              <w:rPr>
                <w:sz w:val="17"/>
              </w:rPr>
              <w:t>In[2]</w:t>
            </w:r>
          </w:p>
        </w:tc>
        <w:tc>
          <w:tcPr>
            <w:tcW w:type="dxa" w:w="6624"/>
          </w:tcPr>
          <w:p>
            <w:pPr>
              <w:spacing w:after="40"/>
            </w:pPr>
            <w:r/>
            <w:r>
              <w:rPr>
                <w:sz w:val="17"/>
              </w:rPr>
              <w:t>Small utilities: qualify a Silver name, load a Silver table, hash a key, read a table's current version.</w:t>
            </w:r>
          </w:p>
        </w:tc>
      </w:tr>
      <w:tr>
        <w:tc>
          <w:tcPr>
            <w:tcW w:type="dxa" w:w="2016"/>
          </w:tcPr>
          <w:p>
            <w:pPr>
              <w:spacing w:after="40"/>
            </w:pPr>
            <w:r/>
            <w:r>
              <w:rPr>
                <w:sz w:val="17"/>
              </w:rPr>
              <w:t>3. Transform + write</w:t>
            </w:r>
          </w:p>
        </w:tc>
        <w:tc>
          <w:tcPr>
            <w:tcW w:type="dxa" w:w="1008"/>
          </w:tcPr>
          <w:p>
            <w:pPr>
              <w:spacing w:after="40"/>
            </w:pPr>
            <w:r/>
            <w:r>
              <w:rPr>
                <w:sz w:val="17"/>
              </w:rPr>
              <w:t>In[3]/In[4]</w:t>
            </w:r>
          </w:p>
        </w:tc>
        <w:tc>
          <w:tcPr>
            <w:tcW w:type="dxa" w:w="6624"/>
          </w:tcPr>
          <w:p>
            <w:pPr>
              <w:spacing w:after="40"/>
            </w:pPr>
            <w:r/>
            <w:r>
              <w:rPr>
                <w:sz w:val="17"/>
              </w:rPr>
              <w:t>The pure business logic — build the target DataFrame — plus the CDC write helper that lands it.</w:t>
            </w:r>
          </w:p>
        </w:tc>
      </w:tr>
      <w:tr>
        <w:tc>
          <w:tcPr>
            <w:tcW w:type="dxa" w:w="2016"/>
          </w:tcPr>
          <w:p>
            <w:pPr>
              <w:spacing w:after="40"/>
            </w:pPr>
            <w:r/>
            <w:r>
              <w:rPr>
                <w:sz w:val="17"/>
              </w:rPr>
              <w:t>4. Full load vs resume</w:t>
            </w:r>
          </w:p>
        </w:tc>
        <w:tc>
          <w:tcPr>
            <w:tcW w:type="dxa" w:w="1008"/>
          </w:tcPr>
          <w:p>
            <w:pPr>
              <w:spacing w:after="40"/>
            </w:pPr>
            <w:r/>
            <w:r>
              <w:rPr>
                <w:sz w:val="17"/>
              </w:rPr>
              <w:t>In[5]</w:t>
            </w:r>
          </w:p>
        </w:tc>
        <w:tc>
          <w:tcPr>
            <w:tcW w:type="dxa" w:w="6624"/>
          </w:tcPr>
          <w:p>
            <w:pPr>
              <w:spacing w:after="40"/>
            </w:pPr>
            <w:r/>
            <w:r>
              <w:rPr>
                <w:sz w:val="17"/>
              </w:rPr>
              <w:t>The gate. Either seed the table from scratch and record where the streams should start, or resume from the checkpoint.</w:t>
            </w:r>
          </w:p>
        </w:tc>
      </w:tr>
      <w:tr>
        <w:tc>
          <w:tcPr>
            <w:tcW w:type="dxa" w:w="2016"/>
          </w:tcPr>
          <w:p>
            <w:pPr>
              <w:spacing w:after="40"/>
            </w:pPr>
            <w:r/>
            <w:r>
              <w:rPr>
                <w:sz w:val="17"/>
              </w:rPr>
              <w:t>5. Handlers + start</w:t>
            </w:r>
          </w:p>
        </w:tc>
        <w:tc>
          <w:tcPr>
            <w:tcW w:type="dxa" w:w="1008"/>
          </w:tcPr>
          <w:p>
            <w:pPr>
              <w:spacing w:after="40"/>
            </w:pPr>
            <w:r/>
            <w:r>
              <w:rPr>
                <w:sz w:val="17"/>
              </w:rPr>
              <w:t>In[6]/In[7]</w:t>
            </w:r>
          </w:p>
        </w:tc>
        <w:tc>
          <w:tcPr>
            <w:tcW w:type="dxa" w:w="6624"/>
          </w:tcPr>
          <w:p>
            <w:pPr>
              <w:spacing w:after="40"/>
            </w:pPr>
            <w:r/>
            <w:r>
              <w:rPr>
                <w:sz w:val="17"/>
              </w:rPr>
              <w:t>The foreachBatch functions, then start the streams and block forever.</w:t>
            </w:r>
          </w:p>
        </w:tc>
      </w:tr>
    </w:tbl>
    <w:p>
      <w:pPr>
        <w:spacing w:after="80"/>
      </w:pPr>
    </w:p>
    <w:p>
      <w:pPr>
        <w:pStyle w:val="Heading2"/>
      </w:pPr>
      <w:r>
        <w:t>1.4  The central pattern: recompute-by-scope</w:t>
      </w:r>
    </w:p>
    <w:p>
      <w:r>
        <w:rPr>
          <w:b w:val="0"/>
          <w:i w:val="0"/>
          <w:sz w:val="21"/>
        </w:rPr>
        <w:t>This is the single most important idea in the fact notebook, and it is worth understanding before you read any code.</w:t>
      </w:r>
    </w:p>
    <w:p>
      <w:r>
        <w:rPr>
          <w:b w:val="0"/>
          <w:i w:val="0"/>
          <w:sz w:val="21"/>
        </w:rPr>
        <w:t>A naive CDC pipeline tries to translate each individual change into a surgical update of the target. That is extremely hard here, because one Gold row is an aggregate built from a join across five tables — a single changed F03B11 pay item does not map to a single Gold row in any simple way.</w:t>
      </w:r>
    </w:p>
    <w:p>
      <w:r>
        <w:rPr>
          <w:b w:val="0"/>
          <w:i w:val="0"/>
          <w:sz w:val="21"/>
        </w:rPr>
        <w:t>So the notebooks do not try. Instead, when anything changes, they identify the scope the change belongs to — for the fact, the invoice document (company + document type + invoice number) — and then they throw away every existing Gold row for that scope and rebuild it from scratch from the current Silver data. Delete, then append.</w:t>
      </w:r>
    </w:p>
    <w:p>
      <w:r>
        <w:rPr>
          <w:b w:val="0"/>
          <w:i w:val="0"/>
          <w:sz w:val="21"/>
        </w:rPr>
        <w:t>This is slower per change than a surgical update, but it is correct by construction, and it handles inserts, updates and deletes through exactly the same code path with no special cases. It is also self-healing: if a row ever goes bad, touching its source row fixes it. The scope is deliberately narrow — one invoice, not the whole table — so the cost stays small.</w:t>
      </w:r>
    </w:p>
    <w:p>
      <w:pPr>
        <w:spacing w:before="120" w:after="160"/>
        <w:ind w:left="144"/>
        <w:shd w:val="clear" w:fill="EAF1FB"/>
        <w:pBdr>
          <w:top w:val="single" w:sz="4" w:space="4" w:color="E8C48A"/>
          <w:left w:val="single" w:sz="4" w:space="4" w:color="E8C48A"/>
          <w:bottom w:val="single" w:sz="4" w:space="4" w:color="E8C48A"/>
          <w:right w:val="single" w:sz="4" w:space="4" w:color="E8C48A"/>
        </w:pBdr>
      </w:pPr>
      <w:r>
        <w:rPr>
          <w:b/>
          <w:sz w:val="20"/>
        </w:rPr>
        <w:t xml:space="preserve">Filter versus calculation — a rule that governs this whole project.  </w:t>
      </w:r>
      <w:r>
        <w:rPr>
          <w:sz w:val="20"/>
        </w:rPr>
        <w:t>The Hubble query contains predicates of two very different kinds, and they are treated in opposite ways. A predicate in a WHERE clause REMOVES ROWS — that is a report filter, and it does NOT belong in Gold; it becomes a Power BI page-level slicer. A predicate inside a CASE expression or a JOIN condition COMPUTES A VALUE — that is business logic, and it stays. Deleting the second kind does not make a column unfiltered, it makes it WRONG. The Business Stream CASE you will meet in Part 2 is the second kind, which is why it survives into the notebook while the report's GL-date range does not.</w:t>
      </w:r>
    </w:p>
    <w:p>
      <w:pPr>
        <w:pStyle w:val="Heading2"/>
      </w:pPr>
      <w:r>
        <w:t>1.5  End-to-end data flow</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xml:space="preserve">  JD Edwards (PRODDTA)</w:t>
        <w:br/>
        <w:t xml:space="preserve">        |  Debezium / Event Hub</w:t>
        <w:br/>
        <w:t xml:space="preserve">        v</w:t>
        <w:br/>
        <w:t xml:space="preserve">  BRONZE  raw change events</w:t>
        <w:br/>
        <w:t xml:space="preserve">        |  decode: Julian dates -&gt; dates, implied decimals resolved, snake_case names</w:t>
        <w:br/>
        <w:t xml:space="preserve">        v</w:t>
        <w:br/>
        <w:t xml:space="preserve">  SILVER  lh_jde_silver.jde_cdc.*        &lt;-- CDF enabled on F4211, F03B11, F0006, F0005</w:t>
        <w:br/>
        <w:t xml:space="preserve">        |</w:t>
        <w:br/>
        <w:t xml:space="preserve">        |   +---------------------------+---------------------------+</w:t>
        <w:br/>
        <w:t xml:space="preserve">        |   |                           |                           |</w:t>
        <w:br/>
        <w:t xml:space="preserve">        v   v                           v                           v</w:t>
        <w:br/>
        <w:t xml:space="preserve">  [ fact notebook ]            [ dim_business_unit ]         [ dim_udc ]</w:t>
        <w:br/>
        <w:t xml:space="preserve">   stream F4211  ---+           stream F0006                  stream F0005</w:t>
        <w:br/>
        <w:t xml:space="preserve">   stream F03B11 ---+                |                          |      |</w:t>
        <w:br/>
        <w:t xml:space="preserve">   static F0006 ----+                |                          |      |</w:t>
        <w:br/>
        <w:t xml:space="preserve">   static F0101 ----+                |                          |      |</w:t>
        <w:br/>
        <w:t xml:space="preserve">   static F0116 ----+                |                          |      |</w:t>
        <w:br/>
        <w:t xml:space="preserve">        |                            |                          |      |</w:t>
        <w:br/>
        <w:t xml:space="preserve">        v                            v                          v      v</w:t>
        <w:br/>
        <w:t xml:space="preserve">  rpt.fact_sales_tax_          rpt.dim_business_unit      rpt.dim_sic  rpt.dim_state</w:t>
        <w:br/>
        <w:t xml:space="preserve">      reconciliation</w:t>
        <w:br/>
        <w:t xml:space="preserve">        |                            |                          |      |</w:t>
        <w:br/>
        <w:t xml:space="preserve">        +----------------------------+--------------------------+------+</w:t>
        <w:br/>
        <w:t xml:space="preserve">                                     |</w:t>
        <w:br/>
        <w:t xml:space="preserve">                                     v          + reused rpt.dim_address_* role views</w:t>
        <w:br/>
        <w:t xml:space="preserve">                          DIRECT LAKE SEMANTIC MODEL</w:t>
        <w:br/>
        <w:t xml:space="preserve">                            7 tables, 6 relationships</w:t>
        <w:br/>
        <w:t xml:space="preserve">                                     |</w:t>
        <w:br/>
        <w:t xml:space="preserve">                                     v</w:t>
        <w:br/>
        <w:t xml:space="preserve">                        Power BI report (page-level filters)</w:t>
      </w:r>
    </w:p>
    <w:p>
      <w:r>
        <w:rPr>
          <w:b w:val="0"/>
          <w:i w:val="0"/>
          <w:sz w:val="21"/>
        </w:rPr>
        <w:t>Notice that the three notebooks never talk to each other. They share no code and no checkpoints, and they can be started, stopped and reprocessed independently. The only coupling is at the semantic-model layer, where the fact's FK codes meet the dimensions' descriptions.</w:t>
      </w:r>
    </w:p>
    <w:p>
      <w:r>
        <w:br w:type="page"/>
      </w:r>
    </w:p>
    <w:p>
      <w:pPr>
        <w:pStyle w:val="Heading1"/>
      </w:pPr>
      <w:r>
        <w:t>Part 2 — The fact notebook, block by block</w:t>
      </w:r>
    </w:p>
    <w:p>
      <w:pPr>
        <w:pStyle w:val="Heading2"/>
      </w:pPr>
      <w:r>
        <w:t>nb_eso4_gold_fact_sales_tax_reconciliation.py</w:t>
      </w:r>
    </w:p>
    <w:p>
      <w:r>
        <w:rPr>
          <w:b w:val="0"/>
          <w:i w:val="0"/>
          <w:sz w:val="21"/>
        </w:rPr>
        <w:t>474 lines, seven cells. This notebook builds the one fact table and keeps it live off two change feeds. Everything in Part 1 applies; this part walks the actual code.</w:t>
      </w:r>
    </w:p>
    <w:p>
      <w:pPr>
        <w:pStyle w:val="Heading3"/>
      </w:pPr>
      <w:r>
        <w:t>2.1  The header docstring (lines 6–31)</w:t>
      </w:r>
    </w:p>
    <w:p>
      <w:pPr>
        <w:spacing w:after="40"/>
      </w:pPr>
      <w:r>
        <w:rPr>
          <w:i/>
          <w:color w:val="606060"/>
          <w:sz w:val="17"/>
        </w:rPr>
        <w:t>nb_eso4_gold_fact_sales_tax_reconciliation.py, lines 6–31</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 nb_eso4_gold_fact_sales_tax_reconciliation</w:t>
        <w:br/>
        <w:t>#</w:t>
        <w:br/>
        <w:t># **Gold `fact_sales_tax_reconciliation` processor** for Extended Sales Order 4 (Sales Tax</w:t>
        <w:br/>
        <w:t># with Business Stream Summary — Avalara reconciliation). Builds and continuously refreshes</w:t>
        <w:br/>
        <w:t># ONE table — `lh_jde_gold.eso4.fact_sales_tax_reconciliation` (invoice sales-tax-line grain)</w:t>
        <w:br/>
        <w:t># — from the Silver sales-order detail (F4211) and customer-ledger (F03B11) Change Data Feed</w:t>
        <w:br/>
        <w:t># streams, joined to the business-unit (F0006) and address (F0101 ⋈ F0116) static snapshots.</w:t>
        <w:br/>
        <w:t>#</w:t>
        <w:br/>
        <w:t># Streaming architecture is identical to ESO1's</w:t>
        <w:br/>
        <w:t># nb/nb_eso1_gold_fact_sales_order_freight.py (which adopts nb_silver_to_gold_eso7_v2):</w:t>
        <w:br/>
        <w:t>#   • continuous trigger(processingTime="30 seconds") + awaitAnyTermination</w:t>
        <w:br/>
        <w:t>#   • per-source foreachBatch handler factories make_fact_*_handler(init_ver): skip the seed</w:t>
        <w:br/>
        <w:t>#     rows (_commit_version &lt;= init_ver), then act only on real change rows (_change_type</w:t>
        <w:br/>
        <w:t>#     insert/update_postimage/delete) and CDC-write to Gold (fact = delete the affected</w:t>
        <w:br/>
        <w:t>#     invoice-document scope, then APPEND freshly recomputed lines; writes serialised by a lock)</w:t>
        <w:br/>
        <w:t>#   • per-stream checkpoint gate (offsets/ committed) + startingVersion=init_ver knob</w:t>
        <w:br/>
        <w:t>#</w:t>
        <w:br/>
        <w:t># JOINS — every join from Extended Sales Order 4.docx §4 is applied (NO report filters):</w:t>
        <w:br/>
        <w:t>#   F4211 INNER F03B11 : SDDOC=RPODOC, SDDCT=RPODCT, SDKCO=RPOKCO, SDLNID=RPLNID</w:t>
        <w:br/>
        <w:t>#   F4211 LEFT  F0006  : SDMCU=MCMCU</w:t>
        <w:br/>
        <w:t>#   F4211 LEFT (F0101 INNER F0116) : SDSHAN=ABAN8 ; ABAN8=ALAN8</w:t>
        <w:br/>
        <w:t>#   (Hubble-only F03B11→company ShiftFactor join is a constant here — see SHIFT_FACTOR.)</w:t>
        <w:br/>
        <w:t># STAR SCHEMA: the fact stores FK codes only (sic_code, jurisdiction) — SIC/State descriptions</w:t>
        <w:br/>
        <w:t>#   resolve through dim_sic / dim_state (F0005, built by nb_eso4_gold_dim_udc.py); plant_name /</w:t>
        <w:br/>
        <w:t>#   business_stream_code resolve through dim_business_unit. F0005 is NOT read on the fact.</w:t>
        <w:br/>
        <w:t># Design: eso4/docs/ESO4_gold_layer_design.md</w:t>
      </w:r>
    </w:p>
    <w:p>
      <w:r>
        <w:rPr>
          <w:b w:val="0"/>
          <w:i w:val="0"/>
          <w:sz w:val="21"/>
        </w:rPr>
        <w:t>Not code — but read it first, always. It states the grain, lists every join, and points at the design doc. Three things in it are worth pulling out.</w:t>
      </w:r>
    </w:p>
    <w:p>
      <w:r>
        <w:rPr>
          <w:b w:val="0"/>
          <w:i w:val="0"/>
          <w:sz w:val="21"/>
        </w:rPr>
        <w:t>The join list is the contract. Every join in section 4 of the requirements document is applied here, and no report filters are. That single sentence is the design in miniature.</w:t>
      </w:r>
    </w:p>
    <w:p>
      <w:r>
        <w:rPr>
          <w:b w:val="0"/>
          <w:i w:val="0"/>
          <w:sz w:val="21"/>
        </w:rPr>
        <w:t>The note about the ShiftFactor join tells you something the SQL will not: Hubble joined a temporary company table to fetch a scaling factor. We do not, because our Silver is already scaled. It became a constant.</w:t>
      </w:r>
    </w:p>
    <w:p>
      <w:pPr>
        <w:spacing w:before="120" w:after="160"/>
        <w:ind w:left="144"/>
        <w:shd w:val="clear" w:fill="FDECEA"/>
        <w:pBdr>
          <w:top w:val="single" w:sz="4" w:space="4" w:color="E8C48A"/>
          <w:left w:val="single" w:sz="4" w:space="4" w:color="E8C48A"/>
          <w:bottom w:val="single" w:sz="4" w:space="4" w:color="E8C48A"/>
          <w:right w:val="single" w:sz="4" w:space="4" w:color="E8C48A"/>
        </w:pBdr>
      </w:pPr>
      <w:r>
        <w:rPr>
          <w:b/>
          <w:sz w:val="20"/>
        </w:rPr>
        <w:t xml:space="preserve">A stale comment to be aware of.  </w:t>
      </w:r>
      <w:r>
        <w:rPr>
          <w:sz w:val="20"/>
        </w:rPr>
        <w:t>Line 10 says the target is lh_jde_gold.eso4.fact_sales_tax_reconciliation. That is out of date — the GOLD_SCHEMA constant on line 42 says lh_jde_gold.rpt, and the constant is what actually runs. The schema was moved to rpt so all report Gold tables live together with the reused conformed dimensions. Trust the constant, not the docstring. (The same stale reference appears in the dim_business_unit header.)</w:t>
      </w:r>
    </w:p>
    <w:p>
      <w:pPr>
        <w:pStyle w:val="Heading3"/>
      </w:pPr>
      <w:r>
        <w:t>2.2  Cell In[1] — configuration and constants (lines 35–81)</w:t>
      </w:r>
    </w:p>
    <w:p>
      <w:pPr>
        <w:spacing w:after="40"/>
      </w:pPr>
      <w:r>
        <w:rPr>
          <w:i/>
          <w:color w:val="606060"/>
          <w:sz w:val="17"/>
        </w:rPr>
        <w:t>lines 35–81</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CONFIG + CONSTANTS  (names per Fabric_Naming_Convention_Guidelines.pdf)</w:t>
        <w:br/>
        <w:t># =============================================================================</w:t>
        <w:br/>
        <w:t>import threading</w:t>
        <w:br/>
        <w:t>from pyspark.sql import functions as F</w:t>
        <w:br/>
        <w:t>from delta.tables import DeltaTable</w:t>
        <w:br/>
        <w:br/>
        <w:t>GOLD_SCHEMA = "lh_jde_gold.rpt"</w:t>
        <w:br/>
        <w:br/>
        <w:t># ── refresh / runtime config (CDF concept adopted from nb_silver_to_gold_eso7_v2) ──</w:t>
        <w:br/>
        <w:t>ENV             = "dev"                              # checkpoint namespacing — envs never collide</w:t>
        <w:br/>
        <w:t>TRIGGER         = {"processingTime": "30 seconds"}   # ← continuous; refresh every 30 s</w:t>
        <w:br/>
        <w:t>CKPT            = f"Files/checkpoints/eso4_fact_{ENV}"  # OWN root — independent of the dim notebooks</w:t>
        <w:br/>
        <w:t># ── manual reprocess switch (== ESO7 v2 MANUAL_OVERWRITE) ─────────────────────</w:t>
        <w:br/>
        <w:t>#   OVERWRITE = True  -&gt; full load: drop + rebuild the fact from the full Silver snapshot,</w:t>
        <w:br/>
        <w:t>#                        snapshot each streamed source's Delta version as init_ver, clear checkpoints.</w:t>
        <w:br/>
        <w:t>#   OVERWRITE = False -&gt; resume: keep the table + checkpoints, streams catch up from where</w:t>
        <w:br/>
        <w:t>#                        they left off (init_ver = -1, no version filtering).</w:t>
        <w:br/>
        <w:t>OVERWRITE       = True    # ⚠ ONE-OFF full reprocess — set back to False after a healthy run</w:t>
        <w:br/>
        <w:br/>
        <w:t># Serialises all fact-table writes: foreachBatch handlers run in separate driver threads, so</w:t>
        <w:br/>
        <w:t># this lock makes the F4211 and F03B11 streams take turns (delete+append on the same Gold fact</w:t>
        <w:br/>
        <w:t># never overlaps). (Pattern from ESO7 v2 / ESO1.)</w:t>
        <w:br/>
        <w:t>_FACT_LOCK      = threading.Lock()</w:t>
        <w:br/>
        <w:br/>
        <w:t># ── Silver sources ────────────────────────────────────────────────────────────</w:t>
        <w:br/>
        <w:t>SRC_SCHEMA    = "jde_cdc"     # Silver Change Data Feed schema; CDF must be enabled on every</w:t>
        <w:br/>
        <w:t xml:space="preserve">                          #   STREAMED source (F4211 / F03B11) read below.</w:t>
        <w:br/>
        <w:t>SRC_LAKEHOUSE = "lh_jde_silver"</w:t>
        <w:br/>
        <w:t>F4211_TBL   = "f4211_sales_order_detail_file"      # streamed</w:t>
        <w:br/>
        <w:t>F03B11_TBL  = "f03b11_customer_ledger"             # streamed</w:t>
        <w:br/>
        <w:t>F0006_TBL   = "f0006_business_unit_master"         # static snapshot (business_stream calc input MCRP20)</w:t>
        <w:br/>
        <w:t>F0101_TBL   = "f0101_address_book_master"          # static snapshot (sic_code FK)</w:t>
        <w:br/>
        <w:t>F0116_TBL   = "f0116_address_by_date"              # static snapshot (jurisdiction FK / county)</w:t>
        <w:br/>
        <w:t># F0005 (UDC) is NOT read here — dim_sic (01/SC) + dim_state (00/S) are built by nb_eso4_gold_dim_udc.py.</w:t>
        <w:br/>
        <w:br/>
        <w:t># ── Gold target BUILT here (new, eso4) ─────────────────────────────────────────</w:t>
        <w:br/>
        <w:t>T_FACT      = f"{GOLD_SCHEMA}.fact_sales_tax_reconciliation"</w:t>
        <w:br/>
        <w:br/>
        <w:t># ── report scaling ─────────────────────────────────────────────────────────────</w:t>
        <w:br/>
        <w:t># Hubble multiplied the four amounts by NVL(company.ShiftFactor, 0.01) to de-scale RAW JDE</w:t>
        <w:br/>
        <w:t># integer amounts (stored ×100). Our Silver is already decoded (implied decimals resolved), so</w:t>
        <w:br/>
        <w:t># the placeholder is 1.0 — same treatment as ESO1's SHIFT_FACTOR. `shift_factor_applied` is</w:t>
        <w:br/>
        <w:t># carried on the fact for lineage. (See design §"ShiftFactor".)</w:t>
        <w:br/>
        <w:t>SHIFT_FACTOR    = 1.0</w:t>
        <w:br/>
        <w:br/>
        <w:t>print(f"ESO4 Gold fact processor — trigger {TRIGGER}  target {T_FACT}")</w:t>
      </w:r>
    </w:p>
    <w:p>
      <w:r>
        <w:rPr>
          <w:b w:val="0"/>
          <w:i w:val="0"/>
          <w:sz w:val="21"/>
        </w:rPr>
        <w:t>Every knob the notebook has, in one place. Taking the important ones in turn:</w:t>
      </w:r>
    </w:p>
    <w:p>
      <w:r>
        <w:rPr>
          <w:rFonts w:ascii="Consolas" w:hAnsi="Consolas"/>
          <w:color w:val="A31C3C"/>
          <w:sz w:val="19"/>
        </w:rPr>
        <w:t>GOLD_SCHEMA</w:t>
      </w:r>
      <w:r>
        <w:t xml:space="preserve"> (line 42) — where everything gets written. All ESO4, ESO1 and ESO5 Gold tables now live in </w:t>
      </w:r>
      <w:r>
        <w:rPr>
          <w:rFonts w:ascii="Consolas" w:hAnsi="Consolas"/>
          <w:color w:val="A31C3C"/>
          <w:sz w:val="19"/>
        </w:rPr>
        <w:t>lh_jde_gold.rpt</w:t>
      </w:r>
      <w:r>
        <w:t>, alongside the shared conformed dimensions.</w:t>
      </w:r>
    </w:p>
    <w:p>
      <w:r>
        <w:rPr>
          <w:rFonts w:ascii="Consolas" w:hAnsi="Consolas"/>
          <w:color w:val="A31C3C"/>
          <w:sz w:val="19"/>
        </w:rPr>
        <w:t>ENV</w:t>
      </w:r>
      <w:r>
        <w:t xml:space="preserve"> and </w:t>
      </w:r>
      <w:r>
        <w:rPr>
          <w:rFonts w:ascii="Consolas" w:hAnsi="Consolas"/>
          <w:color w:val="A31C3C"/>
          <w:sz w:val="19"/>
        </w:rPr>
        <w:t>CKPT</w:t>
      </w:r>
      <w:r>
        <w:t xml:space="preserve"> (lines 45, 47) — the checkpoint path has the environment baked into it, so a dev run and a prod run can never read each other's bookmarks. Note the comment 'OWN root': this notebook's checkpoints are separate from the dimension notebooks'.</w:t>
      </w:r>
    </w:p>
    <w:p>
      <w:r>
        <w:rPr>
          <w:rFonts w:ascii="Consolas" w:hAnsi="Consolas"/>
          <w:color w:val="A31C3C"/>
          <w:sz w:val="19"/>
        </w:rPr>
        <w:t>TRIGGER</w:t>
      </w:r>
      <w:r>
        <w:t xml:space="preserve"> (line 46) — a 30-second micro-batch interval. The report's freshness target is five minutes; 30 seconds gives comfortable headroom.</w:t>
      </w:r>
    </w:p>
    <w:p>
      <w:r>
        <w:rPr>
          <w:rFonts w:ascii="Consolas" w:hAnsi="Consolas"/>
          <w:color w:val="A31C3C"/>
          <w:sz w:val="19"/>
        </w:rPr>
        <w:t>OVERWRITE</w:t>
      </w:r>
      <w:r>
        <w:t xml:space="preserve"> (line 53) — the most consequential switch in the file, and the one you are most likely to get wrong. </w:t>
      </w:r>
      <w:r>
        <w:rPr>
          <w:rFonts w:ascii="Consolas" w:hAnsi="Consolas"/>
          <w:color w:val="A31C3C"/>
          <w:sz w:val="19"/>
        </w:rPr>
        <w:t>True</w:t>
      </w:r>
      <w:r>
        <w:t xml:space="preserve"> means: drop the table and rebuild it from the full Silver snapshot. </w:t>
      </w:r>
      <w:r>
        <w:rPr>
          <w:rFonts w:ascii="Consolas" w:hAnsi="Consolas"/>
          <w:color w:val="A31C3C"/>
          <w:sz w:val="19"/>
        </w:rPr>
        <w:t>False</w:t>
      </w:r>
      <w:r>
        <w:t xml:space="preserve"> means: leave it alone and just keep streaming. It is currently True because the table has not had its first clean load yet. After one healthy run it must be set back to False — otherwise every restart wipes and rebuilds the table.</w:t>
      </w:r>
    </w:p>
    <w:p>
      <w:r>
        <w:rPr>
          <w:rFonts w:ascii="Consolas" w:hAnsi="Consolas"/>
          <w:color w:val="A31C3C"/>
          <w:sz w:val="19"/>
        </w:rPr>
        <w:t>_FACT_LOCK</w:t>
      </w:r>
      <w:r>
        <w:t xml:space="preserve"> (line 58) — this one repays a moment's thought. The two streams run their handlers on separate driver threads, and both write to the same Gold table with a delete-then-append sequence. Without a lock, one stream could append while the other was midway through deleting, and rows would be lost. The lock makes them take turns.</w:t>
      </w:r>
    </w:p>
    <w:p>
      <w:r>
        <w:rPr>
          <w:rFonts w:ascii="Consolas" w:hAnsi="Consolas"/>
          <w:color w:val="A31C3C"/>
          <w:sz w:val="19"/>
        </w:rPr>
        <w:t>SHIFT_FACTOR</w:t>
      </w:r>
      <w:r>
        <w:t xml:space="preserve"> (line 79) — set to 1.0, for the reason given in Part 0.1. It is applied as a multiplier anyway, and stored on the fact as </w:t>
      </w:r>
      <w:r>
        <w:rPr>
          <w:rFonts w:ascii="Consolas" w:hAnsi="Consolas"/>
          <w:color w:val="A31C3C"/>
          <w:sz w:val="19"/>
        </w:rPr>
        <w:t>shift_factor_applied</w:t>
      </w:r>
      <w:r>
        <w:t>, so that if the assumption about Silver scaling is ever wrong, the fix is a one-line constant change and the stored column tells you which rows were built under which assumption.</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Declare every configuration value the notebook uses, in one auditable place.</w:t>
            </w:r>
          </w:p>
        </w:tc>
      </w:tr>
      <w:tr>
        <w:tc>
          <w:tcPr>
            <w:tcW w:type="dxa" w:w="1656"/>
          </w:tcPr>
          <w:p>
            <w:r/>
            <w:r>
              <w:rPr>
                <w:b/>
                <w:sz w:val="17"/>
              </w:rPr>
              <w:t>Input</w:t>
            </w:r>
          </w:p>
        </w:tc>
        <w:tc>
          <w:tcPr>
            <w:tcW w:type="dxa" w:w="8064"/>
          </w:tcPr>
          <w:p>
            <w:r/>
            <w:r>
              <w:rPr>
                <w:sz w:val="18"/>
              </w:rPr>
              <w:t>Nothing — these are literals.</w:t>
            </w:r>
          </w:p>
        </w:tc>
      </w:tr>
      <w:tr>
        <w:tc>
          <w:tcPr>
            <w:tcW w:type="dxa" w:w="1656"/>
          </w:tcPr>
          <w:p>
            <w:r/>
            <w:r>
              <w:rPr>
                <w:b/>
                <w:sz w:val="17"/>
              </w:rPr>
              <w:t>Output</w:t>
            </w:r>
          </w:p>
        </w:tc>
        <w:tc>
          <w:tcPr>
            <w:tcW w:type="dxa" w:w="8064"/>
          </w:tcPr>
          <w:p>
            <w:r/>
            <w:r>
              <w:rPr>
                <w:sz w:val="18"/>
              </w:rPr>
              <w:t>Module-level constants used by every later cell.</w:t>
            </w:r>
          </w:p>
        </w:tc>
      </w:tr>
      <w:tr>
        <w:tc>
          <w:tcPr>
            <w:tcW w:type="dxa" w:w="1656"/>
          </w:tcPr>
          <w:p>
            <w:r/>
            <w:r>
              <w:rPr>
                <w:b/>
                <w:sz w:val="17"/>
              </w:rPr>
              <w:t>Fits the pipeline</w:t>
            </w:r>
          </w:p>
        </w:tc>
        <w:tc>
          <w:tcPr>
            <w:tcW w:type="dxa" w:w="8064"/>
          </w:tcPr>
          <w:p>
            <w:r/>
            <w:r>
              <w:rPr>
                <w:sz w:val="18"/>
              </w:rPr>
              <w:t xml:space="preserve">Stage 1 of the five-stage skeleton. Changing </w:t>
            </w:r>
            <w:r>
              <w:rPr>
                <w:rFonts w:ascii="Consolas" w:hAnsi="Consolas"/>
                <w:sz w:val="17"/>
              </w:rPr>
              <w:t>OVERWRITE</w:t>
            </w:r>
            <w:r>
              <w:rPr>
                <w:sz w:val="18"/>
              </w:rPr>
              <w:t xml:space="preserve"> here changes what Stage 4 does.</w:t>
            </w:r>
          </w:p>
        </w:tc>
      </w:tr>
    </w:tbl>
    <w:p>
      <w:pPr>
        <w:spacing w:after="80"/>
      </w:pPr>
    </w:p>
    <w:p>
      <w:pPr>
        <w:pStyle w:val="Heading3"/>
      </w:pPr>
      <w:r>
        <w:t>2.3  Cell In[2] — the small helpers (lines 86–107)</w:t>
      </w:r>
    </w:p>
    <w:p>
      <w:pPr>
        <w:spacing w:after="40"/>
      </w:pPr>
      <w:r>
        <w:rPr>
          <w:i/>
          <w:color w:val="606060"/>
          <w:sz w:val="17"/>
        </w:rPr>
        <w:t>lines 86–107</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HELPERS  (identical to nb_eso1_gold_fact_sales_order_freight)</w:t>
        <w:br/>
        <w:t># =============================================================================</w:t>
        <w:br/>
        <w:t>_SOFT_DELETE_COLS = ["is_delete", "deleted_date_time"]</w:t>
        <w:br/>
        <w:br/>
        <w:t>def sname(table_name):</w:t>
        <w:br/>
        <w:t xml:space="preserve">    """Fully-qualified Silver source name (== ESO7 v2 sname)."""</w:t>
        <w:br/>
        <w:t xml:space="preserve">    return f"{SRC_LAKEHOUSE}.{SRC_SCHEMA}.{table_name}"</w:t>
        <w:br/>
        <w:br/>
        <w:t>def load_silver_table(table_name):</w:t>
        <w:br/>
        <w:t xml:space="preserve">    df = spark.table(sname(table_name))</w:t>
        <w:br/>
        <w:t xml:space="preserve">    if "is_delete" in df.columns:</w:t>
        <w:br/>
        <w:t xml:space="preserve">        df = df.filter(F.col("is_delete") == 0)</w:t>
        <w:br/>
        <w:t xml:space="preserve">    return df.select(*[c for c in df.columns if c not in _SOFT_DELETE_COLS])</w:t>
        <w:br/>
        <w:br/>
        <w:t>def sk(*cols):</w:t>
        <w:br/>
        <w:t xml:space="preserve">    return F.sha2(F.concat_ws("||", *[F.col(c).cast("string") if isinstance(c, str) else c.cast("string")</w:t>
        <w:br/>
        <w:t xml:space="preserve">                                       for c in cols]), 256)</w:t>
        <w:br/>
        <w:br/>
        <w:t>def current_version(silver_table):</w:t>
        <w:br/>
        <w:t xml:space="preserve">    """Latest committed Delta version of a Silver source (for init_ver seed-skip)."""</w:t>
        <w:br/>
        <w:t xml:space="preserve">    return spark.sql(f"DESCRIBE HISTORY {sname(silver_table)}").select(F.max("version")).first()[0]</w:t>
      </w:r>
    </w:p>
    <w:p>
      <w:r>
        <w:rPr>
          <w:b w:val="0"/>
          <w:i w:val="0"/>
          <w:sz w:val="21"/>
        </w:rPr>
        <w:t>Four utilities. They are short, but three of them carry real meaning.</w:t>
      </w:r>
    </w:p>
    <w:p>
      <w:r>
        <w:rPr>
          <w:rFonts w:ascii="Consolas" w:hAnsi="Consolas"/>
          <w:color w:val="A31C3C"/>
          <w:sz w:val="19"/>
        </w:rPr>
        <w:t>sname()</w:t>
      </w:r>
      <w:r>
        <w:t xml:space="preserve"> builds a fully-qualified Silver table name — lakehouse, then schema, then table. Everything that reads Silver goes through it, so re-pointing the notebook at a different schema is a one-constant change.</w:t>
      </w:r>
    </w:p>
    <w:p>
      <w:r>
        <w:rPr>
          <w:rFonts w:ascii="Consolas" w:hAnsi="Consolas"/>
          <w:color w:val="A31C3C"/>
          <w:sz w:val="19"/>
        </w:rPr>
        <w:t>load_silver_table()</w:t>
      </w:r>
      <w:r>
        <w:t xml:space="preserve"> is the important one. It reads a Silver table and then does two things. It drops soft-deleted rows — Silver marks a deleted record with </w:t>
      </w:r>
      <w:r>
        <w:rPr>
          <w:rFonts w:ascii="Consolas" w:hAnsi="Consolas"/>
          <w:color w:val="A31C3C"/>
          <w:sz w:val="19"/>
        </w:rPr>
        <w:t>is_delete = 1</w:t>
      </w:r>
      <w:r>
        <w:t xml:space="preserve"> rather than physically removing it, so </w:t>
      </w:r>
      <w:r>
        <w:rPr>
          <w:rFonts w:ascii="Consolas" w:hAnsi="Consolas"/>
          <w:color w:val="A31C3C"/>
          <w:sz w:val="19"/>
        </w:rPr>
        <w:t>filter(is_delete == 0)</w:t>
      </w:r>
      <w:r>
        <w:t xml:space="preserve"> is what makes deletions in JDE actually disappear from our reports. Then it strips the two housekeeping columns </w:t>
      </w:r>
      <w:r>
        <w:rPr>
          <w:rFonts w:ascii="Consolas" w:hAnsi="Consolas"/>
          <w:color w:val="A31C3C"/>
          <w:sz w:val="19"/>
        </w:rPr>
        <w:t>is_delete</w:t>
      </w:r>
      <w:r>
        <w:t xml:space="preserve"> and </w:t>
      </w:r>
      <w:r>
        <w:rPr>
          <w:rFonts w:ascii="Consolas" w:hAnsi="Consolas"/>
          <w:color w:val="A31C3C"/>
          <w:sz w:val="19"/>
        </w:rPr>
        <w:t>deleted_date_time</w:t>
      </w:r>
      <w:r>
        <w:t xml:space="preserve"> out of the result, so plumbing never leaks into Gold. Note the </w:t>
      </w:r>
      <w:r>
        <w:rPr>
          <w:rFonts w:ascii="Consolas" w:hAnsi="Consolas"/>
          <w:color w:val="A31C3C"/>
          <w:sz w:val="19"/>
        </w:rPr>
        <w:t>if "is_delete" in df.columns</w:t>
      </w:r>
      <w:r>
        <w:t xml:space="preserve"> guard: not every Silver table has the column, and this way the helper works for all of them.</w:t>
      </w:r>
    </w:p>
    <w:p>
      <w:r>
        <w:rPr>
          <w:rFonts w:ascii="Consolas" w:hAnsi="Consolas"/>
          <w:color w:val="A31C3C"/>
          <w:sz w:val="19"/>
        </w:rPr>
        <w:t>sk()</w:t>
      </w:r>
      <w:r>
        <w:t xml:space="preserve"> builds a surrogate key: it casts each column to a string, joins them with a </w:t>
      </w:r>
      <w:r>
        <w:rPr>
          <w:rFonts w:ascii="Consolas" w:hAnsi="Consolas"/>
          <w:color w:val="A31C3C"/>
          <w:sz w:val="19"/>
        </w:rPr>
        <w:t>||</w:t>
      </w:r>
      <w:r>
        <w:t xml:space="preserve"> separator, and SHA-256 hashes the result. The separator matters — without it, ('AB','C') and ('A','BC') would hash identically. This gives a single fixed-width key column standing in for what would otherwise be an unwieldy multi-column key.</w:t>
      </w:r>
    </w:p>
    <w:p>
      <w:r>
        <w:rPr>
          <w:rFonts w:ascii="Consolas" w:hAnsi="Consolas"/>
          <w:color w:val="A31C3C"/>
          <w:sz w:val="19"/>
        </w:rPr>
        <w:t>current_version()</w:t>
      </w:r>
      <w:r>
        <w:t xml:space="preserve"> asks Delta what version a Silver table is on right now, via </w:t>
      </w:r>
      <w:r>
        <w:rPr>
          <w:rFonts w:ascii="Consolas" w:hAnsi="Consolas"/>
          <w:color w:val="A31C3C"/>
          <w:sz w:val="19"/>
        </w:rPr>
        <w:t>DESCRIBE HISTORY</w:t>
      </w:r>
      <w:r>
        <w:t>. Stage 4 uses it to record where the streams should begin.</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Provide the four primitives every later cell leans on.</w:t>
            </w:r>
          </w:p>
        </w:tc>
      </w:tr>
      <w:tr>
        <w:tc>
          <w:tcPr>
            <w:tcW w:type="dxa" w:w="1656"/>
          </w:tcPr>
          <w:p>
            <w:r/>
            <w:r>
              <w:rPr>
                <w:b/>
                <w:sz w:val="17"/>
              </w:rPr>
              <w:t>Input</w:t>
            </w:r>
          </w:p>
        </w:tc>
        <w:tc>
          <w:tcPr>
            <w:tcW w:type="dxa" w:w="8064"/>
          </w:tcPr>
          <w:p>
            <w:r/>
            <w:r>
              <w:rPr>
                <w:sz w:val="18"/>
              </w:rPr>
              <w:t xml:space="preserve">Silver table names (strings); column names for </w:t>
            </w:r>
            <w:r>
              <w:rPr>
                <w:rFonts w:ascii="Consolas" w:hAnsi="Consolas"/>
                <w:sz w:val="17"/>
              </w:rPr>
              <w:t>sk()</w:t>
            </w:r>
            <w:r>
              <w:rPr>
                <w:sz w:val="18"/>
              </w:rPr>
              <w:t>.</w:t>
            </w:r>
          </w:p>
        </w:tc>
      </w:tr>
      <w:tr>
        <w:tc>
          <w:tcPr>
            <w:tcW w:type="dxa" w:w="1656"/>
          </w:tcPr>
          <w:p>
            <w:r/>
            <w:r>
              <w:rPr>
                <w:b/>
                <w:sz w:val="17"/>
              </w:rPr>
              <w:t>Output</w:t>
            </w:r>
          </w:p>
        </w:tc>
        <w:tc>
          <w:tcPr>
            <w:tcW w:type="dxa" w:w="8064"/>
          </w:tcPr>
          <w:p>
            <w:r/>
            <w:r>
              <w:rPr>
                <w:sz w:val="18"/>
              </w:rPr>
              <w:t>DataFrames, Column expressions, and version numbers.</w:t>
            </w:r>
          </w:p>
        </w:tc>
      </w:tr>
      <w:tr>
        <w:tc>
          <w:tcPr>
            <w:tcW w:type="dxa" w:w="1656"/>
          </w:tcPr>
          <w:p>
            <w:r/>
            <w:r>
              <w:rPr>
                <w:b/>
                <w:sz w:val="17"/>
              </w:rPr>
              <w:t>Business logic</w:t>
            </w:r>
          </w:p>
        </w:tc>
        <w:tc>
          <w:tcPr>
            <w:tcW w:type="dxa" w:w="8064"/>
          </w:tcPr>
          <w:p>
            <w:r/>
            <w:r>
              <w:rPr>
                <w:sz w:val="18"/>
              </w:rPr>
            </w:r>
            <w:r>
              <w:rPr>
                <w:rFonts w:ascii="Consolas" w:hAnsi="Consolas"/>
                <w:sz w:val="17"/>
              </w:rPr>
              <w:t>load_silver_table</w:t>
            </w:r>
            <w:r>
              <w:rPr>
                <w:sz w:val="18"/>
              </w:rPr>
              <w:t xml:space="preserve"> is where JDE soft-deletes are honoured — the single place a deleted source row is excluded from all downstream Gold.</w:t>
            </w:r>
          </w:p>
        </w:tc>
      </w:tr>
      <w:tr>
        <w:tc>
          <w:tcPr>
            <w:tcW w:type="dxa" w:w="1656"/>
          </w:tcPr>
          <w:p>
            <w:r/>
            <w:r>
              <w:rPr>
                <w:b/>
                <w:sz w:val="17"/>
              </w:rPr>
              <w:t>Fits the pipeline</w:t>
            </w:r>
          </w:p>
        </w:tc>
        <w:tc>
          <w:tcPr>
            <w:tcW w:type="dxa" w:w="8064"/>
          </w:tcPr>
          <w:p>
            <w:r/>
            <w:r>
              <w:rPr>
                <w:sz w:val="18"/>
              </w:rPr>
              <w:t>Stage 2. Identical in all three notebooks, deliberately: copied rather than shared, because each notebook must be self-contained and runnable on its own.</w:t>
            </w:r>
          </w:p>
        </w:tc>
      </w:tr>
    </w:tbl>
    <w:p>
      <w:pPr>
        <w:spacing w:after="80"/>
      </w:pPr>
    </w:p>
    <w:p>
      <w:pPr>
        <w:pStyle w:val="Heading3"/>
      </w:pPr>
      <w:r>
        <w:t>2.4  Cell In[3] — the CDC write helper (lines 112–143)</w:t>
      </w:r>
    </w:p>
    <w:p>
      <w:pPr>
        <w:spacing w:after="40"/>
      </w:pPr>
      <w:r>
        <w:rPr>
          <w:i/>
          <w:color w:val="606060"/>
          <w:sz w:val="17"/>
        </w:rPr>
        <w:t>lines 112–143</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CDC WRITE HELPER — NO audit columns (CDF concept from nb_silver_to_gold_eso7_v2)</w:t>
        <w:br/>
        <w:t>#   Gold table stores business columns only — no record_hash / is_deleted /</w:t>
        <w:br/>
        <w:t>#   source_commit_timestamp / gold_updated_timestamp.</w:t>
        <w:br/>
        <w:t>#   • fact : delete the affected invoice-document scope, then APPEND freshly recomputed lines</w:t>
        <w:br/>
        <w:t>#            (handles insert/update/delete uniformly); writes serialised by _FACT_LOCK.</w:t>
        <w:br/>
        <w:t># =============================================================================</w:t>
        <w:br/>
        <w:t>def _write_new_table(df, target, cdf=True):</w:t>
        <w:br/>
        <w:t xml:space="preserve">    spark.sql(f"CREATE SCHEMA IF NOT EXISTS {GOLD_SCHEMA}")</w:t>
        <w:br/>
        <w:t xml:space="preserve">    w = df.write.format("delta").mode("overwrite").option("overwriteSchema", "true")</w:t>
        <w:br/>
        <w:t xml:space="preserve">    if cdf:</w:t>
        <w:br/>
        <w:t xml:space="preserve">        w = w.option("delta.enableChangeDataFeed", "true")   # Gold CDF on for downstream</w:t>
        <w:br/>
        <w:t xml:space="preserve">    w.saveAsTable(target)</w:t>
        <w:br/>
        <w:br/>
        <w:t>def recompute_fact(docs):</w:t>
        <w:br/>
        <w:t xml:space="preserve">    """CDC for the fact: delete the affected invoice-document scope then append the recomputed</w:t>
        <w:br/>
        <w:t xml:space="preserve">    lines (== ESO7 v2 / ESO1 recompute_fact). `docs` = distinct</w:t>
        <w:br/>
        <w:t xml:space="preserve">    company_key / document_type / invoice_number. Returns rows written."""</w:t>
        <w:br/>
        <w:t xml:space="preserve">    if docs.rdd.isEmpty():</w:t>
        <w:br/>
        <w:t xml:space="preserve">        return 0</w:t>
        <w:br/>
        <w:t xml:space="preserve">    src = transform_fact(restrict_docs=docs)</w:t>
        <w:br/>
        <w:t xml:space="preserve">    with _FACT_LOCK:</w:t>
        <w:br/>
        <w:t xml:space="preserve">        if not spark.catalog.tableExists(T_FACT):</w:t>
        <w:br/>
        <w:t xml:space="preserve">            _write_new_table(src, T_FACT)</w:t>
        <w:br/>
        <w:t xml:space="preserve">            return src.count()</w:t>
        <w:br/>
        <w:t xml:space="preserve">        scope = docs.select(sk("company_key", "document_type", "invoice_number")</w:t>
        <w:br/>
        <w:t xml:space="preserve">                            .alias("document_scope_key")).distinct()</w:t>
        <w:br/>
        <w:t xml:space="preserve">        (DeltaTable.forName(spark, T_FACT).alias("t")</w:t>
        <w:br/>
        <w:t xml:space="preserve">            .merge(scope.alias("s"), "t.document_scope_key = s.document_scope_key")</w:t>
        <w:br/>
        <w:t xml:space="preserve">            .whenMatchedDelete().execute())               # drop the document's old lines</w:t>
        <w:br/>
        <w:t xml:space="preserve">        src.write.format("delta").mode("append").saveAsTable(T_FACT)   # append current lines</w:t>
        <w:br/>
        <w:t xml:space="preserve">    return src.count()</w:t>
      </w:r>
    </w:p>
    <w:p>
      <w:r>
        <w:rPr>
          <w:b w:val="0"/>
          <w:i w:val="0"/>
          <w:sz w:val="21"/>
        </w:rPr>
        <w:t>Two functions. The first is trivial; the second is the heart of the notebook.</w:t>
      </w:r>
    </w:p>
    <w:p>
      <w:r>
        <w:rPr>
          <w:rFonts w:ascii="Consolas" w:hAnsi="Consolas"/>
          <w:color w:val="A31C3C"/>
          <w:sz w:val="19"/>
        </w:rPr>
        <w:t>_write_new_table()</w:t>
      </w:r>
      <w:r>
        <w:t xml:space="preserve"> creates the schema if needed and overwrites the target, turning Change Data Feed ON for the Gold table as it writes. Enabling CDF on Gold is forward planning: it means anything downstream of us could one day stream from our output the same way we stream from Silver. </w:t>
      </w:r>
      <w:r>
        <w:rPr>
          <w:rFonts w:ascii="Consolas" w:hAnsi="Consolas"/>
          <w:color w:val="A31C3C"/>
          <w:sz w:val="19"/>
        </w:rPr>
        <w:t>overwriteSchema</w:t>
      </w:r>
      <w:r>
        <w:t xml:space="preserve"> allows the column list to change between runs, which is exactly what a schema-changing full reload needs.</w:t>
      </w:r>
    </w:p>
    <w:p>
      <w:r>
        <w:rPr>
          <w:rFonts w:ascii="Consolas" w:hAnsi="Consolas"/>
          <w:color w:val="A31C3C"/>
          <w:sz w:val="19"/>
        </w:rPr>
        <w:t>recompute_fact(docs)</w:t>
      </w:r>
      <w:r>
        <w:t xml:space="preserve"> implements recompute-by-scope. Read it slowly:</w:t>
      </w:r>
    </w:p>
    <w:p>
      <w:pPr>
        <w:pStyle w:val="ListBullet"/>
        <w:spacing w:after="60"/>
        <w:ind w:left="360"/>
      </w:pPr>
      <w:r>
        <w:t>Line 130: if there are no changed documents, do nothing and return 0. This is the cheap-exit guard, and it is why an idle pipeline costs almost nothing.</w:t>
      </w:r>
    </w:p>
    <w:p>
      <w:pPr>
        <w:pStyle w:val="ListBullet"/>
        <w:spacing w:after="60"/>
        <w:ind w:left="360"/>
      </w:pPr>
      <w:r>
        <w:t>Line 132: rebuild the fact rows for just those documents, by calling transform_fact with a restriction. Nothing has executed yet — this is still a recipe.</w:t>
      </w:r>
    </w:p>
    <w:p>
      <w:pPr>
        <w:pStyle w:val="ListBullet"/>
        <w:spacing w:after="60"/>
        <w:ind w:left="360"/>
      </w:pPr>
      <w:r>
        <w:t>Line 133: take the lock. From here to the end of the block, no other stream can write.</w:t>
      </w:r>
    </w:p>
    <w:p>
      <w:pPr>
        <w:pStyle w:val="ListBullet"/>
        <w:spacing w:after="60"/>
        <w:ind w:left="360"/>
      </w:pPr>
      <w:r>
        <w:t>Lines 134–136: if the table does not exist yet, just create it. First-run case.</w:t>
      </w:r>
    </w:p>
    <w:p>
      <w:pPr>
        <w:pStyle w:val="ListBullet"/>
        <w:spacing w:after="60"/>
        <w:ind w:left="360"/>
      </w:pPr>
      <w:r>
        <w:t>Lines 137–138: compute the scope keys — the hash of company + document type + invoice number for each changed document.</w:t>
      </w:r>
    </w:p>
    <w:p>
      <w:pPr>
        <w:pStyle w:val="ListBullet"/>
        <w:spacing w:after="60"/>
        <w:ind w:left="360"/>
      </w:pPr>
      <w:r>
        <w:t>Lines 139–141: a MERGE whose only action is whenMatchedDelete. This deletes every existing fact row whose document_scope_key matches a changed document. Note what it does NOT do: it does not touch rows for any other invoice.</w:t>
      </w:r>
    </w:p>
    <w:p>
      <w:pPr>
        <w:pStyle w:val="ListBullet"/>
        <w:spacing w:after="60"/>
        <w:ind w:left="360"/>
      </w:pPr>
      <w:r>
        <w:t>Line 142: append the freshly computed rows.</w:t>
      </w:r>
    </w:p>
    <w:p>
      <w:r>
        <w:rPr>
          <w:b w:val="0"/>
          <w:i w:val="0"/>
          <w:sz w:val="21"/>
        </w:rPr>
        <w:t>The result is that the invoice's rows in Gold are now exactly what Silver currently implies, whether the change was an insert, an update, or a delete. In the delete case the recompute simply produces no rows, so the delete step removes the old ones and the append adds nothing — the invoice correctly vanishes. No special-case code was needed for that.</w:t>
      </w:r>
    </w:p>
    <w:p>
      <w:pPr>
        <w:spacing w:before="120" w:after="160"/>
        <w:ind w:left="144"/>
        <w:shd w:val="clear" w:fill="EAF1FB"/>
        <w:pBdr>
          <w:top w:val="single" w:sz="4" w:space="4" w:color="E8C48A"/>
          <w:left w:val="single" w:sz="4" w:space="4" w:color="E8C48A"/>
          <w:bottom w:val="single" w:sz="4" w:space="4" w:color="E8C48A"/>
          <w:right w:val="single" w:sz="4" w:space="4" w:color="E8C48A"/>
        </w:pBdr>
      </w:pPr>
      <w:r>
        <w:rPr>
          <w:b/>
          <w:sz w:val="20"/>
        </w:rPr>
        <w:t xml:space="preserve">Why a MERGE for a plain delete?  </w:t>
      </w:r>
      <w:r>
        <w:rPr>
          <w:sz w:val="20"/>
        </w:rPr>
        <w:t>You could write DELETE FROM … WHERE document_scope_key IN (…), but that would mean collecting the scope keys to the driver and building a SQL string. Expressing it as a MERGE against a DataFrame of scope keys keeps the whole thing distributed and set-based, and scales to a batch touching thousands of invoices without changing shape.</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Land recomputed fact rows into Gold, correctly, for one narrow scope at a time.</w:t>
            </w:r>
          </w:p>
        </w:tc>
      </w:tr>
      <w:tr>
        <w:tc>
          <w:tcPr>
            <w:tcW w:type="dxa" w:w="1656"/>
          </w:tcPr>
          <w:p>
            <w:r/>
            <w:r>
              <w:rPr>
                <w:b/>
                <w:sz w:val="17"/>
              </w:rPr>
              <w:t>Input</w:t>
            </w:r>
          </w:p>
        </w:tc>
        <w:tc>
          <w:tcPr>
            <w:tcW w:type="dxa" w:w="8064"/>
          </w:tcPr>
          <w:p>
            <w:r/>
            <w:r>
              <w:rPr>
                <w:sz w:val="18"/>
              </w:rPr>
            </w:r>
            <w:r>
              <w:rPr>
                <w:rFonts w:ascii="Consolas" w:hAnsi="Consolas"/>
                <w:sz w:val="17"/>
              </w:rPr>
              <w:t>docs</w:t>
            </w:r>
            <w:r>
              <w:rPr>
                <w:sz w:val="18"/>
              </w:rPr>
              <w:t xml:space="preserve"> — a DataFrame of distinct changed invoice documents (company_key, document_type, invoice_number).</w:t>
            </w:r>
          </w:p>
        </w:tc>
      </w:tr>
      <w:tr>
        <w:tc>
          <w:tcPr>
            <w:tcW w:type="dxa" w:w="1656"/>
          </w:tcPr>
          <w:p>
            <w:r/>
            <w:r>
              <w:rPr>
                <w:b/>
                <w:sz w:val="17"/>
              </w:rPr>
              <w:t>Output</w:t>
            </w:r>
          </w:p>
        </w:tc>
        <w:tc>
          <w:tcPr>
            <w:tcW w:type="dxa" w:w="8064"/>
          </w:tcPr>
          <w:p>
            <w:r/>
            <w:r>
              <w:rPr>
                <w:sz w:val="18"/>
              </w:rPr>
              <w:t xml:space="preserve">Rows written to </w:t>
            </w:r>
            <w:r>
              <w:rPr>
                <w:rFonts w:ascii="Consolas" w:hAnsi="Consolas"/>
                <w:sz w:val="17"/>
              </w:rPr>
              <w:t>rpt.fact_sales_tax_reconciliation</w:t>
            </w:r>
            <w:r>
              <w:rPr>
                <w:sz w:val="18"/>
              </w:rPr>
              <w:t>; returns the row count.</w:t>
            </w:r>
          </w:p>
        </w:tc>
      </w:tr>
      <w:tr>
        <w:tc>
          <w:tcPr>
            <w:tcW w:type="dxa" w:w="1656"/>
          </w:tcPr>
          <w:p>
            <w:r/>
            <w:r>
              <w:rPr>
                <w:b/>
                <w:sz w:val="17"/>
              </w:rPr>
              <w:t>Business logic</w:t>
            </w:r>
          </w:p>
        </w:tc>
        <w:tc>
          <w:tcPr>
            <w:tcW w:type="dxa" w:w="8064"/>
          </w:tcPr>
          <w:p>
            <w:r/>
            <w:r>
              <w:rPr>
                <w:sz w:val="18"/>
              </w:rPr>
              <w:t>Delete-scope-then-append. One code path serves insert, update and delete. Scope = one invoice document.</w:t>
            </w:r>
          </w:p>
        </w:tc>
      </w:tr>
      <w:tr>
        <w:tc>
          <w:tcPr>
            <w:tcW w:type="dxa" w:w="1656"/>
          </w:tcPr>
          <w:p>
            <w:r/>
            <w:r>
              <w:rPr>
                <w:b/>
                <w:sz w:val="17"/>
              </w:rPr>
              <w:t>Fits the pipeline</w:t>
            </w:r>
          </w:p>
        </w:tc>
        <w:tc>
          <w:tcPr>
            <w:tcW w:type="dxa" w:w="8064"/>
          </w:tcPr>
          <w:p>
            <w:r/>
            <w:r>
              <w:rPr>
                <w:sz w:val="18"/>
              </w:rPr>
              <w:t xml:space="preserve">Stage 3's write half. Called only from the two foreachBatch handlers in Cell In[6], and serialised by </w:t>
            </w:r>
            <w:r>
              <w:rPr>
                <w:rFonts w:ascii="Consolas" w:hAnsi="Consolas"/>
                <w:sz w:val="17"/>
              </w:rPr>
              <w:t>_FACT_LOCK</w:t>
            </w:r>
            <w:r>
              <w:rPr>
                <w:sz w:val="18"/>
              </w:rPr>
              <w:t xml:space="preserve"> because both call it concurrently.</w:t>
            </w:r>
          </w:p>
        </w:tc>
      </w:tr>
    </w:tbl>
    <w:p>
      <w:pPr>
        <w:spacing w:after="80"/>
      </w:pPr>
    </w:p>
    <w:p>
      <w:pPr>
        <w:pStyle w:val="Heading3"/>
      </w:pPr>
      <w:r>
        <w:t>2.5  Cell In[4], part 1 — the column definitions (lines 148–202)</w:t>
      </w:r>
    </w:p>
    <w:p>
      <w:pPr>
        <w:spacing w:after="40"/>
      </w:pPr>
      <w:r>
        <w:rPr>
          <w:i/>
          <w:color w:val="606060"/>
          <w:sz w:val="17"/>
        </w:rPr>
        <w:t>lines 148–202</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FACT  fact_sales_tax_reconciliation  (Hubble reconciliation grain)</w:t>
        <w:br/>
        <w:t>#   Grain = one row per Hubble GROUP BY tuple (see `hubble query.txt`): the report display</w:t>
        <w:br/>
        <w:t>#   columns below. Hubble's outer query SUMs the four amounts across F03B11 pay items — the</w:t>
        <w:br/>
        <w:t>#   F03B11 PK (RPDOC/RPDCT/RPKCO/RPSFX) lives in the inner SELECT DISTINCT only, NOT the</w:t>
        <w:br/>
        <w:t>#   GROUP BY — so pay items sharing a display tuple collapse into one summed row. Business</w:t>
        <w:br/>
        <w:t>#   Stream + Avalara Code are row-level calculations (§7). NO report filters applied (docx §5</w:t>
        <w:br/>
        <w:t>#   filters are report slicers, denormalized onto the fact instead).</w:t>
        <w:br/>
        <w:t># =============================================================================</w:t>
        <w:br/>
        <w:t># The GROUP BY key set (== Hubble `GROUP BY`, de-duplicated: RPOKCO=SDKCO, RPODOC=SDDOC,</w:t>
        <w:br/>
        <w:t># RPODCT=SDDCT and the C_/duplicate copies are redundant; XID_CUSTOM_8501fca6bf83d39 =</w:t>
        <w:br/>
        <w:t># concat(SDDOC,SDDCT) is functionally dependent on invoice_number+document_type already here).</w:t>
        <w:br/>
        <w:t>FACT_GROUP_BY_COLS = [</w:t>
        <w:br/>
        <w:t xml:space="preserve">    # ── degenerate / document identifiers ──</w:t>
        <w:br/>
        <w:t xml:space="preserve">    "document_company",        # XF4211_SDKCO (= XF03B11_RPOKCO)</w:t>
        <w:br/>
        <w:t xml:space="preserve">    "invoice_number",          # XF4211_SDDOC (= XF03B11_RPODOC)</w:t>
        <w:br/>
        <w:t xml:space="preserve">    "document_type",           # XF4211_SDDCT (= XF03B11_RPODCT)</w:t>
        <w:br/>
        <w:t xml:space="preserve">    "order_number",            # XF4211_SDDOCO</w:t>
        <w:br/>
        <w:t xml:space="preserve">    "order_type",              # XF4211_SDDCTO</w:t>
        <w:br/>
        <w:t xml:space="preserve">    # ── dimension FKs ──</w:t>
        <w:br/>
        <w:t xml:space="preserve">    "plant",                   # XF4211_SDMCU (= XC_F4211_SDMCU)</w:t>
        <w:br/>
        <w:t xml:space="preserve">    "ship_to",                 # XF4211_SDSHAN</w:t>
        <w:br/>
        <w:t xml:space="preserve">    "sold_to",                 # XF4211_SDAN8</w:t>
        <w:br/>
        <w:t xml:space="preserve">    "parent_number",           # XF4211_SDPA8</w:t>
        <w:br/>
        <w:t xml:space="preserve">    # ── tax attributes (degenerate) ──</w:t>
        <w:br/>
        <w:t xml:space="preserve">    "tax_explanation_code",    # XF4211_SDEXR1</w:t>
        <w:br/>
        <w:t xml:space="preserve">    "tax_area",                # XF03B11_RPTXA1</w:t>
        <w:br/>
        <w:t xml:space="preserve">    "avalara_code",            # XID_CUSTOM_8501fecff7aa51 (calc)</w:t>
        <w:br/>
        <w:t xml:space="preserve">    # ── classification (calc + denormalized slicer attrs) ──</w:t>
        <w:br/>
        <w:t xml:space="preserve">    "business_stream",         # XID_CUSTOM_84c76537583683 (calc; degenerate — needs ABSIC×MCRP20)</w:t>
        <w:br/>
        <w:t xml:space="preserve">    "sic_code",                # XF0101_ABSIC — FK → dim_sic (description resolved in the model)</w:t>
        <w:br/>
        <w:t xml:space="preserve">    # ── address / FK codes ──</w:t>
        <w:br/>
        <w:t xml:space="preserve">    "jurisdiction",            # XF0116_ALADDS raw code (e.g. "CO") — FK → dim_state (name in dim)</w:t>
        <w:br/>
        <w:t xml:space="preserve">    "county",                  # XF0116_ALCOUN (degenerate — not in the reused address dim)</w:t>
        <w:br/>
        <w:t xml:space="preserve">    # ── raw event dates ──</w:t>
        <w:br/>
        <w:t xml:space="preserve">    "gl_date",                 # XF4211_SDDGL</w:t>
        <w:br/>
        <w:t xml:space="preserve">    "service_tax_date",        # XF03B11_RPDSVJ</w:t>
        <w:br/>
        <w:t>]</w:t>
        <w:br/>
        <w:t># Attributes functionally dependent on the grain (carried through the aggregation, not grouped on).</w:t>
        <w:br/>
        <w:t># Full star schema: plant_name / business_stream_code (dim_business_unit), sic_description (dim_sic),</w:t>
        <w:br/>
        <w:t># and the state name (dim_state) all live in dimensions now — only the constant remains on the fact.</w:t>
        <w:br/>
        <w:t># business_stream_code is dropped from the GROUP BY too (functionally dependent on plant → dim_business_unit).</w:t>
        <w:br/>
        <w:t>FACT_CARRY_COLS = ["shift_factor_applied"]</w:t>
        <w:br/>
        <w:t># SUMmed measures (Hubble ReportColumn1-4).</w:t>
        <w:br/>
        <w:t>FACT_MEASURE_COLS = ["taxable_amount", "non_taxable_amount", "tax_amount", "gross_amount"]</w:t>
        <w:br/>
        <w:t># Stored fact columns, in report order — degenerate dims + FK codes + measures ONLY (star schema).</w:t>
        <w:br/>
        <w:t>FACT_BUSINESS_COLS = [</w:t>
        <w:br/>
        <w:t xml:space="preserve">    "document_company", "invoice_number", "document_type", "order_number", "order_type",</w:t>
        <w:br/>
        <w:t xml:space="preserve">    "plant", "ship_to", "sold_to", "parent_number",   # FKs → dim_business_unit / dim_address_*</w:t>
        <w:br/>
        <w:t xml:space="preserve">    "tax_explanation_code", "tax_area", "avalara_code",</w:t>
        <w:br/>
        <w:t xml:space="preserve">    "business_stream", "sic_code",                    # business_stream calc (degenerate); sic_code FK → dim_sic</w:t>
        <w:br/>
        <w:t xml:space="preserve">    "jurisdiction", "county",                         # jurisdiction FK → dim_state; county degenerate</w:t>
        <w:br/>
        <w:t xml:space="preserve">    "gl_date", "service_tax_date",</w:t>
        <w:br/>
        <w:t xml:space="preserve">    "taxable_amount", "non_taxable_amount", "tax_amount", "gross_amount", "shift_factor_applied",</w:t>
        <w:br/>
        <w:t>]</w:t>
      </w:r>
    </w:p>
    <w:p>
      <w:r>
        <w:rPr>
          <w:b w:val="0"/>
          <w:i w:val="0"/>
          <w:sz w:val="21"/>
        </w:rPr>
        <w:t>Before any transformation code, four Python lists declare the fact's shape. Keeping them as named lists rather than inlining the column names means the grain is stated once and reused — the GROUP BY, the surrogate key, and the final projection all read from the same source of truth.</w:t>
      </w:r>
    </w:p>
    <w:p>
      <w:pPr>
        <w:pStyle w:val="Heading4"/>
      </w:pPr>
      <w:r>
        <w:t>FACT_GROUP_BY_COLS — the grain (18 columns)</w:t>
      </w:r>
    </w:p>
    <w:p>
      <w:r>
        <w:rPr>
          <w:b w:val="0"/>
          <w:i w:val="0"/>
          <w:sz w:val="21"/>
        </w:rPr>
        <w:t>This is the answer to 'what does one row of this table mean?'. One row per distinct combination of these 18 values. The list is a de-duplicated copy of the Hubble query's GROUP BY, and the comment on each line gives the Hubble column it came from — that is your audit trail back to the legacy report.</w:t>
      </w:r>
    </w:p>
    <w:p>
      <w:r>
        <w:rPr>
          <w:b w:val="0"/>
          <w:i w:val="0"/>
          <w:sz w:val="21"/>
        </w:rPr>
        <w:t>The de-duplication is worth understanding. Hubble's GROUP BY had 25 entries, but several were redundant: RPOKCO always equals SDKCO because the join says so, and the C_ prefixed columns are literally the same column selected twice. Grouping by a column and by a copy of that column gives the same result as grouping by it once, so the redundant ones were dropped. The grain is identical; the list is just honest about it.</w:t>
      </w:r>
    </w:p>
    <w:p>
      <w:pPr>
        <w:pStyle w:val="Heading4"/>
      </w:pPr>
      <w:r>
        <w:t>FACT_CARRY_COLS, FACT_MEASURE_COLS, FACT_BUSINESS_COLS</w:t>
      </w:r>
    </w:p>
    <w:p>
      <w:r>
        <w:rPr>
          <w:b w:val="0"/>
          <w:i w:val="0"/>
          <w:sz w:val="21"/>
        </w:rPr>
        <w:t>FACT_CARRY_COLS holds attributes that come along for the ride — functionally dependent on the grain, so they need aggregating syntactically but not semantically. Only shift_factor_applied remains here; everything else that used to be carried (plant_name, sic_description, business_stream_code) moved into dimensions during the full-star-schema conversion.</w:t>
      </w:r>
    </w:p>
    <w:p>
      <w:r>
        <w:rPr>
          <w:b w:val="0"/>
          <w:i w:val="0"/>
          <w:sz w:val="21"/>
        </w:rPr>
        <w:t>FACT_MEASURE_COLS are the four amounts that get SUMmed. FACT_BUSINESS_COLS is the final stored column list in report order. The arithmetic reconciles: 18 grain + 1 carried + 4 measures = 23 stored columns.</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Declare the fact's grain and stored column list once, as data rather than as scattered literals.</w:t>
            </w:r>
          </w:p>
        </w:tc>
      </w:tr>
      <w:tr>
        <w:tc>
          <w:tcPr>
            <w:tcW w:type="dxa" w:w="1656"/>
          </w:tcPr>
          <w:p>
            <w:r/>
            <w:r>
              <w:rPr>
                <w:b/>
                <w:sz w:val="17"/>
              </w:rPr>
              <w:t>Input</w:t>
            </w:r>
          </w:p>
        </w:tc>
        <w:tc>
          <w:tcPr>
            <w:tcW w:type="dxa" w:w="8064"/>
          </w:tcPr>
          <w:p>
            <w:r/>
            <w:r>
              <w:rPr>
                <w:sz w:val="18"/>
              </w:rPr>
              <w:t>None — Python lists.</w:t>
            </w:r>
          </w:p>
        </w:tc>
      </w:tr>
      <w:tr>
        <w:tc>
          <w:tcPr>
            <w:tcW w:type="dxa" w:w="1656"/>
          </w:tcPr>
          <w:p>
            <w:r/>
            <w:r>
              <w:rPr>
                <w:b/>
                <w:sz w:val="17"/>
              </w:rPr>
              <w:t>Output</w:t>
            </w:r>
          </w:p>
        </w:tc>
        <w:tc>
          <w:tcPr>
            <w:tcW w:type="dxa" w:w="8064"/>
          </w:tcPr>
          <w:p>
            <w:r/>
            <w:r>
              <w:rPr>
                <w:sz w:val="18"/>
              </w:rPr>
              <w:t xml:space="preserve">Four lists driving the GROUP BY, the surrogate key, and the final </w:t>
            </w:r>
            <w:r>
              <w:rPr>
                <w:rFonts w:ascii="Consolas" w:hAnsi="Consolas"/>
                <w:sz w:val="17"/>
              </w:rPr>
              <w:t>select</w:t>
            </w:r>
            <w:r>
              <w:rPr>
                <w:sz w:val="18"/>
              </w:rPr>
              <w:t>.</w:t>
            </w:r>
          </w:p>
        </w:tc>
      </w:tr>
      <w:tr>
        <w:tc>
          <w:tcPr>
            <w:tcW w:type="dxa" w:w="1656"/>
          </w:tcPr>
          <w:p>
            <w:r/>
            <w:r>
              <w:rPr>
                <w:b/>
                <w:sz w:val="17"/>
              </w:rPr>
              <w:t>Business logic</w:t>
            </w:r>
          </w:p>
        </w:tc>
        <w:tc>
          <w:tcPr>
            <w:tcW w:type="dxa" w:w="8064"/>
          </w:tcPr>
          <w:p>
            <w:r/>
            <w:r>
              <w:rPr>
                <w:sz w:val="18"/>
              </w:rPr>
              <w:t>The grain IS the Hubble outer-query GROUP BY, minus provably redundant duplicates. Change these lists and you change the meaning of a row.</w:t>
            </w:r>
          </w:p>
        </w:tc>
      </w:tr>
      <w:tr>
        <w:tc>
          <w:tcPr>
            <w:tcW w:type="dxa" w:w="1656"/>
          </w:tcPr>
          <w:p>
            <w:r/>
            <w:r>
              <w:rPr>
                <w:b/>
                <w:sz w:val="17"/>
              </w:rPr>
              <w:t>Fits the pipeline</w:t>
            </w:r>
          </w:p>
        </w:tc>
        <w:tc>
          <w:tcPr>
            <w:tcW w:type="dxa" w:w="8064"/>
          </w:tcPr>
          <w:p>
            <w:r/>
            <w:r>
              <w:rPr>
                <w:sz w:val="18"/>
              </w:rPr>
              <w:t xml:space="preserve">Stage 3. Read by </w:t>
            </w:r>
            <w:r>
              <w:rPr>
                <w:rFonts w:ascii="Consolas" w:hAnsi="Consolas"/>
                <w:sz w:val="17"/>
              </w:rPr>
              <w:t>transform_fact</w:t>
            </w:r>
            <w:r>
              <w:rPr>
                <w:sz w:val="18"/>
              </w:rPr>
              <w:t xml:space="preserve"> immediately below.</w:t>
            </w:r>
          </w:p>
        </w:tc>
      </w:tr>
    </w:tbl>
    <w:p>
      <w:pPr>
        <w:spacing w:after="80"/>
      </w:pPr>
    </w:p>
    <w:p>
      <w:pPr>
        <w:pStyle w:val="Heading3"/>
      </w:pPr>
      <w:r>
        <w:t>2.6  Cell In[4], part 2 — loading and pre-collapsing the sources (lines 204–232)</w:t>
      </w:r>
    </w:p>
    <w:p>
      <w:pPr>
        <w:spacing w:after="40"/>
      </w:pPr>
      <w:r>
        <w:rPr>
          <w:i/>
          <w:color w:val="606060"/>
          <w:sz w:val="17"/>
        </w:rPr>
        <w:t>lines 204–232</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def transform_fact(restrict_docs=None):</w:t>
        <w:br/>
        <w:t xml:space="preserve">    sd  = load_silver_table(F4211_TBL)       # sales order detail (streamed source)</w:t>
        <w:br/>
        <w:t xml:space="preserve">    ar  = load_silver_table(F03B11_TBL)      # customer ledger    (streamed source)</w:t>
        <w:br/>
        <w:t xml:space="preserve">    bu  = load_silver_table(F0006_TBL)       # business unit master (static; business_stream calc input)</w:t>
        <w:br/>
        <w:t xml:space="preserve">    ab  = load_silver_table(F0101_TBL)       # address book master  (static; sic_code)</w:t>
        <w:br/>
        <w:t xml:space="preserve">    adr = load_silver_table(F0116_TBL)       # address by date      (static; jurisdiction/county)</w:t>
        <w:br/>
        <w:br/>
        <w:t xml:space="preserve">    # scope restriction (CDC): keep only the changed invoice documents' F4211 lines</w:t>
        <w:br/>
        <w:t xml:space="preserve">    if restrict_docs is not None:</w:t>
        <w:br/>
        <w:t xml:space="preserve">        sd = sd.join(restrict_docs.alias("rd"),</w:t>
        <w:br/>
        <w:t xml:space="preserve">                     (sd["company_key"] == F.col("rd.company_key")) &amp;</w:t>
        <w:br/>
        <w:t xml:space="preserve">                     (sd["document_type"] == F.col("rd.document_type")) &amp;</w:t>
        <w:br/>
        <w:t xml:space="preserve">                     (sd["doc_voucher_invoice_e"] == F.col("rd.invoice_number")), "left_semi")</w:t>
        <w:br/>
        <w:br/>
        <w:t xml:space="preserve">    # F0101 INNER F0116 (docx §4: ABAN8 = ALAN8) collapsed to one row per address so the LEFT join</w:t>
        <w:br/>
        <w:t xml:space="preserve">    # to F4211 can't fan the grain out. sic_code + jurisdiction stay RAW FK CODES here — their</w:t>
        <w:br/>
        <w:t xml:space="preserve">    # descriptions are resolved in the model via dim_sic (F0005 01/SC) and dim_state (F0005 00/S),</w:t>
        <w:br/>
        <w:t xml:space="preserve">    # built by nb_eso4_gold_dim_udc.py. (Full star schema — F0005 is no longer read on the fact.)</w:t>
        <w:br/>
        <w:t xml:space="preserve">    address = (ab.alias("ab")</w:t>
        <w:br/>
        <w:t xml:space="preserve">               .join(adr.alias("ad"), F.col("ab.address_number") == F.col("ad.address_number"), "inner")</w:t>
        <w:br/>
        <w:t xml:space="preserve">               .groupBy(F.col("ab.address_number").alias("addr_key"))</w:t>
        <w:br/>
        <w:t xml:space="preserve">               .agg(F.first(F.trim(F.col("ab.standard_industry_code")), ignorenulls=True).alias("sic_code"),   # ABSIC (FK dim_sic)</w:t>
        <w:br/>
        <w:t xml:space="preserve">                    F.first(F.trim(F.col("ad.state")),                   ignorenulls=True).alias("jurisdiction"),  # ALADDS (FK dim_state)</w:t>
        <w:br/>
        <w:t xml:space="preserve">                    F.first(F.trim(F.col("ad.county_address")),          ignorenulls=True).alias("county")))       # ALCOUN</w:t>
        <w:br/>
        <w:br/>
        <w:t xml:space="preserve">    # F0006 collapsed to one row per business unit — business_stream_code (MCRP20) feeds the</w:t>
        <w:br/>
        <w:t xml:space="preserve">    # Business Stream calc only; plant_name lives in dim_business_unit (not carried on the fact).</w:t>
        <w:br/>
        <w:t xml:space="preserve">    bunit = (bu.groupBy(F.col("cost_center").alias("bu_key"))</w:t>
        <w:br/>
        <w:t xml:space="preserve">             .agg(F.first(F.trim(F.col("category_code_cost_ct_020")), ignorenulls=True).alias("business_stream_code")))  # MCRP20</w:t>
      </w:r>
    </w:p>
    <w:p>
      <w:r>
        <w:rPr>
          <w:b w:val="0"/>
          <w:i w:val="0"/>
          <w:sz w:val="21"/>
        </w:rPr>
        <w:t>transform_fact is the whole business logic of ESO4 in one function. It takes an optional restrict_docs argument: pass nothing and it builds the entire fact (the full-load path); pass a DataFrame of changed documents and it builds only those (the CDC path). One function, both jobs — which is what guarantees a full reload and an incremental update produce identical rows.</w:t>
      </w:r>
    </w:p>
    <w:p>
      <w:r>
        <w:rPr>
          <w:b w:val="0"/>
          <w:i w:val="0"/>
          <w:sz w:val="21"/>
        </w:rPr>
        <w:t>Lines 205–209 load the five sources. Two are streamed sources being read here as ordinary snapshots — that is not a contradiction: the stream tells us WHAT changed, and then we re-read the current Silver state to compute the answer.</w:t>
      </w:r>
    </w:p>
    <w:p>
      <w:pPr>
        <w:pStyle w:val="Heading4"/>
      </w:pPr>
      <w:r>
        <w:t>The scope restriction (lines 212–216)</w:t>
      </w:r>
    </w:p>
    <w:p>
      <w:r>
        <w:t xml:space="preserve">This is a </w:t>
      </w:r>
      <w:r>
        <w:rPr>
          <w:rFonts w:ascii="Consolas" w:hAnsi="Consolas"/>
          <w:color w:val="A31C3C"/>
          <w:sz w:val="19"/>
        </w:rPr>
        <w:t>left_semi</w:t>
      </w:r>
      <w:r>
        <w:t xml:space="preserve"> join, and if you have not met one, it is the key to reading this block. A left semi join keeps rows from the left side that have a match on the right, and adds no columns from the right. It is a filter expressed as a join — 'keep the F4211 lines belonging to any of these changed invoices'. An inner join would have worked too, but it would have dragged the right side's columns in and, worse, duplicated left rows if the right side had duplicates. Semi join cannot do that.</w:t>
      </w:r>
    </w:p>
    <w:p>
      <w:pPr>
        <w:pStyle w:val="Heading4"/>
      </w:pPr>
      <w:r>
        <w:t>Pre-collapsing the address (lines 222–227)</w:t>
      </w:r>
    </w:p>
    <w:p>
      <w:r>
        <w:rPr>
          <w:b w:val="0"/>
          <w:i w:val="0"/>
          <w:sz w:val="21"/>
        </w:rPr>
        <w:t>This is defensive, and it addresses a real hazard called fan-out.</w:t>
      </w:r>
    </w:p>
    <w:p>
      <w:r>
        <w:rPr>
          <w:b w:val="0"/>
          <w:i w:val="0"/>
          <w:sz w:val="21"/>
        </w:rPr>
        <w:t>F0116 is effective-dated: one address number can have several rows. If you joined it straight onto the order lines, one order line would become three, and every dollar amount would be counted three times. The bug would be silent — no error, just wrong totals.</w:t>
      </w:r>
    </w:p>
    <w:p>
      <w:r>
        <w:rPr>
          <w:b w:val="0"/>
          <w:i w:val="0"/>
          <w:sz w:val="21"/>
        </w:rPr>
        <w:t>So the address is collapsed FIRST: join F0101 to F0116, group by address number, and take the first non-null value of each attribute. That guarantees exactly one row per address number, which in turn guarantees the later LEFT join to F4211 cannot multiply rows. The ignorenulls=True flag matters — without it, first() would happily return a null when a null happened to sort first, throwing away a perfectly good value on another row.</w:t>
      </w:r>
    </w:p>
    <w:p>
      <w:r>
        <w:rPr>
          <w:b w:val="0"/>
          <w:i w:val="0"/>
          <w:sz w:val="21"/>
        </w:rPr>
        <w:t>Note what the collapse selects: sic_code and jurisdiction as RAW CODES, trimmed. No descriptions. Those resolve through dim_sic and dim_state in the model. This is the star-schema rule from Part 0.2 in action.</w:t>
      </w:r>
    </w:p>
    <w:p>
      <w:r>
        <w:rPr>
          <w:b w:val="0"/>
          <w:i w:val="0"/>
          <w:sz w:val="21"/>
        </w:rPr>
        <w:t>Lines 231–232 do the same for F0006, for the same reason, keeping only MCRP20 — the one column the Business Stream calculation needs. plant_name is deliberately not carried; it lives in dim_business_unit.</w:t>
      </w:r>
    </w:p>
    <w:p>
      <w:pPr>
        <w:spacing w:before="120" w:after="160"/>
        <w:ind w:left="144"/>
        <w:shd w:val="clear" w:fill="FDECEA"/>
        <w:pBdr>
          <w:top w:val="single" w:sz="4" w:space="4" w:color="E8C48A"/>
          <w:left w:val="single" w:sz="4" w:space="4" w:color="E8C48A"/>
          <w:bottom w:val="single" w:sz="4" w:space="4" w:color="E8C48A"/>
          <w:right w:val="single" w:sz="4" w:space="4" w:color="E8C48A"/>
        </w:pBdr>
      </w:pPr>
      <w:r>
        <w:rPr>
          <w:b/>
          <w:sz w:val="20"/>
        </w:rPr>
        <w:t xml:space="preserve">The fan-out rule.  </w:t>
      </w:r>
      <w:r>
        <w:rPr>
          <w:sz w:val="20"/>
        </w:rPr>
        <w:t>Any time you join a table that might have more than one row per key onto a fact at line grain, you must collapse it first — with a groupBy/first as here, or a row_number window if you need a specific row. This is the most common way to silently corrupt a fact table, and the reason these two little pre-collapse blocks exist.</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Read the five sources, narrow to the changed scope if asked, and make the two lookup sources safe to join.</w:t>
            </w:r>
          </w:p>
        </w:tc>
      </w:tr>
      <w:tr>
        <w:tc>
          <w:tcPr>
            <w:tcW w:type="dxa" w:w="1656"/>
          </w:tcPr>
          <w:p>
            <w:r/>
            <w:r>
              <w:rPr>
                <w:b/>
                <w:sz w:val="17"/>
              </w:rPr>
              <w:t>Input</w:t>
            </w:r>
          </w:p>
        </w:tc>
        <w:tc>
          <w:tcPr>
            <w:tcW w:type="dxa" w:w="8064"/>
          </w:tcPr>
          <w:p>
            <w:r/>
            <w:r>
              <w:rPr>
                <w:sz w:val="18"/>
              </w:rPr>
              <w:t xml:space="preserve">Silver F4211, F03B11, F0006, F0101, F0116; optionally </w:t>
            </w:r>
            <w:r>
              <w:rPr>
                <w:rFonts w:ascii="Consolas" w:hAnsi="Consolas"/>
                <w:sz w:val="17"/>
              </w:rPr>
              <w:t>restrict_docs</w:t>
            </w:r>
            <w:r>
              <w:rPr>
                <w:sz w:val="18"/>
              </w:rPr>
              <w:t>.</w:t>
            </w:r>
          </w:p>
        </w:tc>
      </w:tr>
      <w:tr>
        <w:tc>
          <w:tcPr>
            <w:tcW w:type="dxa" w:w="1656"/>
          </w:tcPr>
          <w:p>
            <w:r/>
            <w:r>
              <w:rPr>
                <w:b/>
                <w:sz w:val="17"/>
              </w:rPr>
              <w:t>Output</w:t>
            </w:r>
          </w:p>
        </w:tc>
        <w:tc>
          <w:tcPr>
            <w:tcW w:type="dxa" w:w="8064"/>
          </w:tcPr>
          <w:p>
            <w:r/>
            <w:r>
              <w:rPr>
                <w:sz w:val="18"/>
              </w:rPr>
              <w:t>Five DataFrames, two of them guaranteed one-row-per-key.</w:t>
            </w:r>
          </w:p>
        </w:tc>
      </w:tr>
      <w:tr>
        <w:tc>
          <w:tcPr>
            <w:tcW w:type="dxa" w:w="1656"/>
          </w:tcPr>
          <w:p>
            <w:r/>
            <w:r>
              <w:rPr>
                <w:b/>
                <w:sz w:val="17"/>
              </w:rPr>
              <w:t>Business logic</w:t>
            </w:r>
          </w:p>
        </w:tc>
        <w:tc>
          <w:tcPr>
            <w:tcW w:type="dxa" w:w="8064"/>
          </w:tcPr>
          <w:p>
            <w:r/>
            <w:r>
              <w:rPr>
                <w:sz w:val="18"/>
              </w:rPr>
              <w:t xml:space="preserve">Soft-deletes already excluded by </w:t>
            </w:r>
            <w:r>
              <w:rPr>
                <w:rFonts w:ascii="Consolas" w:hAnsi="Consolas"/>
                <w:sz w:val="17"/>
              </w:rPr>
              <w:t>load_silver_table</w:t>
            </w:r>
            <w:r>
              <w:rPr>
                <w:sz w:val="18"/>
              </w:rPr>
              <w:t>. F0101 INNER F0116 per requirements §4. Codes kept raw — descriptions belong to dimensions.</w:t>
            </w:r>
          </w:p>
        </w:tc>
      </w:tr>
      <w:tr>
        <w:tc>
          <w:tcPr>
            <w:tcW w:type="dxa" w:w="1656"/>
          </w:tcPr>
          <w:p>
            <w:r/>
            <w:r>
              <w:rPr>
                <w:b/>
                <w:sz w:val="17"/>
              </w:rPr>
              <w:t>Fits the pipeline</w:t>
            </w:r>
          </w:p>
        </w:tc>
        <w:tc>
          <w:tcPr>
            <w:tcW w:type="dxa" w:w="8064"/>
          </w:tcPr>
          <w:p>
            <w:r/>
            <w:r>
              <w:rPr>
                <w:sz w:val="18"/>
              </w:rPr>
              <w:t>Stage 3. The single function serving both the full load (Cell In[5]) and every incremental recompute (Cell In[3]).</w:t>
            </w:r>
          </w:p>
        </w:tc>
      </w:tr>
    </w:tbl>
    <w:p>
      <w:pPr>
        <w:spacing w:after="80"/>
      </w:pPr>
    </w:p>
    <w:p>
      <w:pPr>
        <w:pStyle w:val="Heading3"/>
      </w:pPr>
      <w:r>
        <w:t>2.7  Cell In[4], part 3 — the joins (lines 234–242)</w:t>
      </w:r>
    </w:p>
    <w:p>
      <w:pPr>
        <w:spacing w:after="40"/>
      </w:pPr>
      <w:r>
        <w:rPr>
          <w:i/>
          <w:color w:val="606060"/>
          <w:sz w:val="17"/>
        </w:rPr>
        <w:t>lines 234–242</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xml:space="preserve">    # ── joins (docx §4, every join used; NO filters) ──────────────────────────────</w:t>
        <w:br/>
        <w:t xml:space="preserve">    j = (sd.alias("sd")</w:t>
        <w:br/>
        <w:t xml:space="preserve">         .join(ar.alias("ar"),                                                     # INNER</w:t>
        <w:br/>
        <w:t xml:space="preserve">               (F.col("sd.doc_voucher_invoice_e") == F.col("ar.original_document_no")) &amp;   # SDDOC = RPODOC</w:t>
        <w:br/>
        <w:t xml:space="preserve">               (F.col("sd.document_type")         == F.col("ar.original_document_type")) &amp; # SDDCT = RPODCT</w:t>
        <w:br/>
        <w:t xml:space="preserve">               (F.col("sd.company_key")           == F.col("ar.company_key_original")) &amp;   # SDKCO = RPOKCO</w:t>
        <w:br/>
        <w:t xml:space="preserve">               (F.col("sd.line_number")           == F.col("ar.line_number")), "inner")    # SDLNID = RPLNID</w:t>
        <w:br/>
        <w:t xml:space="preserve">         .join(bunit.alias("bu"), F.col("sd.cost_center") == F.col("bu.bu_key"), "left")   # SDMCU = MCMCU</w:t>
        <w:br/>
        <w:t xml:space="preserve">         .join(address.alias("ad"), F.col("sd.address_number_ship_to") == F.col("ad.addr_key"), "left"))  # SDSHAN = ABAN8</w:t>
      </w:r>
    </w:p>
    <w:p>
      <w:r>
        <w:rPr>
          <w:b w:val="0"/>
          <w:i w:val="0"/>
          <w:sz w:val="21"/>
        </w:rPr>
        <w:t>Three joins, exactly as the requirements document specifies, and no filters.</w:t>
      </w:r>
    </w:p>
    <w:p>
      <w:r>
        <w:rPr>
          <w:b w:val="0"/>
          <w:i w:val="0"/>
          <w:sz w:val="21"/>
        </w:rPr>
        <w:t>The first is the important one: F4211 INNER JOIN F03B11 on four columns at once — document number, document type, company, and line number. Four columns because that is what identifies an invoice line in JDE; fewer would over-match. It is INNER, and that is a business statement, not a technicality: an order line with no invoice has no tax to reconcile, so it should not appear. The INNER join is what enforces that.</w:t>
      </w:r>
    </w:p>
    <w:p>
      <w:r>
        <w:rPr>
          <w:b w:val="0"/>
          <w:i w:val="0"/>
          <w:sz w:val="21"/>
        </w:rPr>
        <w:t>The other two are LEFT joins, to business unit and to address. LEFT because a missing plant or a missing address should not delete the invoice from a tax report — it should show up with a blank attribute so somebody can notice and fix the master data. Choosing INNER here would silently hide rows, which on a tax reconciliation report is the worst possible failure.</w:t>
      </w:r>
    </w:p>
    <w:p>
      <w:r>
        <w:rPr>
          <w:b w:val="0"/>
          <w:i w:val="0"/>
          <w:sz w:val="21"/>
        </w:rPr>
        <w:t>Both right-hand sides were pre-collapsed in the previous block, so neither can fan out the grain.</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Assemble the five sources into one wide row per order line.</w:t>
            </w:r>
          </w:p>
        </w:tc>
      </w:tr>
      <w:tr>
        <w:tc>
          <w:tcPr>
            <w:tcW w:type="dxa" w:w="1656"/>
          </w:tcPr>
          <w:p>
            <w:r/>
            <w:r>
              <w:rPr>
                <w:b/>
                <w:sz w:val="17"/>
              </w:rPr>
              <w:t>Input</w:t>
            </w:r>
          </w:p>
        </w:tc>
        <w:tc>
          <w:tcPr>
            <w:tcW w:type="dxa" w:w="8064"/>
          </w:tcPr>
          <w:p>
            <w:r/>
            <w:r>
              <w:rPr>
                <w:sz w:val="18"/>
              </w:rPr>
            </w:r>
            <w:r>
              <w:rPr>
                <w:rFonts w:ascii="Consolas" w:hAnsi="Consolas"/>
                <w:sz w:val="17"/>
              </w:rPr>
              <w:t>sd</w:t>
            </w:r>
            <w:r>
              <w:rPr>
                <w:sz w:val="18"/>
              </w:rPr>
              <w:t xml:space="preserve">, </w:t>
            </w:r>
            <w:r>
              <w:rPr>
                <w:rFonts w:ascii="Consolas" w:hAnsi="Consolas"/>
                <w:sz w:val="17"/>
              </w:rPr>
              <w:t>ar</w:t>
            </w:r>
            <w:r>
              <w:rPr>
                <w:sz w:val="18"/>
              </w:rPr>
              <w:t xml:space="preserve">, </w:t>
            </w:r>
            <w:r>
              <w:rPr>
                <w:rFonts w:ascii="Consolas" w:hAnsi="Consolas"/>
                <w:sz w:val="17"/>
              </w:rPr>
              <w:t>bunit</w:t>
            </w:r>
            <w:r>
              <w:rPr>
                <w:sz w:val="18"/>
              </w:rPr>
              <w:t xml:space="preserve">, </w:t>
            </w:r>
            <w:r>
              <w:rPr>
                <w:rFonts w:ascii="Consolas" w:hAnsi="Consolas"/>
                <w:sz w:val="17"/>
              </w:rPr>
              <w:t>address</w:t>
            </w:r>
            <w:r>
              <w:rPr>
                <w:sz w:val="18"/>
              </w:rPr>
              <w:t>.</w:t>
            </w:r>
          </w:p>
        </w:tc>
      </w:tr>
      <w:tr>
        <w:tc>
          <w:tcPr>
            <w:tcW w:type="dxa" w:w="1656"/>
          </w:tcPr>
          <w:p>
            <w:r/>
            <w:r>
              <w:rPr>
                <w:b/>
                <w:sz w:val="17"/>
              </w:rPr>
              <w:t>Output</w:t>
            </w:r>
          </w:p>
        </w:tc>
        <w:tc>
          <w:tcPr>
            <w:tcW w:type="dxa" w:w="8064"/>
          </w:tcPr>
          <w:p>
            <w:r/>
            <w:r>
              <w:rPr>
                <w:sz w:val="18"/>
              </w:rPr>
            </w:r>
            <w:r>
              <w:rPr>
                <w:rFonts w:ascii="Consolas" w:hAnsi="Consolas"/>
                <w:sz w:val="17"/>
              </w:rPr>
              <w:t>j</w:t>
            </w:r>
            <w:r>
              <w:rPr>
                <w:sz w:val="18"/>
              </w:rPr>
              <w:t xml:space="preserve"> — the joined DataFrame, still at order-line grain.</w:t>
            </w:r>
          </w:p>
        </w:tc>
      </w:tr>
      <w:tr>
        <w:tc>
          <w:tcPr>
            <w:tcW w:type="dxa" w:w="1656"/>
          </w:tcPr>
          <w:p>
            <w:r/>
            <w:r>
              <w:rPr>
                <w:b/>
                <w:sz w:val="17"/>
              </w:rPr>
              <w:t>Business logic</w:t>
            </w:r>
          </w:p>
        </w:tc>
        <w:tc>
          <w:tcPr>
            <w:tcW w:type="dxa" w:w="8064"/>
          </w:tcPr>
          <w:p>
            <w:r/>
            <w:r>
              <w:rPr>
                <w:sz w:val="18"/>
              </w:rPr>
              <w:t>INNER to F03B11 (no invoice, no tax line). LEFT to F0006/address (missing master data must not hide an invoice). Join keys per requirements §4.</w:t>
            </w:r>
          </w:p>
        </w:tc>
      </w:tr>
      <w:tr>
        <w:tc>
          <w:tcPr>
            <w:tcW w:type="dxa" w:w="1656"/>
          </w:tcPr>
          <w:p>
            <w:r/>
            <w:r>
              <w:rPr>
                <w:b/>
                <w:sz w:val="17"/>
              </w:rPr>
              <w:t>Fits the pipeline</w:t>
            </w:r>
          </w:p>
        </w:tc>
        <w:tc>
          <w:tcPr>
            <w:tcW w:type="dxa" w:w="8064"/>
          </w:tcPr>
          <w:p>
            <w:r/>
            <w:r>
              <w:rPr>
                <w:sz w:val="18"/>
              </w:rPr>
              <w:t>Stage 3. Mirrors the Hubble query's FROM clause one-for-one — minus the ShiftFactor temp table, which became a constant.</w:t>
            </w:r>
          </w:p>
        </w:tc>
      </w:tr>
    </w:tbl>
    <w:p>
      <w:pPr>
        <w:spacing w:after="80"/>
      </w:pPr>
    </w:p>
    <w:p>
      <w:pPr>
        <w:pStyle w:val="Heading3"/>
      </w:pPr>
      <w:r>
        <w:t>2.8  Cell In[4], part 4 — the two calculations (lines 244–262)</w:t>
      </w:r>
    </w:p>
    <w:p>
      <w:pPr>
        <w:spacing w:after="40"/>
      </w:pPr>
      <w:r>
        <w:rPr>
          <w:i/>
          <w:color w:val="606060"/>
          <w:sz w:val="17"/>
        </w:rPr>
        <w:t>lines 244–262</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xml:space="preserve">    # ── Business Stream (docx §7 calculation) — ABSIC (F0101) × MCRP20 (F0006) ──────</w:t>
        <w:br/>
        <w:t xml:space="preserve">    _absic  = F.trim(F.col("ad.sic_code"))</w:t>
        <w:br/>
        <w:t xml:space="preserve">    _mcrp20 = F.trim(F.col("bu.business_stream_code"))</w:t>
        <w:br/>
        <w:t xml:space="preserve">    business_stream = (F.when((_absic == "F") &amp; (_mcrp20 == "ENG"), F.lit("O&amp;G"))</w:t>
        <w:br/>
        <w:t xml:space="preserve">                        .when((_absic != "F") &amp; (_mcrp20 == "ENG"), F.lit("ISP"))</w:t>
        <w:br/>
        <w:t xml:space="preserve">                        .when((_absic != "F") &amp; (_mcrp20 == "SHR"), F.lit("ISP"))</w:t>
        <w:br/>
        <w:t xml:space="preserve">                        .when((_absic == "F") &amp; (_mcrp20 == "SHR"), F.lit("O&amp;G"))</w:t>
        <w:br/>
        <w:t xml:space="preserve">                        .when(~_mcrp20.isin("ENG", "SHR"), F.lit("ISP")))</w:t>
        <w:br/>
        <w:br/>
        <w:t xml:space="preserve">    # ── Avalara Code (docx §6 col 16 "Calculation — See Below"; §7 does not define it) ──</w:t>
        <w:br/>
        <w:t xml:space="preserve">    # INFERRED from Hubble XID_CUSTOM_8501fecff7aa51 = RTRIM(LTRIM(NVL(SDDOC,-999999999)))</w:t>
        <w:br/>
        <w:t xml:space="preserve">    #          || RTRIM(LTRIM(NVL(SDDCT,''))) || RTRIM(LTRIM(NVL(SDKCO,''))). Flagged in design.</w:t>
        <w:br/>
        <w:t xml:space="preserve">    # SDDOC (doc_voucher_invoice_e) is a Silver decimal; cast via long to drop the fractional part</w:t>
        <w:br/>
        <w:t xml:space="preserve">    # ("11843107.000000000000000000" → "11843107") — matches Oracle's integer NUMBER concat. SDKCO</w:t>
        <w:br/>
        <w:t xml:space="preserve">    # stays a string so leading zeros ("00400") are preserved.</w:t>
        <w:br/>
        <w:t xml:space="preserve">    avalara_code = F.concat(</w:t>
        <w:br/>
        <w:t xml:space="preserve">        F.coalesce(F.trim(F.col("sd.doc_voucher_invoice_e").cast("long").cast("string")), F.lit("-999999999")),</w:t>
        <w:br/>
        <w:t xml:space="preserve">        F.coalesce(F.trim(F.col("sd.document_type")),                                      F.lit("")),</w:t>
        <w:br/>
        <w:t xml:space="preserve">        F.coalesce(F.trim(F.col("sd.company_key").cast("string")),                         F.lit("")))</w:t>
      </w:r>
    </w:p>
    <w:p>
      <w:r>
        <w:rPr>
          <w:b w:val="0"/>
          <w:i w:val="0"/>
          <w:sz w:val="21"/>
        </w:rPr>
        <w:t>These are the only two genuine derivations in ESO4, and they are the reason this is a Gold layer rather than a view.</w:t>
      </w:r>
    </w:p>
    <w:p>
      <w:pPr>
        <w:pStyle w:val="Heading4"/>
      </w:pPr>
      <w:r>
        <w:t>Business Stream (lines 245–251)</w:t>
      </w:r>
    </w:p>
    <w:p>
      <w:r>
        <w:rPr>
          <w:b w:val="0"/>
          <w:i w:val="0"/>
          <w:sz w:val="21"/>
        </w:rPr>
        <w:t>The report classifies every line as O&amp;G (oil and gas) or ISP (industrial and specialty products). The rule combines the customer's SIC code from F0101 with the plant's category code 20 from F0006:</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18"/>
              </w:rPr>
              <w:t>Customer SIC (ABSIC)</w:t>
            </w:r>
          </w:p>
        </w:tc>
        <w:tc>
          <w:tcPr>
            <w:tcW w:type="dxa" w:w="3456"/>
          </w:tcPr>
          <w:p>
            <w:r/>
            <w:r>
              <w:rPr>
                <w:b/>
                <w:sz w:val="18"/>
              </w:rPr>
              <w:t>Plant category code (MCRP20)</w:t>
            </w:r>
          </w:p>
        </w:tc>
        <w:tc>
          <w:tcPr>
            <w:tcW w:type="dxa" w:w="1872"/>
          </w:tcPr>
          <w:p>
            <w:r/>
            <w:r>
              <w:rPr>
                <w:b/>
                <w:sz w:val="18"/>
              </w:rPr>
              <w:t>Business Stream</w:t>
            </w:r>
          </w:p>
        </w:tc>
      </w:tr>
      <w:tr>
        <w:tc>
          <w:tcPr>
            <w:tcW w:type="dxa" w:w="2448"/>
          </w:tcPr>
          <w:p>
            <w:pPr>
              <w:spacing w:after="40"/>
            </w:pPr>
            <w:r/>
            <w:r>
              <w:rPr>
                <w:sz w:val="17"/>
              </w:rPr>
            </w:r>
            <w:r>
              <w:rPr>
                <w:rFonts w:ascii="Consolas" w:hAnsi="Consolas"/>
                <w:sz w:val="16"/>
              </w:rPr>
              <w:t>F</w:t>
            </w:r>
            <w:r>
              <w:rPr>
                <w:sz w:val="17"/>
              </w:rPr>
            </w:r>
          </w:p>
        </w:tc>
        <w:tc>
          <w:tcPr>
            <w:tcW w:type="dxa" w:w="3456"/>
          </w:tcPr>
          <w:p>
            <w:pPr>
              <w:spacing w:after="40"/>
            </w:pPr>
            <w:r/>
            <w:r>
              <w:rPr>
                <w:sz w:val="17"/>
              </w:rPr>
            </w:r>
            <w:r>
              <w:rPr>
                <w:rFonts w:ascii="Consolas" w:hAnsi="Consolas"/>
                <w:sz w:val="16"/>
              </w:rPr>
              <w:t>ENG</w:t>
            </w:r>
            <w:r>
              <w:rPr>
                <w:sz w:val="17"/>
              </w:rPr>
            </w:r>
          </w:p>
        </w:tc>
        <w:tc>
          <w:tcPr>
            <w:tcW w:type="dxa" w:w="1872"/>
          </w:tcPr>
          <w:p>
            <w:pPr>
              <w:spacing w:after="40"/>
            </w:pPr>
            <w:r/>
            <w:r>
              <w:rPr>
                <w:sz w:val="17"/>
              </w:rPr>
              <w:t>O&amp;G</w:t>
            </w:r>
          </w:p>
        </w:tc>
      </w:tr>
      <w:tr>
        <w:tc>
          <w:tcPr>
            <w:tcW w:type="dxa" w:w="2448"/>
          </w:tcPr>
          <w:p>
            <w:pPr>
              <w:spacing w:after="40"/>
            </w:pPr>
            <w:r/>
            <w:r>
              <w:rPr>
                <w:sz w:val="17"/>
              </w:rPr>
              <w:t xml:space="preserve">not </w:t>
            </w:r>
            <w:r>
              <w:rPr>
                <w:rFonts w:ascii="Consolas" w:hAnsi="Consolas"/>
                <w:sz w:val="16"/>
              </w:rPr>
              <w:t>F</w:t>
            </w:r>
            <w:r>
              <w:rPr>
                <w:sz w:val="17"/>
              </w:rPr>
            </w:r>
          </w:p>
        </w:tc>
        <w:tc>
          <w:tcPr>
            <w:tcW w:type="dxa" w:w="3456"/>
          </w:tcPr>
          <w:p>
            <w:pPr>
              <w:spacing w:after="40"/>
            </w:pPr>
            <w:r/>
            <w:r>
              <w:rPr>
                <w:sz w:val="17"/>
              </w:rPr>
            </w:r>
            <w:r>
              <w:rPr>
                <w:rFonts w:ascii="Consolas" w:hAnsi="Consolas"/>
                <w:sz w:val="16"/>
              </w:rPr>
              <w:t>ENG</w:t>
            </w:r>
            <w:r>
              <w:rPr>
                <w:sz w:val="17"/>
              </w:rPr>
            </w:r>
          </w:p>
        </w:tc>
        <w:tc>
          <w:tcPr>
            <w:tcW w:type="dxa" w:w="1872"/>
          </w:tcPr>
          <w:p>
            <w:pPr>
              <w:spacing w:after="40"/>
            </w:pPr>
            <w:r/>
            <w:r>
              <w:rPr>
                <w:sz w:val="17"/>
              </w:rPr>
              <w:t>ISP</w:t>
            </w:r>
          </w:p>
        </w:tc>
      </w:tr>
      <w:tr>
        <w:tc>
          <w:tcPr>
            <w:tcW w:type="dxa" w:w="2448"/>
          </w:tcPr>
          <w:p>
            <w:pPr>
              <w:spacing w:after="40"/>
            </w:pPr>
            <w:r/>
            <w:r>
              <w:rPr>
                <w:sz w:val="17"/>
              </w:rPr>
              <w:t xml:space="preserve">not </w:t>
            </w:r>
            <w:r>
              <w:rPr>
                <w:rFonts w:ascii="Consolas" w:hAnsi="Consolas"/>
                <w:sz w:val="16"/>
              </w:rPr>
              <w:t>F</w:t>
            </w:r>
            <w:r>
              <w:rPr>
                <w:sz w:val="17"/>
              </w:rPr>
            </w:r>
          </w:p>
        </w:tc>
        <w:tc>
          <w:tcPr>
            <w:tcW w:type="dxa" w:w="3456"/>
          </w:tcPr>
          <w:p>
            <w:pPr>
              <w:spacing w:after="40"/>
            </w:pPr>
            <w:r/>
            <w:r>
              <w:rPr>
                <w:sz w:val="17"/>
              </w:rPr>
            </w:r>
            <w:r>
              <w:rPr>
                <w:rFonts w:ascii="Consolas" w:hAnsi="Consolas"/>
                <w:sz w:val="16"/>
              </w:rPr>
              <w:t>SHR</w:t>
            </w:r>
            <w:r>
              <w:rPr>
                <w:sz w:val="17"/>
              </w:rPr>
            </w:r>
          </w:p>
        </w:tc>
        <w:tc>
          <w:tcPr>
            <w:tcW w:type="dxa" w:w="1872"/>
          </w:tcPr>
          <w:p>
            <w:pPr>
              <w:spacing w:after="40"/>
            </w:pPr>
            <w:r/>
            <w:r>
              <w:rPr>
                <w:sz w:val="17"/>
              </w:rPr>
              <w:t>ISP</w:t>
            </w:r>
          </w:p>
        </w:tc>
      </w:tr>
      <w:tr>
        <w:tc>
          <w:tcPr>
            <w:tcW w:type="dxa" w:w="2448"/>
          </w:tcPr>
          <w:p>
            <w:pPr>
              <w:spacing w:after="40"/>
            </w:pPr>
            <w:r/>
            <w:r>
              <w:rPr>
                <w:sz w:val="17"/>
              </w:rPr>
            </w:r>
            <w:r>
              <w:rPr>
                <w:rFonts w:ascii="Consolas" w:hAnsi="Consolas"/>
                <w:sz w:val="16"/>
              </w:rPr>
              <w:t>F</w:t>
            </w:r>
            <w:r>
              <w:rPr>
                <w:sz w:val="17"/>
              </w:rPr>
            </w:r>
          </w:p>
        </w:tc>
        <w:tc>
          <w:tcPr>
            <w:tcW w:type="dxa" w:w="3456"/>
          </w:tcPr>
          <w:p>
            <w:pPr>
              <w:spacing w:after="40"/>
            </w:pPr>
            <w:r/>
            <w:r>
              <w:rPr>
                <w:sz w:val="17"/>
              </w:rPr>
            </w:r>
            <w:r>
              <w:rPr>
                <w:rFonts w:ascii="Consolas" w:hAnsi="Consolas"/>
                <w:sz w:val="16"/>
              </w:rPr>
              <w:t>SHR</w:t>
            </w:r>
            <w:r>
              <w:rPr>
                <w:sz w:val="17"/>
              </w:rPr>
            </w:r>
          </w:p>
        </w:tc>
        <w:tc>
          <w:tcPr>
            <w:tcW w:type="dxa" w:w="1872"/>
          </w:tcPr>
          <w:p>
            <w:pPr>
              <w:spacing w:after="40"/>
            </w:pPr>
            <w:r/>
            <w:r>
              <w:rPr>
                <w:sz w:val="17"/>
              </w:rPr>
              <w:t>O&amp;G</w:t>
            </w:r>
          </w:p>
        </w:tc>
      </w:tr>
      <w:tr>
        <w:tc>
          <w:tcPr>
            <w:tcW w:type="dxa" w:w="2448"/>
          </w:tcPr>
          <w:p>
            <w:pPr>
              <w:spacing w:after="40"/>
            </w:pPr>
            <w:r/>
            <w:r>
              <w:rPr>
                <w:sz w:val="17"/>
              </w:rPr>
              <w:t>any</w:t>
            </w:r>
          </w:p>
        </w:tc>
        <w:tc>
          <w:tcPr>
            <w:tcW w:type="dxa" w:w="3456"/>
          </w:tcPr>
          <w:p>
            <w:pPr>
              <w:spacing w:after="40"/>
            </w:pPr>
            <w:r/>
            <w:r>
              <w:rPr>
                <w:sz w:val="17"/>
              </w:rPr>
              <w:t xml:space="preserve">anything other than </w:t>
            </w:r>
            <w:r>
              <w:rPr>
                <w:rFonts w:ascii="Consolas" w:hAnsi="Consolas"/>
                <w:sz w:val="16"/>
              </w:rPr>
              <w:t>ENG</w:t>
            </w:r>
            <w:r>
              <w:rPr>
                <w:sz w:val="17"/>
              </w:rPr>
              <w:t xml:space="preserve"> or </w:t>
            </w:r>
            <w:r>
              <w:rPr>
                <w:rFonts w:ascii="Consolas" w:hAnsi="Consolas"/>
                <w:sz w:val="16"/>
              </w:rPr>
              <w:t>SHR</w:t>
            </w:r>
            <w:r>
              <w:rPr>
                <w:sz w:val="17"/>
              </w:rPr>
            </w:r>
          </w:p>
        </w:tc>
        <w:tc>
          <w:tcPr>
            <w:tcW w:type="dxa" w:w="1872"/>
          </w:tcPr>
          <w:p>
            <w:pPr>
              <w:spacing w:after="40"/>
            </w:pPr>
            <w:r/>
            <w:r>
              <w:rPr>
                <w:sz w:val="17"/>
              </w:rPr>
              <w:t>ISP</w:t>
            </w:r>
          </w:p>
        </w:tc>
      </w:tr>
    </w:tbl>
    <w:p>
      <w:pPr>
        <w:spacing w:after="80"/>
      </w:pPr>
    </w:p>
    <w:p>
      <w:r>
        <w:rPr>
          <w:b w:val="0"/>
          <w:i w:val="0"/>
          <w:sz w:val="21"/>
        </w:rPr>
        <w:t>Read the table and the rule collapses to something simple: if the plant is ENG or SHR, then SIC 'F' means O&amp;G and anything else means ISP; and any other plant is ISP regardless. The code deliberately does NOT simplify it — it mirrors Hubble's five WHEN branches in the same order, because when the tax team asks 'does this match the old report?', a line-by-line correspondence is worth more than elegance.</w:t>
      </w:r>
    </w:p>
    <w:p>
      <w:r>
        <w:t xml:space="preserve">Two subtleties. </w:t>
      </w:r>
      <w:r>
        <w:rPr>
          <w:rFonts w:ascii="Consolas" w:hAnsi="Consolas"/>
          <w:color w:val="A31C3C"/>
          <w:sz w:val="19"/>
        </w:rPr>
        <w:t>F.when(...).when(...)</w:t>
      </w:r>
      <w:r>
        <w:t xml:space="preserve"> is PySpark's CASE WHEN: branches are evaluated top to bottom, first match wins. And there is no </w:t>
      </w:r>
      <w:r>
        <w:rPr>
          <w:rFonts w:ascii="Consolas" w:hAnsi="Consolas"/>
          <w:color w:val="A31C3C"/>
          <w:sz w:val="19"/>
        </w:rPr>
        <w:t>.otherwise()</w:t>
      </w:r>
      <w:r>
        <w:t xml:space="preserve"> — so a row matching none of the five branches gets null. Can that happen? Yes: if MCRP20 is null, every comparison against it is null rather than true, including the </w:t>
      </w:r>
      <w:r>
        <w:rPr>
          <w:rFonts w:ascii="Consolas" w:hAnsi="Consolas"/>
          <w:color w:val="A31C3C"/>
          <w:sz w:val="19"/>
        </w:rPr>
        <w:t>~isin</w:t>
      </w:r>
      <w:r>
        <w:t xml:space="preserve"> test, so the row falls through to a null Business Stream. This faithfully reproduces Hubble's CASE, which also had no ELSE. It is a known and intentional match to legacy behaviour, not an oversight.</w:t>
      </w:r>
    </w:p>
    <w:p>
      <w:pPr>
        <w:spacing w:before="120" w:after="160"/>
        <w:ind w:left="144"/>
        <w:shd w:val="clear" w:fill="EAF1FB"/>
        <w:pBdr>
          <w:top w:val="single" w:sz="4" w:space="4" w:color="E8C48A"/>
          <w:left w:val="single" w:sz="4" w:space="4" w:color="E8C48A"/>
          <w:bottom w:val="single" w:sz="4" w:space="4" w:color="E8C48A"/>
          <w:right w:val="single" w:sz="4" w:space="4" w:color="E8C48A"/>
        </w:pBdr>
      </w:pPr>
      <w:r>
        <w:rPr>
          <w:b/>
          <w:sz w:val="20"/>
        </w:rPr>
        <w:t xml:space="preserve">This is business logic, not a filter.  </w:t>
      </w:r>
      <w:r>
        <w:rPr>
          <w:sz w:val="20"/>
        </w:rPr>
        <w:t>The predicates here sit inside a CASE, computing a value. Per the rule in Part 1.4, they stay in Gold. Compare with the Hubble query's WHERE clause on SDDGL (the GL-date month) — that removes rows, so it is a report filter and lives in Power BI instead.</w:t>
      </w:r>
    </w:p>
    <w:p>
      <w:pPr>
        <w:pStyle w:val="Heading4"/>
      </w:pPr>
      <w:r>
        <w:t>Avalara Code (lines 259–262)</w:t>
      </w:r>
    </w:p>
    <w:p>
      <w:r>
        <w:rPr>
          <w:b w:val="0"/>
          <w:i w:val="0"/>
          <w:sz w:val="21"/>
        </w:rPr>
        <w:t>A concatenation of invoice number, document type and company — the key the tax team uses to match a JDE line against an Avalara transaction. Example output: 11843107RI00400.</w:t>
      </w:r>
    </w:p>
    <w:p>
      <w:r>
        <w:rPr>
          <w:b w:val="0"/>
          <w:i w:val="0"/>
          <w:sz w:val="21"/>
        </w:rPr>
        <w:t>Two details in this small block are worth your attention, because both were bugs found and fixed.</w:t>
      </w:r>
    </w:p>
    <w:p>
      <w:r>
        <w:t xml:space="preserve">First, </w:t>
      </w:r>
      <w:r>
        <w:rPr>
          <w:rFonts w:ascii="Consolas" w:hAnsi="Consolas"/>
          <w:color w:val="A31C3C"/>
          <w:sz w:val="19"/>
        </w:rPr>
        <w:t>.cast("long").cast("string")</w:t>
      </w:r>
      <w:r>
        <w:t xml:space="preserve"> on the invoice number. In Silver, SDDOC is a decimal, and casting a decimal straight to a string yields "11843107.000000000000000000" — which would never match Avalara. Casting through long drops the fractional part first. Meanwhile the company key is deliberately left as a string, because casting it to a number would destroy the leading zeros in "00400". Two columns, two opposite treatments, both necessary.</w:t>
      </w:r>
    </w:p>
    <w:p>
      <w:r>
        <w:t xml:space="preserve">Second, </w:t>
      </w:r>
      <w:r>
        <w:rPr>
          <w:rFonts w:ascii="Consolas" w:hAnsi="Consolas"/>
          <w:color w:val="A31C3C"/>
          <w:sz w:val="19"/>
        </w:rPr>
        <w:t>F.coalesce(..., F.lit("-999999999"))</w:t>
      </w:r>
      <w:r>
        <w:t xml:space="preserve"> reproduces Hubble's NVL(SDDOC, -999999999). It is a sentinel: rather than let a null silently swallow the whole concatenation, an unmatchable value is substituted so the row is visibly wrong instead of invisibly absent.</w:t>
      </w:r>
    </w:p>
    <w:p>
      <w:pPr>
        <w:spacing w:before="120" w:after="160"/>
        <w:ind w:left="144"/>
        <w:shd w:val="clear" w:fill="FDECEA"/>
        <w:pBdr>
          <w:top w:val="single" w:sz="4" w:space="4" w:color="E8C48A"/>
          <w:left w:val="single" w:sz="4" w:space="4" w:color="E8C48A"/>
          <w:bottom w:val="single" w:sz="4" w:space="4" w:color="E8C48A"/>
          <w:right w:val="single" w:sz="4" w:space="4" w:color="E8C48A"/>
        </w:pBdr>
      </w:pPr>
      <w:r>
        <w:rPr>
          <w:b/>
          <w:sz w:val="20"/>
        </w:rPr>
        <w:t xml:space="preserve">An open assumption you should know about.  </w:t>
      </w:r>
      <w:r>
        <w:rPr>
          <w:sz w:val="20"/>
        </w:rPr>
        <w:t>The Avalara Code formula is INFERRED. Section 6 of the requirements document says 'Calculation — See Below' for this column, and section 7 then never defines it. The formula here was reverse-engineered from the Hubble query's XID_CUSTOM_8501fecff7aa51 expression. It is flagged in the design doc as needing business confirmation. If the tax team ever reports match failures against Avalara, start here.</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Derive the report's two calculated columns.</w:t>
            </w:r>
          </w:p>
        </w:tc>
      </w:tr>
      <w:tr>
        <w:tc>
          <w:tcPr>
            <w:tcW w:type="dxa" w:w="1656"/>
          </w:tcPr>
          <w:p>
            <w:r/>
            <w:r>
              <w:rPr>
                <w:b/>
                <w:sz w:val="17"/>
              </w:rPr>
              <w:t>Input</w:t>
            </w:r>
          </w:p>
        </w:tc>
        <w:tc>
          <w:tcPr>
            <w:tcW w:type="dxa" w:w="8064"/>
          </w:tcPr>
          <w:p>
            <w:r/>
            <w:r>
              <w:rPr>
                <w:sz w:val="18"/>
              </w:rPr>
            </w:r>
            <w:r>
              <w:rPr>
                <w:rFonts w:ascii="Consolas" w:hAnsi="Consolas"/>
                <w:sz w:val="17"/>
              </w:rPr>
              <w:t>ad.sic_code</w:t>
            </w:r>
            <w:r>
              <w:rPr>
                <w:sz w:val="18"/>
              </w:rPr>
              <w:t xml:space="preserve"> (ABSIC), </w:t>
            </w:r>
            <w:r>
              <w:rPr>
                <w:rFonts w:ascii="Consolas" w:hAnsi="Consolas"/>
                <w:sz w:val="17"/>
              </w:rPr>
              <w:t>bu.business_stream_code</w:t>
            </w:r>
            <w:r>
              <w:rPr>
                <w:sz w:val="18"/>
              </w:rPr>
              <w:t xml:space="preserve"> (MCRP20), </w:t>
            </w:r>
            <w:r>
              <w:rPr>
                <w:rFonts w:ascii="Consolas" w:hAnsi="Consolas"/>
                <w:sz w:val="17"/>
              </w:rPr>
              <w:t>sd.doc_voucher_invoice_e</w:t>
            </w:r>
            <w:r>
              <w:rPr>
                <w:sz w:val="18"/>
              </w:rPr>
              <w:t xml:space="preserve">, </w:t>
            </w:r>
            <w:r>
              <w:rPr>
                <w:rFonts w:ascii="Consolas" w:hAnsi="Consolas"/>
                <w:sz w:val="17"/>
              </w:rPr>
              <w:t>sd.document_type</w:t>
            </w:r>
            <w:r>
              <w:rPr>
                <w:sz w:val="18"/>
              </w:rPr>
              <w:t xml:space="preserve">, </w:t>
            </w:r>
            <w:r>
              <w:rPr>
                <w:rFonts w:ascii="Consolas" w:hAnsi="Consolas"/>
                <w:sz w:val="17"/>
              </w:rPr>
              <w:t>sd.company_key</w:t>
            </w:r>
            <w:r>
              <w:rPr>
                <w:sz w:val="18"/>
              </w:rPr>
              <w:t>.</w:t>
            </w:r>
          </w:p>
        </w:tc>
      </w:tr>
      <w:tr>
        <w:tc>
          <w:tcPr>
            <w:tcW w:type="dxa" w:w="1656"/>
          </w:tcPr>
          <w:p>
            <w:r/>
            <w:r>
              <w:rPr>
                <w:b/>
                <w:sz w:val="17"/>
              </w:rPr>
              <w:t>Output</w:t>
            </w:r>
          </w:p>
        </w:tc>
        <w:tc>
          <w:tcPr>
            <w:tcW w:type="dxa" w:w="8064"/>
          </w:tcPr>
          <w:p>
            <w:r/>
            <w:r>
              <w:rPr>
                <w:sz w:val="18"/>
              </w:rPr>
              <w:t xml:space="preserve">Two Column expressions, used in the </w:t>
            </w:r>
            <w:r>
              <w:rPr>
                <w:rFonts w:ascii="Consolas" w:hAnsi="Consolas"/>
                <w:sz w:val="17"/>
              </w:rPr>
              <w:t>select</w:t>
            </w:r>
            <w:r>
              <w:rPr>
                <w:sz w:val="18"/>
              </w:rPr>
              <w:t xml:space="preserve"> immediately below.</w:t>
            </w:r>
          </w:p>
        </w:tc>
      </w:tr>
      <w:tr>
        <w:tc>
          <w:tcPr>
            <w:tcW w:type="dxa" w:w="1656"/>
          </w:tcPr>
          <w:p>
            <w:r/>
            <w:r>
              <w:rPr>
                <w:b/>
                <w:sz w:val="17"/>
              </w:rPr>
              <w:t>Business logic</w:t>
            </w:r>
          </w:p>
        </w:tc>
        <w:tc>
          <w:tcPr>
            <w:tcW w:type="dxa" w:w="8064"/>
          </w:tcPr>
          <w:p>
            <w:r/>
            <w:r>
              <w:rPr>
                <w:sz w:val="18"/>
              </w:rPr>
              <w:t>Business Stream per requirements §7 — mirrors Hubble's five-branch CASE exactly, null when no branch matches. Avalara Code = concat(invoice, doc type, company) — INFERRED, pending confirmation.</w:t>
            </w:r>
          </w:p>
        </w:tc>
      </w:tr>
      <w:tr>
        <w:tc>
          <w:tcPr>
            <w:tcW w:type="dxa" w:w="1656"/>
          </w:tcPr>
          <w:p>
            <w:r/>
            <w:r>
              <w:rPr>
                <w:b/>
                <w:sz w:val="17"/>
              </w:rPr>
              <w:t>Fits the pipeline</w:t>
            </w:r>
          </w:p>
        </w:tc>
        <w:tc>
          <w:tcPr>
            <w:tcW w:type="dxa" w:w="8064"/>
          </w:tcPr>
          <w:p>
            <w:r/>
            <w:r>
              <w:rPr>
                <w:sz w:val="18"/>
              </w:rPr>
              <w:t>Stage 3. These are the derivations that justify a Gold layer: computed once, centrally, rather than re-implemented in every report.</w:t>
            </w:r>
          </w:p>
        </w:tc>
      </w:tr>
    </w:tbl>
    <w:p>
      <w:pPr>
        <w:spacing w:after="80"/>
      </w:pPr>
    </w:p>
    <w:p>
      <w:pPr>
        <w:pStyle w:val="Heading3"/>
      </w:pPr>
      <w:r>
        <w:t>2.9  Cell In[4], part 5 — the projection and the inner DISTINCT (lines 264–299)</w:t>
      </w:r>
    </w:p>
    <w:p>
      <w:pPr>
        <w:spacing w:after="40"/>
      </w:pPr>
      <w:r>
        <w:rPr>
          <w:i/>
          <w:color w:val="606060"/>
          <w:sz w:val="17"/>
        </w:rPr>
        <w:t>lines 264–299</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xml:space="preserve">    sel = j.select(</w:t>
        <w:br/>
        <w:t xml:space="preserve">        # ── degenerate / document identifiers ──</w:t>
        <w:br/>
        <w:t xml:space="preserve">        F.col("sd.company_key").alias("document_company"),               # SDKCO ("Document Company")</w:t>
        <w:br/>
        <w:t xml:space="preserve">        F.col("sd.doc_voucher_invoice_e").alias("invoice_number"),       # SDDOC</w:t>
        <w:br/>
        <w:t xml:space="preserve">        F.col("sd.document_type").alias("document_type"),                # SDDCT</w:t>
        <w:br/>
        <w:t xml:space="preserve">        F.col("sd.document_order_invoice_e").alias("order_number"),      # SDDOCO</w:t>
        <w:br/>
        <w:t xml:space="preserve">        F.col("sd.order_type").alias("order_type"),                      # SDDCTO</w:t>
        <w:br/>
        <w:t xml:space="preserve">        F.col("ar.doc_voucher_invoice_e").alias("ar_document_no"),       # RPDOC  (F03B11 PK)</w:t>
        <w:br/>
        <w:t xml:space="preserve">        F.col("ar.document_type").alias("ar_document_type"),             # RPDCT  (F03B11 PK)</w:t>
        <w:br/>
        <w:t xml:space="preserve">        F.col("ar.company_key").alias("ar_company_key"),                 # RPKCO  (F03B11 PK)</w:t>
        <w:br/>
        <w:t xml:space="preserve">        F.col("ar.document_pay_item").alias("ar_pay_item"),              # RPSFX  (F03B11 PK)</w:t>
        <w:br/>
        <w:t xml:space="preserve">        # ── dimension FKs ──</w:t>
        <w:br/>
        <w:t xml:space="preserve">        F.trim(F.col("sd.cost_center")).alias("plant"),                  # SDMCU -&gt; dim_business_unit</w:t>
        <w:br/>
        <w:t xml:space="preserve">        F.col("sd.address_number").alias("sold_to"),                     # SDAN8  (docx col 19 "Sold To")</w:t>
        <w:br/>
        <w:t xml:space="preserve">        F.col("sd.address_number_ship_to").alias("ship_to"),             # SDSHAN (docx col 20 "Ship To")</w:t>
        <w:br/>
        <w:t xml:space="preserve">        F.col("sd.address_number_parent").alias("parent_number"),        # SDPA8</w:t>
        <w:br/>
        <w:t xml:space="preserve">        # ── tax attributes ──</w:t>
        <w:br/>
        <w:t xml:space="preserve">        F.col("sd.tax_explanation_code_01").alias("tax_explanation_code"),  # SDEXR1</w:t>
        <w:br/>
        <w:t xml:space="preserve">        F.col("ar.tax_area_01").alias("tax_area"),                          # RPTXA1</w:t>
        <w:br/>
        <w:t xml:space="preserve">        avalara_code.alias("avalara_code"),</w:t>
        <w:br/>
        <w:t xml:space="preserve">        # ── classification (FK codes; descriptions resolved in the model) ──</w:t>
        <w:br/>
        <w:t xml:space="preserve">        business_stream.alias("business_stream"),                        # calc (§7) — degenerate</w:t>
        <w:br/>
        <w:t xml:space="preserve">        F.col("ad.sic_code").alias("sic_code"),                          # ABSIC (F0101) — FK → dim_sic</w:t>
        <w:br/>
        <w:t xml:space="preserve">        # ── address FK code + degenerate county ──</w:t>
        <w:br/>
        <w:t xml:space="preserve">        F.col("ad.jurisdiction").alias("jurisdiction"),                  # ALADDS (F0116) raw code — FK → dim_state</w:t>
        <w:br/>
        <w:t xml:space="preserve">        F.col("ad.county").alias("county"),                              # ALCOUN (F0116) — degenerate</w:t>
        <w:br/>
        <w:t xml:space="preserve">        # ── raw event dates ──</w:t>
        <w:br/>
        <w:t xml:space="preserve">        F.col("sd.dt_for_gl_and_vouch_01").alias("gl_date"),             # SDDGL</w:t>
        <w:br/>
        <w:t xml:space="preserve">        F.col("ar.date_service_currency").alias("service_tax_date"),     # RPDSVJ</w:t>
        <w:br/>
        <w:t xml:space="preserve">        # ── measures (× SHIFT_FACTOR) ──</w:t>
        <w:br/>
        <w:t xml:space="preserve">        (F.col("ar.amount_taxable")    * F.lit(SHIFT_FACTOR)).alias("taxable_amount"),      # RPATXA</w:t>
        <w:br/>
        <w:t xml:space="preserve">        (F.col("ar.amount_tax_exempt") * F.lit(SHIFT_FACTOR)).alias("non_taxable_amount"),  # RPATXN</w:t>
        <w:br/>
        <w:t xml:space="preserve">        (F.col("ar.amt_tax_02")        * F.lit(SHIFT_FACTOR)).alias("tax_amount"),          # RPSTAM</w:t>
        <w:br/>
        <w:t xml:space="preserve">        (F.col("ar.amount_gross")      * F.lit(SHIFT_FACTOR)).alias("gross_amount"),        # RPAG</w:t>
        <w:br/>
        <w:t xml:space="preserve">        F.lit(SHIFT_FACTOR).cast("double").alias("shift_factor_applied"),</w:t>
        <w:br/>
        <w:t xml:space="preserve">    ).distinct()                                            # == Hubble inner SELECT DISTINCT (incl F03B11 PK)</w:t>
      </w:r>
    </w:p>
    <w:p>
      <w:r>
        <w:rPr>
          <w:b w:val="0"/>
          <w:i w:val="0"/>
          <w:sz w:val="21"/>
        </w:rPr>
        <w:t>A long but mechanical block: pick the columns, name them, apply the shift factor to the four amounts. The comment beside each line gives the JDE alias, so this select doubles as the field mapping.</w:t>
      </w:r>
    </w:p>
    <w:p>
      <w:r>
        <w:rPr>
          <w:b w:val="0"/>
          <w:i w:val="0"/>
          <w:sz w:val="21"/>
        </w:rPr>
        <w:t>The four F03B11 primary-key columns on lines 271–274 look out of place — ar_document_no, ar_document_type, ar_company_key, ar_pay_item are not in the final fact. They are here for one reason, and it is subtle enough to be worth spelling out.</w:t>
      </w:r>
    </w:p>
    <w:p>
      <w:pPr>
        <w:pStyle w:val="Heading4"/>
      </w:pPr>
      <w:r>
        <w:t>Why .distinct() on line 299 needs those four columns</w:t>
      </w:r>
    </w:p>
    <w:p>
      <w:r>
        <w:rPr>
          <w:b w:val="0"/>
          <w:i w:val="0"/>
          <w:sz w:val="21"/>
        </w:rPr>
        <w:t>This reproduces Hubble's inner SELECT DISTINCT, and DISTINCT means something different depending on which columns are present. An invoice can have several pay items with identical display attributes and identical amounts — say two pay items of $500 each on the same invoice, same plant, same jurisdiction. Without the PK columns, DISTINCT would see two identical rows and collapse them to one, and the invoice would report $500 instead of $1,000.</w:t>
      </w:r>
    </w:p>
    <w:p>
      <w:r>
        <w:rPr>
          <w:b w:val="0"/>
          <w:i w:val="0"/>
          <w:sz w:val="21"/>
        </w:rPr>
        <w:t>Including the PK makes the two rows distinguishable, so DISTINCT keeps both, and the GROUP BY in the next block sums them correctly. The PK columns are then dropped. They exist only to make DISTINCT count each pay item exactly once — which is precisely what they do in the Hubble query too. Remove them and the numbers quietly go wrong.</w:t>
      </w:r>
    </w:p>
    <w:p>
      <w:r>
        <w:rPr>
          <w:b w:val="0"/>
          <w:i w:val="0"/>
          <w:sz w:val="21"/>
        </w:rPr>
        <w:t>Lines 294–298 multiply each amount by SHIFT_FACTOR (1.0, a no-op) and record the factor as a column. Note that the multiply is left in the code even though it changes nothing: if Silver's scaling assumption ever proves wrong, the fix is one constant, and shift_factor_applied tells you exactly which rows were built under the old assumption.</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Project the joined data to the report's columns and reproduce Hubble's inner SELECT DISTINCT.</w:t>
            </w:r>
          </w:p>
        </w:tc>
      </w:tr>
      <w:tr>
        <w:tc>
          <w:tcPr>
            <w:tcW w:type="dxa" w:w="1656"/>
          </w:tcPr>
          <w:p>
            <w:r/>
            <w:r>
              <w:rPr>
                <w:b/>
                <w:sz w:val="17"/>
              </w:rPr>
              <w:t>Input</w:t>
            </w:r>
          </w:p>
        </w:tc>
        <w:tc>
          <w:tcPr>
            <w:tcW w:type="dxa" w:w="8064"/>
          </w:tcPr>
          <w:p>
            <w:r/>
            <w:r>
              <w:rPr>
                <w:sz w:val="18"/>
              </w:rPr>
            </w:r>
            <w:r>
              <w:rPr>
                <w:rFonts w:ascii="Consolas" w:hAnsi="Consolas"/>
                <w:sz w:val="17"/>
              </w:rPr>
              <w:t>j</w:t>
            </w:r>
            <w:r>
              <w:rPr>
                <w:sz w:val="18"/>
              </w:rPr>
              <w:t xml:space="preserve"> (the joined DataFrame) plus the two calculated Column expressions.</w:t>
            </w:r>
          </w:p>
        </w:tc>
      </w:tr>
      <w:tr>
        <w:tc>
          <w:tcPr>
            <w:tcW w:type="dxa" w:w="1656"/>
          </w:tcPr>
          <w:p>
            <w:r/>
            <w:r>
              <w:rPr>
                <w:b/>
                <w:sz w:val="17"/>
              </w:rPr>
              <w:t>Output</w:t>
            </w:r>
          </w:p>
        </w:tc>
        <w:tc>
          <w:tcPr>
            <w:tcW w:type="dxa" w:w="8064"/>
          </w:tcPr>
          <w:p>
            <w:r/>
            <w:r>
              <w:rPr>
                <w:sz w:val="18"/>
              </w:rPr>
            </w:r>
            <w:r>
              <w:rPr>
                <w:rFonts w:ascii="Consolas" w:hAnsi="Consolas"/>
                <w:sz w:val="17"/>
              </w:rPr>
              <w:t>sel</w:t>
            </w:r>
            <w:r>
              <w:rPr>
                <w:sz w:val="18"/>
              </w:rPr>
              <w:t xml:space="preserve"> — one row per distinct display tuple + F03B11 pay item.</w:t>
            </w:r>
          </w:p>
        </w:tc>
      </w:tr>
      <w:tr>
        <w:tc>
          <w:tcPr>
            <w:tcW w:type="dxa" w:w="1656"/>
          </w:tcPr>
          <w:p>
            <w:r/>
            <w:r>
              <w:rPr>
                <w:b/>
                <w:sz w:val="17"/>
              </w:rPr>
              <w:t>Business logic</w:t>
            </w:r>
          </w:p>
        </w:tc>
        <w:tc>
          <w:tcPr>
            <w:tcW w:type="dxa" w:w="8064"/>
          </w:tcPr>
          <w:p>
            <w:r/>
            <w:r>
              <w:rPr>
                <w:sz w:val="18"/>
              </w:rPr>
              <w:t>DISTINCT at pay-item granularity. The F03B11 PK is carried solely so that legitimately repeated pay items are not collapsed and under-counted.</w:t>
            </w:r>
          </w:p>
        </w:tc>
      </w:tr>
      <w:tr>
        <w:tc>
          <w:tcPr>
            <w:tcW w:type="dxa" w:w="1656"/>
          </w:tcPr>
          <w:p>
            <w:r/>
            <w:r>
              <w:rPr>
                <w:b/>
                <w:sz w:val="17"/>
              </w:rPr>
              <w:t>Fits the pipeline</w:t>
            </w:r>
          </w:p>
        </w:tc>
        <w:tc>
          <w:tcPr>
            <w:tcW w:type="dxa" w:w="8064"/>
          </w:tcPr>
          <w:p>
            <w:r/>
            <w:r>
              <w:rPr>
                <w:sz w:val="18"/>
              </w:rPr>
              <w:t xml:space="preserve">Stage 3. Exactly mirrors the inner query of </w:t>
            </w:r>
            <w:r>
              <w:rPr>
                <w:rFonts w:ascii="Consolas" w:hAnsi="Consolas"/>
                <w:sz w:val="17"/>
              </w:rPr>
              <w:t>eso4/hubble query.txt</w:t>
            </w:r>
            <w:r>
              <w:rPr>
                <w:sz w:val="18"/>
              </w:rPr>
              <w:t xml:space="preserve"> — the aggregate follows next.</w:t>
            </w:r>
          </w:p>
        </w:tc>
      </w:tr>
    </w:tbl>
    <w:p>
      <w:pPr>
        <w:spacing w:after="80"/>
      </w:pPr>
    </w:p>
    <w:p>
      <w:pPr>
        <w:pStyle w:val="Heading3"/>
      </w:pPr>
      <w:r>
        <w:t>2.10  Cell In[4], part 6 — the aggregate and the keys (lines 301–318)</w:t>
      </w:r>
    </w:p>
    <w:p>
      <w:pPr>
        <w:spacing w:after="40"/>
      </w:pPr>
      <w:r>
        <w:rPr>
          <w:i/>
          <w:color w:val="606060"/>
          <w:sz w:val="17"/>
        </w:rPr>
        <w:t>lines 301–318</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xml:space="preserve">    # ── Hubble GROUP BY (outer query): collapse pay items sharing a display tuple, SUM the</w:t>
        <w:br/>
        <w:t xml:space="preserve">    #    four amounts. The F03B11 PK columns (ar_*) were kept in `sel` only to make the inner</w:t>
        <w:br/>
        <w:t xml:space="preserve">    #    DISTINCT count each pay item once; they are dropped here (not in the GROUP BY). ──</w:t>
        <w:br/>
        <w:t xml:space="preserve">    agg = (sel.groupBy(*FACT_GROUP_BY_COLS)</w:t>
        <w:br/>
        <w:t xml:space="preserve">           .agg(F.sum("taxable_amount").alias("taxable_amount"),           # SUM ReportColumn1</w:t>
        <w:br/>
        <w:t xml:space="preserve">                F.sum("non_taxable_amount").alias("non_taxable_amount"),   # SUM ReportColumn2</w:t>
        <w:br/>
        <w:t xml:space="preserve">                F.sum("tax_amount").alias("tax_amount"),                   # SUM ReportColumn3</w:t>
        <w:br/>
        <w:t xml:space="preserve">                F.sum("gross_amount").alias("gross_amount"),               # SUM ReportColumn4</w:t>
        <w:br/>
        <w:t xml:space="preserve">                F.first("shift_factor_applied").alias("shift_factor_applied")))         # constant</w:t>
        <w:br/>
        <w:br/>
        <w:t xml:space="preserve">    df = (agg</w:t>
        <w:br/>
        <w:t xml:space="preserve">          # delete-scope key (invoice document) + unique key at the GROUP BY grain</w:t>
        <w:br/>
        <w:t xml:space="preserve">          .withColumn("document_scope_key",</w:t>
        <w:br/>
        <w:t xml:space="preserve">                      sk("document_company", "document_type", "invoice_number"))</w:t>
        <w:br/>
        <w:t xml:space="preserve">          .withColumn("sales_tax_line_key", sk(*FACT_GROUP_BY_COLS)))</w:t>
        <w:br/>
        <w:br/>
        <w:t xml:space="preserve">    df = df.dropDuplicates(["sales_tax_line_key"])         # unique by construction (GROUP BY); defensive</w:t>
        <w:br/>
        <w:t xml:space="preserve">    return df.select("sales_tax_line_key", "document_scope_key", *FACT_BUSINESS_COLS)</w:t>
      </w:r>
    </w:p>
    <w:p>
      <w:r>
        <w:rPr>
          <w:b w:val="0"/>
          <w:i w:val="0"/>
          <w:sz w:val="21"/>
        </w:rPr>
        <w:t>The final act. This is Hubble's outer query: group to the display grain, sum the four amounts.</w:t>
      </w:r>
    </w:p>
    <w:p>
      <w:r>
        <w:rPr>
          <w:b w:val="0"/>
          <w:i w:val="0"/>
          <w:sz w:val="21"/>
        </w:rPr>
        <w:t>Line 304 groups by the 18 grain columns. Lines 305–308 sum each measure. Line 309 uses first() for shift_factor_applied — it is a constant, so any row's value will do, but Spark still requires an aggregate function over a non-grouped column, and first() is the cheapest way to say 'they are all the same'.</w:t>
      </w:r>
    </w:p>
    <w:p>
      <w:r>
        <w:rPr>
          <w:b w:val="0"/>
          <w:i w:val="0"/>
          <w:sz w:val="21"/>
        </w:rPr>
        <w:t>The pay-item PK columns are simply not mentioned here, and that is how they disappear. Pay items sharing a display tuple collapse into a single summed row — which is the whole point of the reconciliation grain.</w:t>
      </w:r>
    </w:p>
    <w:p>
      <w:pPr>
        <w:pStyle w:val="Heading4"/>
      </w:pPr>
      <w:r>
        <w:t>The two keys (lines 313–315)</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8"/>
              </w:rPr>
              <w:t>Key</w:t>
            </w:r>
          </w:p>
        </w:tc>
        <w:tc>
          <w:tcPr>
            <w:tcW w:type="dxa" w:w="3024"/>
          </w:tcPr>
          <w:p>
            <w:r/>
            <w:r>
              <w:rPr>
                <w:b/>
                <w:sz w:val="18"/>
              </w:rPr>
              <w:t>Built from</w:t>
            </w:r>
          </w:p>
        </w:tc>
        <w:tc>
          <w:tcPr>
            <w:tcW w:type="dxa" w:w="4608"/>
          </w:tcPr>
          <w:p>
            <w:r/>
            <w:r>
              <w:rPr>
                <w:b/>
                <w:sz w:val="18"/>
              </w:rPr>
              <w:t>What it is for</w:t>
            </w:r>
          </w:p>
        </w:tc>
      </w:tr>
      <w:tr>
        <w:tc>
          <w:tcPr>
            <w:tcW w:type="dxa" w:w="2016"/>
          </w:tcPr>
          <w:p>
            <w:pPr>
              <w:spacing w:after="40"/>
            </w:pPr>
            <w:r/>
            <w:r>
              <w:rPr>
                <w:sz w:val="17"/>
              </w:rPr>
            </w:r>
            <w:r>
              <w:rPr>
                <w:rFonts w:ascii="Consolas" w:hAnsi="Consolas"/>
                <w:sz w:val="16"/>
              </w:rPr>
              <w:t>document_scope_key</w:t>
            </w:r>
            <w:r>
              <w:rPr>
                <w:sz w:val="17"/>
              </w:rPr>
            </w:r>
          </w:p>
        </w:tc>
        <w:tc>
          <w:tcPr>
            <w:tcW w:type="dxa" w:w="3024"/>
          </w:tcPr>
          <w:p>
            <w:pPr>
              <w:spacing w:after="40"/>
            </w:pPr>
            <w:r/>
            <w:r>
              <w:rPr>
                <w:sz w:val="17"/>
              </w:rPr>
              <w:t>hash(document_company, document_type, invoice_number)</w:t>
            </w:r>
          </w:p>
        </w:tc>
        <w:tc>
          <w:tcPr>
            <w:tcW w:type="dxa" w:w="4608"/>
          </w:tcPr>
          <w:p>
            <w:pPr>
              <w:spacing w:after="40"/>
            </w:pPr>
            <w:r/>
            <w:r>
              <w:rPr>
                <w:sz w:val="17"/>
              </w:rPr>
              <w:t xml:space="preserve">The CDC delete scope. </w:t>
            </w:r>
            <w:r>
              <w:rPr>
                <w:rFonts w:ascii="Consolas" w:hAnsi="Consolas"/>
                <w:sz w:val="16"/>
              </w:rPr>
              <w:t>recompute_fact</w:t>
            </w:r>
            <w:r>
              <w:rPr>
                <w:sz w:val="17"/>
              </w:rPr>
              <w:t xml:space="preserve"> deletes every row carrying a matching value. Deliberately COARSER than the grain — many fact rows share one scope key, which is exactly what lets one invoice's rows be deleted as a set.</w:t>
            </w:r>
          </w:p>
        </w:tc>
      </w:tr>
      <w:tr>
        <w:tc>
          <w:tcPr>
            <w:tcW w:type="dxa" w:w="2016"/>
          </w:tcPr>
          <w:p>
            <w:pPr>
              <w:spacing w:after="40"/>
            </w:pPr>
            <w:r/>
            <w:r>
              <w:rPr>
                <w:sz w:val="17"/>
              </w:rPr>
            </w:r>
            <w:r>
              <w:rPr>
                <w:rFonts w:ascii="Consolas" w:hAnsi="Consolas"/>
                <w:sz w:val="16"/>
              </w:rPr>
              <w:t>sales_tax_line_key</w:t>
            </w:r>
            <w:r>
              <w:rPr>
                <w:sz w:val="17"/>
              </w:rPr>
            </w:r>
          </w:p>
        </w:tc>
        <w:tc>
          <w:tcPr>
            <w:tcW w:type="dxa" w:w="3024"/>
          </w:tcPr>
          <w:p>
            <w:pPr>
              <w:spacing w:after="40"/>
            </w:pPr>
            <w:r/>
            <w:r>
              <w:rPr>
                <w:sz w:val="17"/>
              </w:rPr>
              <w:t>hash of all 18 grain columns</w:t>
            </w:r>
          </w:p>
        </w:tc>
        <w:tc>
          <w:tcPr>
            <w:tcW w:type="dxa" w:w="4608"/>
          </w:tcPr>
          <w:p>
            <w:pPr>
              <w:spacing w:after="40"/>
            </w:pPr>
            <w:r/>
            <w:r>
              <w:rPr>
                <w:sz w:val="17"/>
              </w:rPr>
              <w:t>The unique row identifier, one per fact row. Used by the semantic model and for diagnostics.</w:t>
            </w:r>
          </w:p>
        </w:tc>
      </w:tr>
    </w:tbl>
    <w:p>
      <w:pPr>
        <w:spacing w:after="80"/>
      </w:pPr>
    </w:p>
    <w:p>
      <w:r>
        <w:rPr>
          <w:b w:val="0"/>
          <w:i w:val="0"/>
          <w:sz w:val="21"/>
        </w:rPr>
        <w:t>Getting these two the right way round is essential. If the scope key were as fine-grained as the row key, a delete would remove one row instead of the invoice's whole set, and lines removed from an invoice would linger in Gold forever.</w:t>
      </w:r>
    </w:p>
    <w:p>
      <w:r>
        <w:t xml:space="preserve">Line 317's </w:t>
      </w:r>
      <w:r>
        <w:rPr>
          <w:rFonts w:ascii="Consolas" w:hAnsi="Consolas"/>
          <w:color w:val="A31C3C"/>
          <w:sz w:val="19"/>
        </w:rPr>
        <w:t>dropDuplicates</w:t>
      </w:r>
      <w:r>
        <w:t xml:space="preserve"> is belt-and-braces: after a GROUP BY on exactly those columns, the key is unique by construction. The comment says so — 'unique by construction; defensive'. It costs a shuffle and guarantees the append can never violate the grain even if someone later edits the grain list carelessly.</w:t>
      </w:r>
    </w:p>
    <w:p>
      <w:r>
        <w:rPr>
          <w:b w:val="0"/>
          <w:i w:val="0"/>
          <w:sz w:val="21"/>
        </w:rPr>
        <w:t>Line 318 returns the two keys plus the 23 business columns, in report order — 25 columns stored. Nothing else. No record_hash, no is_deleted, no timestamps: the delete-and-append pattern needs none of the audit scaffolding a MERGE-based upsert would.</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Collapse pay items to the reporting grain and attach the two keys.</w:t>
            </w:r>
          </w:p>
        </w:tc>
      </w:tr>
      <w:tr>
        <w:tc>
          <w:tcPr>
            <w:tcW w:type="dxa" w:w="1656"/>
          </w:tcPr>
          <w:p>
            <w:r/>
            <w:r>
              <w:rPr>
                <w:b/>
                <w:sz w:val="17"/>
              </w:rPr>
              <w:t>Input</w:t>
            </w:r>
          </w:p>
        </w:tc>
        <w:tc>
          <w:tcPr>
            <w:tcW w:type="dxa" w:w="8064"/>
          </w:tcPr>
          <w:p>
            <w:r/>
            <w:r>
              <w:rPr>
                <w:sz w:val="18"/>
              </w:rPr>
            </w:r>
            <w:r>
              <w:rPr>
                <w:rFonts w:ascii="Consolas" w:hAnsi="Consolas"/>
                <w:sz w:val="17"/>
              </w:rPr>
              <w:t>sel</w:t>
            </w:r>
            <w:r>
              <w:rPr>
                <w:sz w:val="18"/>
              </w:rPr>
              <w:t>.</w:t>
            </w:r>
          </w:p>
        </w:tc>
      </w:tr>
      <w:tr>
        <w:tc>
          <w:tcPr>
            <w:tcW w:type="dxa" w:w="1656"/>
          </w:tcPr>
          <w:p>
            <w:r/>
            <w:r>
              <w:rPr>
                <w:b/>
                <w:sz w:val="17"/>
              </w:rPr>
              <w:t>Output</w:t>
            </w:r>
          </w:p>
        </w:tc>
        <w:tc>
          <w:tcPr>
            <w:tcW w:type="dxa" w:w="8064"/>
          </w:tcPr>
          <w:p>
            <w:r/>
            <w:r>
              <w:rPr>
                <w:sz w:val="18"/>
              </w:rPr>
              <w:t xml:space="preserve">The final fact DataFrame — 25 columns, unique on </w:t>
            </w:r>
            <w:r>
              <w:rPr>
                <w:rFonts w:ascii="Consolas" w:hAnsi="Consolas"/>
                <w:sz w:val="17"/>
              </w:rPr>
              <w:t>sales_tax_line_key</w:t>
            </w:r>
            <w:r>
              <w:rPr>
                <w:sz w:val="18"/>
              </w:rPr>
              <w:t>.</w:t>
            </w:r>
          </w:p>
        </w:tc>
      </w:tr>
      <w:tr>
        <w:tc>
          <w:tcPr>
            <w:tcW w:type="dxa" w:w="1656"/>
          </w:tcPr>
          <w:p>
            <w:r/>
            <w:r>
              <w:rPr>
                <w:b/>
                <w:sz w:val="17"/>
              </w:rPr>
              <w:t>Business logic</w:t>
            </w:r>
          </w:p>
        </w:tc>
        <w:tc>
          <w:tcPr>
            <w:tcW w:type="dxa" w:w="8064"/>
          </w:tcPr>
          <w:p>
            <w:r/>
            <w:r>
              <w:rPr>
                <w:sz w:val="18"/>
              </w:rPr>
              <w:t>Hubble's outer GROUP BY: SUM the four amounts across pay items sharing a display tuple.</w:t>
            </w:r>
          </w:p>
        </w:tc>
      </w:tr>
      <w:tr>
        <w:tc>
          <w:tcPr>
            <w:tcW w:type="dxa" w:w="1656"/>
          </w:tcPr>
          <w:p>
            <w:r/>
            <w:r>
              <w:rPr>
                <w:b/>
                <w:sz w:val="17"/>
              </w:rPr>
              <w:t>Fits the pipeline</w:t>
            </w:r>
          </w:p>
        </w:tc>
        <w:tc>
          <w:tcPr>
            <w:tcW w:type="dxa" w:w="8064"/>
          </w:tcPr>
          <w:p>
            <w:r/>
            <w:r>
              <w:rPr>
                <w:sz w:val="18"/>
              </w:rPr>
              <w:t>Stage 3, the end of it. Everything downstream — full load and incremental alike — writes exactly this.</w:t>
            </w:r>
          </w:p>
        </w:tc>
      </w:tr>
    </w:tbl>
    <w:p>
      <w:pPr>
        <w:spacing w:after="80"/>
      </w:pPr>
    </w:p>
    <w:p>
      <w:pPr>
        <w:pStyle w:val="Heading3"/>
      </w:pPr>
      <w:r>
        <w:t>2.11  Cell In[5] — full load versus resume (lines 323–379)</w:t>
      </w:r>
    </w:p>
    <w:p>
      <w:pPr>
        <w:spacing w:after="40"/>
      </w:pPr>
      <w:r>
        <w:rPr>
          <w:i/>
          <w:color w:val="606060"/>
          <w:sz w:val="17"/>
        </w:rPr>
        <w:t>lines 323–379</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FULL LOAD vs RESUME  (streaming approach from nb_silver_to_gold_eso7_v2 / ESO1)</w:t>
        <w:br/>
        <w:t>#   1) Stop any of our streams left alive from a previous run in this session.</w:t>
        <w:br/>
        <w:t>#   2) FULL LOAD when OVERWRITE, the fact is missing, or a checkpoint is incomplete: drop +</w:t>
        <w:br/>
        <w:t>#      rebuild the fact, snapshot each streamed source's Delta version as init_ver, clear</w:t>
        <w:br/>
        <w:t>#      checkpoints. Streams start at init_ver and skip _commit_version &lt;= init_ver (seed rows).</w:t>
        <w:br/>
        <w:t>#   3) Otherwise RESUME (init_ver = -1; the committed checkpoint offset drives).</w:t>
        <w:br/>
        <w:t>#   dim_business_unit / dim_sic / dim_state are owned by their own notebooks; dim_address is REUSED</w:t>
        <w:br/>
        <w:t>#   (rpt.dim_address_book role views) — none are touched here. F0101/F0116 are still read as static</w:t>
        <w:br/>
        <w:t>#   snapshots ONLY for the fact's raw FK codes (sic_code, jurisdiction) + degenerate county; F0006 is</w:t>
        <w:br/>
        <w:t>#   read only for the business_stream calc input. Descriptions resolve in the model via the dims.</w:t>
        <w:br/>
        <w:t># =============================================================================</w:t>
        <w:br/>
        <w:t>_CKPT_PATHS = [f"{CKPT}/fact__{F4211_TBL}", f"{CKPT}/fact__{F03B11_TBL}"]</w:t>
        <w:br/>
        <w:br/>
        <w:t>def _checkpoints_exist():</w:t>
        <w:br/>
        <w:t xml:space="preserve">    """True iff EVERY per-stream checkpoint has a COMMITTED offset (its offsets/ dir is</w:t>
        <w:br/>
        <w:t xml:space="preserve">    non-empty). A checkpoint dir can hold metadata/ + sources/ yet never have committed a</w:t>
        <w:br/>
        <w:t xml:space="preserve">    batch; requiring offsets/ treats such an INCOMPLETE checkpoint as ABSENT and forces a</w:t>
        <w:br/>
        <w:t xml:space="preserve">    FULL LOAD (re-establishing init_ver) rather than cold-starting the CDF reader at</w:t>
        <w:br/>
        <w:t xml:space="preserve">    startingVersion=0 (version 0 predates CDF enablement -&gt; DELTA_MISSING_CHANGE_DATA)."""</w:t>
        <w:br/>
        <w:t xml:space="preserve">    for p in _CKPT_PATHS:</w:t>
        <w:br/>
        <w:t xml:space="preserve">        try:</w:t>
        <w:br/>
        <w:t xml:space="preserve">            if not mssparkutils.fs.ls(f"{p}/offsets"):</w:t>
        <w:br/>
        <w:t xml:space="preserve">                return False</w:t>
        <w:br/>
        <w:t xml:space="preserve">        except Exception:</w:t>
        <w:br/>
        <w:t xml:space="preserve">            return False</w:t>
        <w:br/>
        <w:t xml:space="preserve">    return True</w:t>
        <w:br/>
        <w:br/>
        <w:t># ── (1) stop leftover streams from a previous run in this Spark session ──────────</w:t>
        <w:br/>
        <w:t>_STREAM_NAMES = {"fact__" + F4211_TBL, "fact__" + F03B11_TBL}</w:t>
        <w:br/>
        <w:t>_stopped = []</w:t>
        <w:br/>
        <w:t>for _q in list(spark.streams.active):</w:t>
        <w:br/>
        <w:t xml:space="preserve">    if _q.name in _STREAM_NAMES:</w:t>
        <w:br/>
        <w:t xml:space="preserve">        _q.stop()</w:t>
        <w:br/>
        <w:t xml:space="preserve">        _stopped.append(_q.name)</w:t>
        <w:br/>
        <w:t>if _stopped:</w:t>
        <w:br/>
        <w:t xml:space="preserve">    print(f"Stopped leftover streams: {_stopped}")</w:t>
        <w:br/>
        <w:br/>
        <w:t># ── (2/3) full-load gate — also full-load when the checkpoints are missing/incomplete ──</w:t>
        <w:br/>
        <w:t>_FULL_LOAD = OVERWRITE or not spark.catalog.tableExists(T_FACT) or not _checkpoints_exist()</w:t>
        <w:br/>
        <w:br/>
        <w:t>if _FULL_LOAD:</w:t>
        <w:br/>
        <w:t xml:space="preserve">    print("== FULL LOAD ==")</w:t>
        <w:br/>
        <w:t xml:space="preserve">    spark.sql(f"DROP TABLE IF EXISTS {T_FACT}")</w:t>
        <w:br/>
        <w:t xml:space="preserve">    _write_new_table(transform_fact(), T_FACT)</w:t>
        <w:br/>
        <w:t xml:space="preserve">    print(f"  ✓ seeded {T_FACT}")</w:t>
        <w:br/>
        <w:t xml:space="preserve">    _init_ver = {t: current_version(t) for t in (F4211_TBL, F03B11_TBL)}</w:t>
        <w:br/>
        <w:t xml:space="preserve">    print(f"  init versions: {_init_ver}")</w:t>
        <w:br/>
        <w:t xml:space="preserve">    try:</w:t>
        <w:br/>
        <w:t xml:space="preserve">        mssparkutils.fs.rm(CKPT, True)</w:t>
        <w:br/>
        <w:t xml:space="preserve">        print("  checkpoints cleared")</w:t>
        <w:br/>
        <w:t xml:space="preserve">    except Exception as e:</w:t>
        <w:br/>
        <w:t xml:space="preserve">        print(f"  checkpoint clear skipped: {e}")</w:t>
        <w:br/>
        <w:t xml:space="preserve">    print("✓ full load complete")</w:t>
        <w:br/>
        <w:t>else:</w:t>
        <w:br/>
        <w:t xml:space="preserve">    print("== RESUME from checkpoint ==")</w:t>
        <w:br/>
        <w:t xml:space="preserve">    _init_ver = {}   # .get(src, -1) -&gt; -1 everywhere; no version filtering, checkpoint drives</w:t>
      </w:r>
    </w:p>
    <w:p>
      <w:r>
        <w:rPr>
          <w:b w:val="0"/>
          <w:i w:val="0"/>
          <w:sz w:val="21"/>
        </w:rPr>
        <w:t>The gate. Three steps, and each guards against a specific failure that has actually happened.</w:t>
      </w:r>
    </w:p>
    <w:p>
      <w:pPr>
        <w:pStyle w:val="Heading4"/>
      </w:pPr>
      <w:r>
        <w:t>Step 1 — stop leftover streams (lines 352–359)</w:t>
      </w:r>
    </w:p>
    <w:p>
      <w:r>
        <w:rPr>
          <w:b w:val="0"/>
          <w:i w:val="0"/>
          <w:sz w:val="21"/>
        </w:rPr>
        <w:t>If you re-run this cell in a notebook session where the streams are already running, you would end up with two sets of streams writing to the same table. This loop finds any stream whose name matches ours and stops it first. Only ours — the name check means a colleague's streams in the same session are left alone.</w:t>
      </w:r>
    </w:p>
    <w:p>
      <w:pPr>
        <w:pStyle w:val="Heading4"/>
      </w:pPr>
      <w:r>
        <w:t>Step 2 — decide (line 362)</w:t>
      </w:r>
    </w:p>
    <w:p>
      <w:r>
        <w:rPr>
          <w:b w:val="0"/>
          <w:i w:val="0"/>
          <w:sz w:val="21"/>
        </w:rPr>
        <w:t>A full load happens if ANY of three things is true: OVERWRITE is set, the table does not exist, or the checkpoints are missing or incomplete. The last condition is the interesting one.</w:t>
      </w:r>
    </w:p>
    <w:p>
      <w:r>
        <w:rPr>
          <w:rFonts w:ascii="Consolas" w:hAnsi="Consolas"/>
          <w:color w:val="A31C3C"/>
          <w:sz w:val="19"/>
        </w:rPr>
        <w:t>_checkpoints_exist()</w:t>
      </w:r>
      <w:r>
        <w:t xml:space="preserve"> (lines 337–349) does not just check that the checkpoint folder is there. It insists the </w:t>
      </w:r>
      <w:r>
        <w:rPr>
          <w:rFonts w:ascii="Consolas" w:hAnsi="Consolas"/>
          <w:color w:val="A31C3C"/>
          <w:sz w:val="19"/>
        </w:rPr>
        <w:t>offsets/</w:t>
      </w:r>
      <w:r>
        <w:t xml:space="preserve"> subfolder is non-empty. Here is why: a stream can create its checkpoint folder, write metadata into it, and then die before committing a single batch. The folder exists but is useless. If the code trusted mere existence, it would resume from that empty checkpoint, the CDF reader would cold-start at version 0, version 0 predates CDF being enabled, and Delta would raise DELTA_MISSING_CHANGE_DATA. Requiring a committed offset treats an incomplete checkpoint as absent and forces a clean full load instead. This is a real bug that was hit and fixed.</w:t>
      </w:r>
    </w:p>
    <w:p>
      <w:pPr>
        <w:pStyle w:val="Heading4"/>
      </w:pPr>
      <w:r>
        <w:t>Step 3 — execute (lines 364–379)</w:t>
      </w:r>
    </w:p>
    <w:p>
      <w:r>
        <w:rPr>
          <w:b w:val="0"/>
          <w:i w:val="0"/>
          <w:sz w:val="21"/>
        </w:rPr>
        <w:t>On the full-load path: drop the table, rebuild it from the complete Silver snapshot by calling transform_fact() with no restriction, then record each streamed source's current Delta version as init_ver, then clear the checkpoints.</w:t>
      </w:r>
    </w:p>
    <w:p>
      <w:r>
        <w:rPr>
          <w:b w:val="0"/>
          <w:i w:val="0"/>
          <w:sz w:val="21"/>
        </w:rPr>
        <w:t>The order is not arbitrary. Snapshotting init_ver AFTER the seed write means init_ver marks 'the version whose data is already in Gold'. The streams will start reading at init_ver and the handlers will discard everything at or below it as already-seeded — while anything committed after that point is genuinely new and gets processed. This is the seam between the batch seed and the stream, and getting it wrong means either double-counting or losing changes.</w:t>
      </w:r>
    </w:p>
    <w:p>
      <w:r>
        <w:t xml:space="preserve">The checkpoint clear is wrapped in </w:t>
      </w:r>
      <w:r>
        <w:rPr>
          <w:rFonts w:ascii="Consolas" w:hAnsi="Consolas"/>
          <w:color w:val="A31C3C"/>
          <w:sz w:val="19"/>
        </w:rPr>
        <w:t>try/except</w:t>
      </w:r>
      <w:r>
        <w:t xml:space="preserve"> because a missing folder is not an error worth failing a full load over.</w:t>
      </w:r>
    </w:p>
    <w:p>
      <w:r>
        <w:rPr>
          <w:b w:val="0"/>
          <w:i w:val="0"/>
          <w:sz w:val="21"/>
        </w:rPr>
        <w:t>On the resume path, _init_ver is left empty. Later code does _init_ver.get(table, -1), so every lookup yields -1, which means 'do not filter by version' — the committed checkpoint offset is the authority instead.</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Establish a known-good starting state before any stream runs.</w:t>
            </w:r>
          </w:p>
        </w:tc>
      </w:tr>
      <w:tr>
        <w:tc>
          <w:tcPr>
            <w:tcW w:type="dxa" w:w="1656"/>
          </w:tcPr>
          <w:p>
            <w:r/>
            <w:r>
              <w:rPr>
                <w:b/>
                <w:sz w:val="17"/>
              </w:rPr>
              <w:t>Input</w:t>
            </w:r>
          </w:p>
        </w:tc>
        <w:tc>
          <w:tcPr>
            <w:tcW w:type="dxa" w:w="8064"/>
          </w:tcPr>
          <w:p>
            <w:r/>
            <w:r>
              <w:rPr>
                <w:sz w:val="18"/>
              </w:rPr>
            </w:r>
            <w:r>
              <w:rPr>
                <w:rFonts w:ascii="Consolas" w:hAnsi="Consolas"/>
                <w:sz w:val="17"/>
              </w:rPr>
              <w:t>OVERWRITE</w:t>
            </w:r>
            <w:r>
              <w:rPr>
                <w:sz w:val="18"/>
              </w:rPr>
              <w:t>; whether the table exists; whether the checkpoints hold a committed offset.</w:t>
            </w:r>
          </w:p>
        </w:tc>
      </w:tr>
      <w:tr>
        <w:tc>
          <w:tcPr>
            <w:tcW w:type="dxa" w:w="1656"/>
          </w:tcPr>
          <w:p>
            <w:r/>
            <w:r>
              <w:rPr>
                <w:b/>
                <w:sz w:val="17"/>
              </w:rPr>
              <w:t>Output</w:t>
            </w:r>
          </w:p>
        </w:tc>
        <w:tc>
          <w:tcPr>
            <w:tcW w:type="dxa" w:w="8064"/>
          </w:tcPr>
          <w:p>
            <w:r/>
            <w:r>
              <w:rPr>
                <w:sz w:val="18"/>
              </w:rPr>
              <w:t xml:space="preserve">Either a freshly seeded fact plus an </w:t>
            </w:r>
            <w:r>
              <w:rPr>
                <w:rFonts w:ascii="Consolas" w:hAnsi="Consolas"/>
                <w:sz w:val="17"/>
              </w:rPr>
              <w:t>_init_ver</w:t>
            </w:r>
            <w:r>
              <w:rPr>
                <w:sz w:val="18"/>
              </w:rPr>
              <w:t xml:space="preserve"> map, or an empty </w:t>
            </w:r>
            <w:r>
              <w:rPr>
                <w:rFonts w:ascii="Consolas" w:hAnsi="Consolas"/>
                <w:sz w:val="17"/>
              </w:rPr>
              <w:t>_init_ver</w:t>
            </w:r>
            <w:r>
              <w:rPr>
                <w:sz w:val="18"/>
              </w:rPr>
              <w:t xml:space="preserve"> meaning 'resume'.</w:t>
            </w:r>
          </w:p>
        </w:tc>
      </w:tr>
      <w:tr>
        <w:tc>
          <w:tcPr>
            <w:tcW w:type="dxa" w:w="1656"/>
          </w:tcPr>
          <w:p>
            <w:r/>
            <w:r>
              <w:rPr>
                <w:b/>
                <w:sz w:val="17"/>
              </w:rPr>
              <w:t>Business logic</w:t>
            </w:r>
          </w:p>
        </w:tc>
        <w:tc>
          <w:tcPr>
            <w:tcW w:type="dxa" w:w="8064"/>
          </w:tcPr>
          <w:p>
            <w:r/>
            <w:r>
              <w:rPr>
                <w:sz w:val="18"/>
              </w:rPr>
              <w:t xml:space="preserve">Seeding calls the same </w:t>
            </w:r>
            <w:r>
              <w:rPr>
                <w:rFonts w:ascii="Consolas" w:hAnsi="Consolas"/>
                <w:sz w:val="17"/>
              </w:rPr>
              <w:t>transform_fact()</w:t>
            </w:r>
            <w:r>
              <w:rPr>
                <w:sz w:val="18"/>
              </w:rPr>
              <w:t xml:space="preserve"> the incremental path calls — so a rebuild and an incremental update can never disagree.</w:t>
            </w:r>
          </w:p>
        </w:tc>
      </w:tr>
      <w:tr>
        <w:tc>
          <w:tcPr>
            <w:tcW w:type="dxa" w:w="1656"/>
          </w:tcPr>
          <w:p>
            <w:r/>
            <w:r>
              <w:rPr>
                <w:b/>
                <w:sz w:val="17"/>
              </w:rPr>
              <w:t>Fits the pipeline</w:t>
            </w:r>
          </w:p>
        </w:tc>
        <w:tc>
          <w:tcPr>
            <w:tcW w:type="dxa" w:w="8064"/>
          </w:tcPr>
          <w:p>
            <w:r/>
            <w:r>
              <w:rPr>
                <w:sz w:val="18"/>
              </w:rPr>
              <w:t>Stage 4. The hinge between batch and streaming, and the cell you interact with when operating the pipeline.</w:t>
            </w:r>
          </w:p>
        </w:tc>
      </w:tr>
    </w:tbl>
    <w:p>
      <w:pPr>
        <w:spacing w:after="80"/>
      </w:pPr>
    </w:p>
    <w:p>
      <w:pPr>
        <w:pStyle w:val="Heading3"/>
      </w:pPr>
      <w:r>
        <w:t>2.12  Cell In[6] — the stream batch handlers (lines 384–424)</w:t>
      </w:r>
    </w:p>
    <w:p>
      <w:pPr>
        <w:spacing w:after="40"/>
      </w:pPr>
      <w:r>
        <w:rPr>
          <w:i/>
          <w:color w:val="606060"/>
          <w:sz w:val="17"/>
        </w:rPr>
        <w:t>lines 384–424</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STREAM BATCH HANDLERS  (structure from nb_silver_to_gold_eso7_v2 / ESO1)</w:t>
        <w:br/>
        <w:t>#   init_ver = the source's Delta version at full-load time. Rows with</w:t>
        <w:br/>
        <w:t>#   _commit_version &lt;= init_ver are seed data (already in Gold), so the handler skips them.</w:t>
        <w:br/>
        <w:t>#   On resume (init_ver = -1) nothing is filtered. Each handler maps its change rows to the</w:t>
        <w:br/>
        <w:t>#   affected invoice-document scope (company_key / document_type / invoice_number) and</w:t>
        <w:br/>
        <w:t>#   recompute_fact()s that scope (delete + append).</w:t>
        <w:br/>
        <w:t># =============================================================================</w:t>
        <w:br/>
        <w:t>def make_fact_f4211_handler(init_ver):</w:t>
        <w:br/>
        <w:t xml:space="preserve">    def handler(batch_df, batch_id):</w:t>
        <w:br/>
        <w:t xml:space="preserve">        if batch_df.rdd.isEmpty():</w:t>
        <w:br/>
        <w:t xml:space="preserve">            return</w:t>
        <w:br/>
        <w:t xml:space="preserve">        if init_ver &gt;= 0:</w:t>
        <w:br/>
        <w:t xml:space="preserve">            batch_df = batch_df.filter(F.col("_commit_version") &gt; init_ver)</w:t>
        <w:br/>
        <w:t xml:space="preserve">        if batch_df.rdd.isEmpty():</w:t>
        <w:br/>
        <w:t xml:space="preserve">            return</w:t>
        <w:br/>
        <w:t xml:space="preserve">        docs = (batch_df.filter(F.col("_change_type").isin("insert", "update_postimage", "delete"))</w:t>
        <w:br/>
        <w:t xml:space="preserve">                .select(F.col("company_key"), F.col("document_type"),</w:t>
        <w:br/>
        <w:t xml:space="preserve">                        F.col("doc_voucher_invoice_e").alias("invoice_number")).distinct())</w:t>
        <w:br/>
        <w:t xml:space="preserve">        n = recompute_fact(docs)   # delete document scope + append recomputed lines (self-locks)</w:t>
        <w:br/>
        <w:t xml:space="preserve">        print(f"[{F4211_TBL[:12]}] fact batch={batch_id} rows={n}")</w:t>
        <w:br/>
        <w:t xml:space="preserve">    return handler</w:t>
        <w:br/>
        <w:br/>
        <w:t>def make_fact_f03b11_handler(init_ver):</w:t>
        <w:br/>
        <w:t xml:space="preserve">    def handler(batch_df, batch_id):</w:t>
        <w:br/>
        <w:t xml:space="preserve">        if batch_df.rdd.isEmpty():</w:t>
        <w:br/>
        <w:t xml:space="preserve">            return</w:t>
        <w:br/>
        <w:t xml:space="preserve">        if init_ver &gt;= 0:</w:t>
        <w:br/>
        <w:t xml:space="preserve">            batch_df = batch_df.filter(F.col("_commit_version") &gt; init_ver)</w:t>
        <w:br/>
        <w:t xml:space="preserve">        if batch_df.rdd.isEmpty():</w:t>
        <w:br/>
        <w:t xml:space="preserve">            return</w:t>
        <w:br/>
        <w:t xml:space="preserve">        # F03B11 change rows point back to the F4211 invoice via the ORIGINAL-document keys</w:t>
        <w:br/>
        <w:t xml:space="preserve">        # (RPOKCO/RPODCT/RPODOC == SDKCO/SDDCT/SDDOC) — recompute those documents' lines.</w:t>
        <w:br/>
        <w:t xml:space="preserve">        docs = (batch_df.filter(F.col("_change_type").isin("insert", "update_postimage", "delete"))</w:t>
        <w:br/>
        <w:t xml:space="preserve">                .select(F.col("company_key_original").alias("company_key"),</w:t>
        <w:br/>
        <w:t xml:space="preserve">                        F.col("original_document_type").alias("document_type"),</w:t>
        <w:br/>
        <w:t xml:space="preserve">                        F.col("original_document_no").alias("invoice_number"))</w:t>
        <w:br/>
        <w:t xml:space="preserve">                .where(F.col("invoice_number").isNotNull()).distinct())</w:t>
        <w:br/>
        <w:t xml:space="preserve">        n = recompute_fact(docs)</w:t>
        <w:br/>
        <w:t xml:space="preserve">        print(f"[{F03B11_TBL[:12]}] fact batch={batch_id} rows={n}")</w:t>
        <w:br/>
        <w:t xml:space="preserve">    return handler</w:t>
      </w:r>
    </w:p>
    <w:p>
      <w:r>
        <w:rPr>
          <w:b w:val="0"/>
          <w:i w:val="0"/>
          <w:sz w:val="21"/>
        </w:rPr>
        <w:t>Two handlers, one per streamed source. Both are written as factories — make_fact_f4211_handler(init_ver) returns the actual handler function. That is a closure, and the reason for it is practical: foreachBatch will only ever pass your function (batch_df, batch_id), so init_ver has to be captured from the enclosing scope. The factory is how it gets in.</w:t>
      </w:r>
    </w:p>
    <w:p>
      <w:r>
        <w:rPr>
          <w:b w:val="0"/>
          <w:i w:val="0"/>
          <w:sz w:val="21"/>
        </w:rPr>
        <w:t>Both handlers follow the same four steps.</w:t>
      </w:r>
    </w:p>
    <w:p>
      <w:pPr>
        <w:pStyle w:val="ListBullet"/>
        <w:spacing w:after="60"/>
        <w:ind w:left="360"/>
      </w:pPr>
      <w:r>
        <w:t>Empty check — return immediately if the micro-batch is empty. Most 30-second batches are.</w:t>
      </w:r>
    </w:p>
    <w:p>
      <w:pPr>
        <w:pStyle w:val="ListBullet"/>
        <w:spacing w:after="60"/>
        <w:ind w:left="360"/>
      </w:pPr>
      <w:r>
        <w:t>Seed skip — if init_ver &gt;= 0, drop everything at or below it. Those rows are already in Gold from the seed. On resume init_ver is -1 and nothing is filtered.</w:t>
      </w:r>
    </w:p>
    <w:p>
      <w:pPr>
        <w:pStyle w:val="ListBullet"/>
        <w:spacing w:after="60"/>
        <w:ind w:left="360"/>
      </w:pPr>
      <w:r>
        <w:t>Change filter — keep only insert, update_postimage and delete. This is where update_preimage gets discarded: every update produces both a before and an after row, and processing both would just do the same work twice.</w:t>
      </w:r>
    </w:p>
    <w:p>
      <w:pPr>
        <w:pStyle w:val="ListBullet"/>
        <w:spacing w:after="60"/>
        <w:ind w:left="360"/>
      </w:pPr>
      <w:r>
        <w:t>Map to scope, then recompute. Identify which invoice documents were touched, and rebuild them.</w:t>
      </w:r>
    </w:p>
    <w:p>
      <w:pPr>
        <w:pStyle w:val="Heading4"/>
      </w:pPr>
      <w:r>
        <w:t>The one real difference between the two handlers</w:t>
      </w:r>
    </w:p>
    <w:p>
      <w:r>
        <w:rPr>
          <w:b w:val="0"/>
          <w:i w:val="0"/>
          <w:sz w:val="21"/>
        </w:rPr>
        <w:t>F4211 is the fact's driving table, so its change rows already carry the invoice keys directly: company_key, document_type, doc_voucher_invoice_e.</w:t>
      </w:r>
    </w:p>
    <w:p>
      <w:r>
        <w:rPr>
          <w:b w:val="0"/>
          <w:i w:val="0"/>
          <w:sz w:val="21"/>
        </w:rPr>
        <w:t>F03B11 is the invoice side, and its rows point back at the order via the ORIGINAL-document columns — company_key_original, original_document_type, original_document_no. Those are the same three values under different names (the join in Part 2.7 asserts exactly that equality). So the F03B11 handler renames them into the fact's vocabulary before recomputing.</w:t>
      </w:r>
    </w:p>
    <w:p>
      <w:r>
        <w:t xml:space="preserve">The F03B11 handler also adds </w:t>
      </w:r>
      <w:r>
        <w:rPr>
          <w:rFonts w:ascii="Consolas" w:hAnsi="Consolas"/>
          <w:color w:val="A31C3C"/>
          <w:sz w:val="19"/>
        </w:rPr>
        <w:t>.where(invoice_number.isNotNull())</w:t>
      </w:r>
      <w:r>
        <w:t>. Not every customer-ledger row originates from a sales order — some AR documents have no originating document at all, and those rows would produce a null scope, which matches nothing. Filtering them out early avoids pointless recomputes.</w:t>
      </w:r>
    </w:p>
    <w:p>
      <w:r>
        <w:rPr>
          <w:b w:val="0"/>
          <w:i w:val="0"/>
          <w:sz w:val="21"/>
        </w:rPr>
        <w:t>Notice that neither handler holds the lock itself. recompute_fact takes it internally, which keeps the locking discipline in exactly one place instead of relying on two call sites to remember.</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Turn a micro-batch of raw change rows into 'which invoices need rebuilding', then rebuild them.</w:t>
            </w:r>
          </w:p>
        </w:tc>
      </w:tr>
      <w:tr>
        <w:tc>
          <w:tcPr>
            <w:tcW w:type="dxa" w:w="1656"/>
          </w:tcPr>
          <w:p>
            <w:r/>
            <w:r>
              <w:rPr>
                <w:b/>
                <w:sz w:val="17"/>
              </w:rPr>
              <w:t>Input</w:t>
            </w:r>
          </w:p>
        </w:tc>
        <w:tc>
          <w:tcPr>
            <w:tcW w:type="dxa" w:w="8064"/>
          </w:tcPr>
          <w:p>
            <w:r/>
            <w:r>
              <w:rPr>
                <w:sz w:val="18"/>
              </w:rPr>
            </w:r>
            <w:r>
              <w:rPr>
                <w:rFonts w:ascii="Consolas" w:hAnsi="Consolas"/>
                <w:sz w:val="17"/>
              </w:rPr>
              <w:t>batch_df</w:t>
            </w:r>
            <w:r>
              <w:rPr>
                <w:sz w:val="18"/>
              </w:rPr>
              <w:t xml:space="preserve"> — CDF rows from F4211 or F03B11, carrying </w:t>
            </w:r>
            <w:r>
              <w:rPr>
                <w:rFonts w:ascii="Consolas" w:hAnsi="Consolas"/>
                <w:sz w:val="17"/>
              </w:rPr>
              <w:t>_change_type</w:t>
            </w:r>
            <w:r>
              <w:rPr>
                <w:sz w:val="18"/>
              </w:rPr>
              <w:t xml:space="preserve"> and </w:t>
            </w:r>
            <w:r>
              <w:rPr>
                <w:rFonts w:ascii="Consolas" w:hAnsi="Consolas"/>
                <w:sz w:val="17"/>
              </w:rPr>
              <w:t>_commit_version</w:t>
            </w:r>
            <w:r>
              <w:rPr>
                <w:sz w:val="18"/>
              </w:rPr>
              <w:t>.</w:t>
            </w:r>
          </w:p>
        </w:tc>
      </w:tr>
      <w:tr>
        <w:tc>
          <w:tcPr>
            <w:tcW w:type="dxa" w:w="1656"/>
          </w:tcPr>
          <w:p>
            <w:r/>
            <w:r>
              <w:rPr>
                <w:b/>
                <w:sz w:val="17"/>
              </w:rPr>
              <w:t>Output</w:t>
            </w:r>
          </w:p>
        </w:tc>
        <w:tc>
          <w:tcPr>
            <w:tcW w:type="dxa" w:w="8064"/>
          </w:tcPr>
          <w:p>
            <w:r/>
            <w:r>
              <w:rPr>
                <w:sz w:val="18"/>
              </w:rPr>
              <w:t xml:space="preserve">A call to </w:t>
            </w:r>
            <w:r>
              <w:rPr>
                <w:rFonts w:ascii="Consolas" w:hAnsi="Consolas"/>
                <w:sz w:val="17"/>
              </w:rPr>
              <w:t>recompute_fact</w:t>
            </w:r>
            <w:r>
              <w:rPr>
                <w:sz w:val="18"/>
              </w:rPr>
              <w:t>; a log line per batch.</w:t>
            </w:r>
          </w:p>
        </w:tc>
      </w:tr>
      <w:tr>
        <w:tc>
          <w:tcPr>
            <w:tcW w:type="dxa" w:w="1656"/>
          </w:tcPr>
          <w:p>
            <w:r/>
            <w:r>
              <w:rPr>
                <w:b/>
                <w:sz w:val="17"/>
              </w:rPr>
              <w:t>Business logic</w:t>
            </w:r>
          </w:p>
        </w:tc>
        <w:tc>
          <w:tcPr>
            <w:tcW w:type="dxa" w:w="8064"/>
          </w:tcPr>
          <w:p>
            <w:r/>
            <w:r>
              <w:rPr>
                <w:sz w:val="18"/>
              </w:rPr>
              <w:t>Any change to an order line or its invoice invalidates that invoice's fact rows. Pre-images are ignored; both handlers converge on the same invoice-document scope.</w:t>
            </w:r>
          </w:p>
        </w:tc>
      </w:tr>
      <w:tr>
        <w:tc>
          <w:tcPr>
            <w:tcW w:type="dxa" w:w="1656"/>
          </w:tcPr>
          <w:p>
            <w:r/>
            <w:r>
              <w:rPr>
                <w:b/>
                <w:sz w:val="17"/>
              </w:rPr>
              <w:t>Fits the pipeline</w:t>
            </w:r>
          </w:p>
        </w:tc>
        <w:tc>
          <w:tcPr>
            <w:tcW w:type="dxa" w:w="8064"/>
          </w:tcPr>
          <w:p>
            <w:r/>
            <w:r>
              <w:rPr>
                <w:sz w:val="18"/>
              </w:rPr>
              <w:t xml:space="preserve">Stage 5. Invoked by Spark every 30 seconds per stream, on separate driver threads — hence the lock inside </w:t>
            </w:r>
            <w:r>
              <w:rPr>
                <w:rFonts w:ascii="Consolas" w:hAnsi="Consolas"/>
                <w:sz w:val="17"/>
              </w:rPr>
              <w:t>recompute_fact</w:t>
            </w:r>
            <w:r>
              <w:rPr>
                <w:sz w:val="18"/>
              </w:rPr>
              <w:t>.</w:t>
            </w:r>
          </w:p>
        </w:tc>
      </w:tr>
    </w:tbl>
    <w:p>
      <w:pPr>
        <w:spacing w:after="80"/>
      </w:pPr>
    </w:p>
    <w:p>
      <w:pPr>
        <w:pStyle w:val="Heading3"/>
      </w:pPr>
      <w:r>
        <w:t>2.13  Cell In[7] — starting the streams (lines 429–473)</w:t>
      </w:r>
    </w:p>
    <w:p>
      <w:pPr>
        <w:spacing w:after="40"/>
      </w:pPr>
      <w:r>
        <w:rPr>
          <w:i/>
          <w:color w:val="606060"/>
          <w:sz w:val="17"/>
        </w:rPr>
        <w:t>lines 429–473</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START STREAMS — Silver Change Data Feed -&gt; foreachBatch -&gt; CDC write, every 30 s.</w:t>
        <w:br/>
        <w:t># Each stream starts at init_ver (full load) — the seed-time version, which EXISTS and (with</w:t>
        <w:br/>
        <w:t># CDF enabled) carries change data; the handler discards that seed version via</w:t>
        <w:br/>
        <w:t># _commit_version &lt;= init_ver. On resume (init_ver = -1) the committed offset drives, and</w:t>
        <w:br/>
        <w:t># startingVersion falls back to the source's CURRENT version (never 0 — v0 predates CDF).</w:t>
        <w:br/>
        <w:t># REQUIRES delta.enableChangeDataFeed = true on every streamed source (F4211 / F03B11).</w:t>
        <w:br/>
        <w:t># =============================================================================</w:t>
        <w:br/>
        <w:t>def _start_ver(iv, tbl):</w:t>
        <w:br/>
        <w:t xml:space="preserve">    """Full load: init_ver (exists, carries CDF; handler skips &lt;= it). Resume (iv &lt; 0):</w:t>
        <w:br/>
        <w:t xml:space="preserve">    fall back to the source's CURRENT version, never 0 (v0 predates CDF enablement and would</w:t>
        <w:br/>
        <w:t xml:space="preserve">    raise DELTA_MISSING_CHANGE_DATA); on a genuine resume the committed offset drives anyway."""</w:t>
        <w:br/>
        <w:t xml:space="preserve">    return iv if iv &gt;= 0 else current_version(tbl)</w:t>
        <w:br/>
        <w:br/>
        <w:t>iv_fact = _init_ver.get(F4211_TBL, -1)</w:t>
        <w:br/>
        <w:t>_sv_fact = _start_ver(iv_fact, F4211_TBL)</w:t>
        <w:br/>
        <w:t>(spark.readStream.format("delta")</w:t>
        <w:br/>
        <w:t xml:space="preserve">     .option("readChangeFeed",  "true")</w:t>
        <w:br/>
        <w:t xml:space="preserve">     .option("startingVersion", _sv_fact)</w:t>
        <w:br/>
        <w:t xml:space="preserve">     .table(sname(F4211_TBL))</w:t>
        <w:br/>
        <w:t xml:space="preserve"> .writeStream</w:t>
        <w:br/>
        <w:t xml:space="preserve">     .foreachBatch(make_fact_f4211_handler(iv_fact))</w:t>
        <w:br/>
        <w:t xml:space="preserve">     .option("checkpointLocation", f"{CKPT}/fact__{F4211_TBL}")</w:t>
        <w:br/>
        <w:t xml:space="preserve">     .trigger(**TRIGGER)</w:t>
        <w:br/>
        <w:t xml:space="preserve">     .queryName("fact__" + F4211_TBL)</w:t>
        <w:br/>
        <w:t xml:space="preserve">     .start())</w:t>
        <w:br/>
        <w:t>print(f"  fact__{F4211_TBL}  startingVersion={_sv_fact}  init_ver={iv_fact}")</w:t>
        <w:br/>
        <w:br/>
        <w:t>iv_ar = _init_ver.get(F03B11_TBL, -1)</w:t>
        <w:br/>
        <w:t>_sv_ar = _start_ver(iv_ar, F03B11_TBL)</w:t>
        <w:br/>
        <w:t>(spark.readStream.format("delta")</w:t>
        <w:br/>
        <w:t xml:space="preserve">     .option("readChangeFeed",  "true")</w:t>
        <w:br/>
        <w:t xml:space="preserve">     .option("startingVersion", _sv_ar)</w:t>
        <w:br/>
        <w:t xml:space="preserve">     .table(sname(F03B11_TBL))</w:t>
        <w:br/>
        <w:t xml:space="preserve"> .writeStream</w:t>
        <w:br/>
        <w:t xml:space="preserve">     .foreachBatch(make_fact_f03b11_handler(iv_ar))</w:t>
        <w:br/>
        <w:t xml:space="preserve">     .option("checkpointLocation", f"{CKPT}/fact__{F03B11_TBL}")</w:t>
        <w:br/>
        <w:t xml:space="preserve">     .trigger(**TRIGGER)</w:t>
        <w:br/>
        <w:t xml:space="preserve">     .queryName("fact__" + F03B11_TBL)</w:t>
        <w:br/>
        <w:t xml:space="preserve">     .start())</w:t>
        <w:br/>
        <w:t>print(f"  fact__{F03B11_TBL}  startingVersion={_sv_ar}  init_ver={iv_ar}")</w:t>
        <w:br/>
        <w:br/>
        <w:t>print(f"== started 2 streams — continuous, trigger {TRIGGER}. Target {T_FACT}. "</w:t>
        <w:br/>
        <w:t xml:space="preserve">      "dim_business_unit refreshes via its own job; dim_address reused (rpt). ==")</w:t>
        <w:br/>
        <w:t>spark.streams.awaitAnyTermination()</w:t>
      </w:r>
    </w:p>
    <w:p>
      <w:r>
        <w:rPr>
          <w:b w:val="0"/>
          <w:i w:val="0"/>
          <w:sz w:val="21"/>
        </w:rPr>
        <w:t>The last cell wires everything up and hands control to Spark.</w:t>
      </w:r>
    </w:p>
    <w:p>
      <w:r>
        <w:rPr>
          <w:rFonts w:ascii="Consolas" w:hAnsi="Consolas"/>
          <w:color w:val="A31C3C"/>
          <w:sz w:val="19"/>
        </w:rPr>
        <w:t>_start_ver()</w:t>
      </w:r>
      <w:r>
        <w:t xml:space="preserve"> (lines 437–441) encodes one more piece of hard-won defensiveness. On a full load, start at init_ver — that version exists and, with CDF on, carries change data. On resume, you might expect 0, meaning 'from the beginning'. That would be a bug: version 0 almost certainly predates CDF being enabled on the source, and reading its change feed raises DELTA_MISSING_CHANGE_DATA. So the fallback is the source's CURRENT version instead. On a genuine resume this value is ignored anyway — the committed checkpoint offset wins — so the only thing it does is make the failure mode safe.</w:t>
      </w:r>
    </w:p>
    <w:p>
      <w:r>
        <w:rPr>
          <w:b w:val="0"/>
          <w:i w:val="0"/>
          <w:sz w:val="21"/>
        </w:rPr>
        <w:t>Each stream is then five settings, and every one matters:</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8"/>
              </w:rPr>
              <w:t>Setting</w:t>
            </w:r>
          </w:p>
        </w:tc>
        <w:tc>
          <w:tcPr>
            <w:tcW w:type="dxa" w:w="6192"/>
          </w:tcPr>
          <w:p>
            <w:r/>
            <w:r>
              <w:rPr>
                <w:b/>
                <w:sz w:val="18"/>
              </w:rPr>
              <w:t>Why</w:t>
            </w:r>
          </w:p>
        </w:tc>
      </w:tr>
      <w:tr>
        <w:tc>
          <w:tcPr>
            <w:tcW w:type="dxa" w:w="3456"/>
          </w:tcPr>
          <w:p>
            <w:pPr>
              <w:spacing w:after="40"/>
            </w:pPr>
            <w:r/>
            <w:r>
              <w:rPr>
                <w:sz w:val="17"/>
              </w:rPr>
            </w:r>
            <w:r>
              <w:rPr>
                <w:rFonts w:ascii="Consolas" w:hAnsi="Consolas"/>
                <w:sz w:val="16"/>
              </w:rPr>
              <w:t>.option("readChangeFeed", "true")</w:t>
            </w:r>
            <w:r>
              <w:rPr>
                <w:sz w:val="17"/>
              </w:rPr>
            </w:r>
          </w:p>
        </w:tc>
        <w:tc>
          <w:tcPr>
            <w:tcW w:type="dxa" w:w="6192"/>
          </w:tcPr>
          <w:p>
            <w:pPr>
              <w:spacing w:after="40"/>
            </w:pPr>
            <w:r/>
            <w:r>
              <w:rPr>
                <w:sz w:val="17"/>
              </w:rPr>
              <w:t>Read the change log, not the table's current state. Without this you would get a snapshot, not the changes.</w:t>
            </w:r>
          </w:p>
        </w:tc>
      </w:tr>
      <w:tr>
        <w:tc>
          <w:tcPr>
            <w:tcW w:type="dxa" w:w="3456"/>
          </w:tcPr>
          <w:p>
            <w:pPr>
              <w:spacing w:after="40"/>
            </w:pPr>
            <w:r/>
            <w:r>
              <w:rPr>
                <w:sz w:val="17"/>
              </w:rPr>
            </w:r>
            <w:r>
              <w:rPr>
                <w:rFonts w:ascii="Consolas" w:hAnsi="Consolas"/>
                <w:sz w:val="16"/>
              </w:rPr>
              <w:t>.option("startingVersion", …)</w:t>
            </w:r>
            <w:r>
              <w:rPr>
                <w:sz w:val="17"/>
              </w:rPr>
            </w:r>
          </w:p>
        </w:tc>
        <w:tc>
          <w:tcPr>
            <w:tcW w:type="dxa" w:w="6192"/>
          </w:tcPr>
          <w:p>
            <w:pPr>
              <w:spacing w:after="40"/>
            </w:pPr>
            <w:r/>
            <w:r>
              <w:rPr>
                <w:sz w:val="17"/>
              </w:rPr>
              <w:t xml:space="preserve">Where to begin. Supplied by </w:t>
            </w:r>
            <w:r>
              <w:rPr>
                <w:rFonts w:ascii="Consolas" w:hAnsi="Consolas"/>
                <w:sz w:val="16"/>
              </w:rPr>
              <w:t>_start_ver</w:t>
            </w:r>
            <w:r>
              <w:rPr>
                <w:sz w:val="17"/>
              </w:rPr>
              <w:t>; ignored when a committed checkpoint exists.</w:t>
            </w:r>
          </w:p>
        </w:tc>
      </w:tr>
      <w:tr>
        <w:tc>
          <w:tcPr>
            <w:tcW w:type="dxa" w:w="3456"/>
          </w:tcPr>
          <w:p>
            <w:pPr>
              <w:spacing w:after="40"/>
            </w:pPr>
            <w:r/>
            <w:r>
              <w:rPr>
                <w:sz w:val="17"/>
              </w:rPr>
            </w:r>
            <w:r>
              <w:rPr>
                <w:rFonts w:ascii="Consolas" w:hAnsi="Consolas"/>
                <w:sz w:val="16"/>
              </w:rPr>
              <w:t>.foreachBatch(make_…_handler(iv))</w:t>
            </w:r>
            <w:r>
              <w:rPr>
                <w:sz w:val="17"/>
              </w:rPr>
            </w:r>
          </w:p>
        </w:tc>
        <w:tc>
          <w:tcPr>
            <w:tcW w:type="dxa" w:w="6192"/>
          </w:tcPr>
          <w:p>
            <w:pPr>
              <w:spacing w:after="40"/>
            </w:pPr>
            <w:r/>
            <w:r>
              <w:rPr>
                <w:sz w:val="17"/>
              </w:rPr>
              <w:t xml:space="preserve">Our function, with </w:t>
            </w:r>
            <w:r>
              <w:rPr>
                <w:rFonts w:ascii="Consolas" w:hAnsi="Consolas"/>
                <w:sz w:val="16"/>
              </w:rPr>
              <w:t>init_ver</w:t>
            </w:r>
            <w:r>
              <w:rPr>
                <w:sz w:val="17"/>
              </w:rPr>
              <w:t xml:space="preserve"> baked in by the closure.</w:t>
            </w:r>
          </w:p>
        </w:tc>
      </w:tr>
      <w:tr>
        <w:tc>
          <w:tcPr>
            <w:tcW w:type="dxa" w:w="3456"/>
          </w:tcPr>
          <w:p>
            <w:pPr>
              <w:spacing w:after="40"/>
            </w:pPr>
            <w:r/>
            <w:r>
              <w:rPr>
                <w:sz w:val="17"/>
              </w:rPr>
            </w:r>
            <w:r>
              <w:rPr>
                <w:rFonts w:ascii="Consolas" w:hAnsi="Consolas"/>
                <w:sz w:val="16"/>
              </w:rPr>
              <w:t>.option("checkpointLocation", …)</w:t>
            </w:r>
            <w:r>
              <w:rPr>
                <w:sz w:val="17"/>
              </w:rPr>
            </w:r>
          </w:p>
        </w:tc>
        <w:tc>
          <w:tcPr>
            <w:tcW w:type="dxa" w:w="6192"/>
          </w:tcPr>
          <w:p>
            <w:pPr>
              <w:spacing w:after="40"/>
            </w:pPr>
            <w:r/>
            <w:r>
              <w:rPr>
                <w:sz w:val="17"/>
              </w:rPr>
              <w:t>One folder per stream, under this notebook's own root. This is the bookmark.</w:t>
            </w:r>
          </w:p>
        </w:tc>
      </w:tr>
      <w:tr>
        <w:tc>
          <w:tcPr>
            <w:tcW w:type="dxa" w:w="3456"/>
          </w:tcPr>
          <w:p>
            <w:pPr>
              <w:spacing w:after="40"/>
            </w:pPr>
            <w:r/>
            <w:r>
              <w:rPr>
                <w:sz w:val="17"/>
              </w:rPr>
            </w:r>
            <w:r>
              <w:rPr>
                <w:rFonts w:ascii="Consolas" w:hAnsi="Consolas"/>
                <w:sz w:val="16"/>
              </w:rPr>
              <w:t>.queryName("fact__" + tbl)</w:t>
            </w:r>
            <w:r>
              <w:rPr>
                <w:sz w:val="17"/>
              </w:rPr>
            </w:r>
          </w:p>
        </w:tc>
        <w:tc>
          <w:tcPr>
            <w:tcW w:type="dxa" w:w="6192"/>
          </w:tcPr>
          <w:p>
            <w:pPr>
              <w:spacing w:after="40"/>
            </w:pPr>
            <w:r/>
            <w:r>
              <w:rPr>
                <w:sz w:val="17"/>
              </w:rPr>
              <w:t>The name the leftover-stream stopper in Cell In[5] looks for. It must match.</w:t>
            </w:r>
          </w:p>
        </w:tc>
      </w:tr>
    </w:tbl>
    <w:p>
      <w:pPr>
        <w:spacing w:after="80"/>
      </w:pPr>
    </w:p>
    <w:p>
      <w:r>
        <w:t xml:space="preserve">The final line, </w:t>
      </w:r>
      <w:r>
        <w:rPr>
          <w:rFonts w:ascii="Consolas" w:hAnsi="Consolas"/>
          <w:color w:val="A31C3C"/>
          <w:sz w:val="19"/>
        </w:rPr>
        <w:t>spark.streams.awaitAnyTermination()</w:t>
      </w:r>
      <w:r>
        <w:t>, blocks forever. That is correct and intended: the notebook is a long-running service, not a job that finishes. The cell will show as 'running' indefinitely. If it returns, a stream died, and you should read the error.</w:t>
      </w:r>
    </w:p>
    <w:p>
      <w:pPr>
        <w:spacing w:before="120" w:after="160"/>
        <w:ind w:left="144"/>
        <w:shd w:val="clear" w:fill="EAF1FB"/>
        <w:pBdr>
          <w:top w:val="single" w:sz="4" w:space="4" w:color="E8C48A"/>
          <w:left w:val="single" w:sz="4" w:space="4" w:color="E8C48A"/>
          <w:bottom w:val="single" w:sz="4" w:space="4" w:color="E8C48A"/>
          <w:right w:val="single" w:sz="4" w:space="4" w:color="E8C48A"/>
        </w:pBdr>
      </w:pPr>
      <w:r>
        <w:rPr>
          <w:b/>
          <w:sz w:val="20"/>
        </w:rPr>
        <w:t xml:space="preserve">Reading the startup log.  </w:t>
      </w:r>
      <w:r>
        <w:rPr>
          <w:sz w:val="20"/>
        </w:rPr>
        <w:t>The two print lines are your first diagnostic. A healthy full load prints something like 'fact__f4211_sales_order_detail_file startingVersion=42 init_ver=42' — the numbers equal and greater than zero. If you see init_ver=-1 you are on the resume path; if you see startingVersion=0 something is wrong and DELTA_MISSING_CHANGE_DATA is probably coming.</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Start both change-feed streams and keep the notebook alive.</w:t>
            </w:r>
          </w:p>
        </w:tc>
      </w:tr>
      <w:tr>
        <w:tc>
          <w:tcPr>
            <w:tcW w:type="dxa" w:w="1656"/>
          </w:tcPr>
          <w:p>
            <w:r/>
            <w:r>
              <w:rPr>
                <w:b/>
                <w:sz w:val="17"/>
              </w:rPr>
              <w:t>Input</w:t>
            </w:r>
          </w:p>
        </w:tc>
        <w:tc>
          <w:tcPr>
            <w:tcW w:type="dxa" w:w="8064"/>
          </w:tcPr>
          <w:p>
            <w:r/>
            <w:r>
              <w:rPr>
                <w:sz w:val="18"/>
              </w:rPr>
            </w:r>
            <w:r>
              <w:rPr>
                <w:rFonts w:ascii="Consolas" w:hAnsi="Consolas"/>
                <w:sz w:val="17"/>
              </w:rPr>
              <w:t>_init_ver</w:t>
            </w:r>
            <w:r>
              <w:rPr>
                <w:sz w:val="18"/>
              </w:rPr>
              <w:t xml:space="preserve"> from Cell In[5]; the handlers from Cell In[6].</w:t>
            </w:r>
          </w:p>
        </w:tc>
      </w:tr>
      <w:tr>
        <w:tc>
          <w:tcPr>
            <w:tcW w:type="dxa" w:w="1656"/>
          </w:tcPr>
          <w:p>
            <w:r/>
            <w:r>
              <w:rPr>
                <w:b/>
                <w:sz w:val="17"/>
              </w:rPr>
              <w:t>Output</w:t>
            </w:r>
          </w:p>
        </w:tc>
        <w:tc>
          <w:tcPr>
            <w:tcW w:type="dxa" w:w="8064"/>
          </w:tcPr>
          <w:p>
            <w:r/>
            <w:r>
              <w:rPr>
                <w:sz w:val="18"/>
              </w:rPr>
              <w:t xml:space="preserve">Two continuously running streams; blocks on </w:t>
            </w:r>
            <w:r>
              <w:rPr>
                <w:rFonts w:ascii="Consolas" w:hAnsi="Consolas"/>
                <w:sz w:val="17"/>
              </w:rPr>
              <w:t>awaitAnyTermination</w:t>
            </w:r>
            <w:r>
              <w:rPr>
                <w:sz w:val="18"/>
              </w:rPr>
              <w:t>.</w:t>
            </w:r>
          </w:p>
        </w:tc>
      </w:tr>
      <w:tr>
        <w:tc>
          <w:tcPr>
            <w:tcW w:type="dxa" w:w="1656"/>
          </w:tcPr>
          <w:p>
            <w:r/>
            <w:r>
              <w:rPr>
                <w:b/>
                <w:sz w:val="17"/>
              </w:rPr>
              <w:t>Fits the pipeline</w:t>
            </w:r>
          </w:p>
        </w:tc>
        <w:tc>
          <w:tcPr>
            <w:tcW w:type="dxa" w:w="8064"/>
          </w:tcPr>
          <w:p>
            <w:r/>
            <w:r>
              <w:rPr>
                <w:sz w:val="18"/>
              </w:rPr>
              <w:t>Stage 5, and the end of the notebook. From here the pipeline is live: any change to F4211 or F03B11 reaches Gold within roughly 30 seconds.</w:t>
            </w:r>
          </w:p>
        </w:tc>
      </w:tr>
    </w:tbl>
    <w:p>
      <w:pPr>
        <w:spacing w:after="80"/>
      </w:pPr>
    </w:p>
    <w:p>
      <w:r>
        <w:br w:type="page"/>
      </w:r>
    </w:p>
    <w:p>
      <w:pPr>
        <w:pStyle w:val="Heading1"/>
      </w:pPr>
      <w:r>
        <w:t>Part 3 — The dim_business_unit notebook</w:t>
      </w:r>
    </w:p>
    <w:p>
      <w:pPr>
        <w:pStyle w:val="Heading2"/>
      </w:pPr>
      <w:r>
        <w:t>nb_eso4_gold_dim_business_unit.py</w:t>
      </w:r>
    </w:p>
    <w:p>
      <w:r>
        <w:rPr>
          <w:b w:val="0"/>
          <w:i w:val="0"/>
          <w:sz w:val="21"/>
        </w:rPr>
        <w:t>227 lines, seven cells, and the same five-stage skeleton. This is the simpler of the two dimension notebooks and a good place to consolidate the pattern: one source, one target, one stream.</w:t>
      </w:r>
    </w:p>
    <w:p>
      <w:r>
        <w:rPr>
          <w:b w:val="0"/>
          <w:i w:val="0"/>
          <w:sz w:val="21"/>
        </w:rPr>
        <w:t>It supplies the plant attributes the fact's plant FK points at.</w:t>
      </w:r>
    </w:p>
    <w:p>
      <w:pPr>
        <w:pStyle w:val="Heading3"/>
      </w:pPr>
      <w:r>
        <w:t>3.1  Cells In[1] and In[2] — config and helpers (lines 23–63)</w:t>
      </w:r>
    </w:p>
    <w:p>
      <w:pPr>
        <w:spacing w:after="40"/>
      </w:pPr>
      <w:r>
        <w:rPr>
          <w:i/>
          <w:color w:val="606060"/>
          <w:sz w:val="17"/>
        </w:rPr>
        <w:t>lines 23–63</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CONFIG + CONSTANTS  (names per Fabric_Naming_Convention_Guidelines.pdf)</w:t>
        <w:br/>
        <w:t># =============================================================================</w:t>
        <w:br/>
        <w:t>from pyspark.sql import functions as F</w:t>
        <w:br/>
        <w:t>from delta.tables import DeltaTable</w:t>
        <w:br/>
        <w:br/>
        <w:t>GOLD_SCHEMA = "lh_jde_gold.rpt"</w:t>
        <w:br/>
        <w:br/>
        <w:t>ENV             = "dev"</w:t>
        <w:br/>
        <w:t>TRIGGER         = {"processingTime": "30 seconds"}</w:t>
        <w:br/>
        <w:t>CKPT            = f"Files/checkpoints/eso4_dim_bu_{ENV}"   # OWN root — independent of other notebooks</w:t>
        <w:br/>
        <w:t>OVERWRITE       = True    # ⚠ ONE-OFF full reprocess — set back to False after a healthy run</w:t>
        <w:br/>
        <w:br/>
        <w:t>SRC_SCHEMA    = "jde_cdc"     # CDF must be enabled on F0006.</w:t>
        <w:br/>
        <w:t>SRC_LAKEHOUSE = "lh_jde_silver"</w:t>
        <w:br/>
        <w:t>F0006_TBL     = "f0006_business_unit_master"</w:t>
        <w:br/>
        <w:br/>
        <w:t>T_DIM_BU  = f"{GOLD_SCHEMA}.dim_business_unit"</w:t>
        <w:br/>
        <w:br/>
        <w:t>print(f"ESO4 Gold dim_business_unit processor — trigger {TRIGGER}  target {T_DIM_BU}")</w:t>
        <w:br/>
        <w:br/>
        <w:br/>
        <w:t># In[2]:</w:t>
        <w:br/>
        <w:br/>
        <w:br/>
        <w:t># =============================================================================</w:t>
        <w:br/>
        <w:t># HELPERS  (identical to ESO1 dim notebook)</w:t>
        <w:br/>
        <w:t># =============================================================================</w:t>
        <w:br/>
        <w:t>_SOFT_DELETE_COLS = ["is_delete", "deleted_date_time"]</w:t>
        <w:br/>
        <w:br/>
        <w:t>def sname(table_name):</w:t>
        <w:br/>
        <w:t xml:space="preserve">    return f"{SRC_LAKEHOUSE}.{SRC_SCHEMA}.{table_name}"</w:t>
        <w:br/>
        <w:br/>
        <w:t>def load_silver_table(table_name):</w:t>
        <w:br/>
        <w:t xml:space="preserve">    df = spark.table(sname(table_name))</w:t>
        <w:br/>
        <w:t xml:space="preserve">    if "is_delete" in df.columns:</w:t>
        <w:br/>
        <w:t xml:space="preserve">        df = df.filter(F.col("is_delete") == 0)</w:t>
        <w:br/>
        <w:t xml:space="preserve">    return df.select(*[c for c in df.columns if c not in _SOFT_DELETE_COLS])</w:t>
        <w:br/>
        <w:br/>
        <w:t>def current_version(silver_table):</w:t>
        <w:br/>
        <w:t xml:space="preserve">    return spark.sql(f"DESCRIBE HISTORY {sname(silver_table)}").select(F.max("version")).first()[0]</w:t>
      </w:r>
    </w:p>
    <w:p>
      <w:r>
        <w:rPr>
          <w:b w:val="0"/>
          <w:i w:val="0"/>
          <w:sz w:val="21"/>
        </w:rPr>
        <w:t>Structurally identical to the fact notebook's, so only the differences are worth noting.</w:t>
      </w:r>
    </w:p>
    <w:p>
      <w:r>
        <w:rPr>
          <w:b w:val="0"/>
          <w:i w:val="0"/>
          <w:sz w:val="21"/>
        </w:rPr>
        <w:t>The checkpoint root is eso4_dim_bu_{ENV} — its own, deliberately independent of the fact's. That independence is what lets you reprocess this dimension without disturbing the fact.</w:t>
      </w:r>
    </w:p>
    <w:p>
      <w:r>
        <w:rPr>
          <w:b w:val="0"/>
          <w:i w:val="0"/>
          <w:sz w:val="21"/>
        </w:rPr>
        <w:t>There is no _FACT_LOCK here, and none is needed: one stream means one writer, so nothing to serialise. There is no sk() either, because this dimension keys on a natural business key rather than a hash.</w:t>
      </w:r>
    </w:p>
    <w:p>
      <w:r>
        <w:t xml:space="preserve">The helpers </w:t>
      </w:r>
      <w:r>
        <w:rPr>
          <w:rFonts w:ascii="Consolas" w:hAnsi="Consolas"/>
          <w:color w:val="A31C3C"/>
          <w:sz w:val="19"/>
        </w:rPr>
        <w:t>sname</w:t>
      </w:r>
      <w:r>
        <w:t xml:space="preserve">, </w:t>
      </w:r>
      <w:r>
        <w:rPr>
          <w:rFonts w:ascii="Consolas" w:hAnsi="Consolas"/>
          <w:color w:val="A31C3C"/>
          <w:sz w:val="19"/>
        </w:rPr>
        <w:t>load_silver_table</w:t>
      </w:r>
      <w:r>
        <w:t xml:space="preserve"> and </w:t>
      </w:r>
      <w:r>
        <w:rPr>
          <w:rFonts w:ascii="Consolas" w:hAnsi="Consolas"/>
          <w:color w:val="A31C3C"/>
          <w:sz w:val="19"/>
        </w:rPr>
        <w:t>current_version</w:t>
      </w:r>
      <w:r>
        <w:t xml:space="preserve"> are copied verbatim from the fact notebook. That duplication is a deliberate choice: each notebook must be independently runnable, with no %run dependency on a shared library. An earlier version of this project did use %run and it caused 'notebook not found' failures at runtime, so self-containment won.</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Configure the dimension processor and provide its primitives.</w:t>
            </w:r>
          </w:p>
        </w:tc>
      </w:tr>
      <w:tr>
        <w:tc>
          <w:tcPr>
            <w:tcW w:type="dxa" w:w="1656"/>
          </w:tcPr>
          <w:p>
            <w:r/>
            <w:r>
              <w:rPr>
                <w:b/>
                <w:sz w:val="17"/>
              </w:rPr>
              <w:t>Input</w:t>
            </w:r>
          </w:p>
        </w:tc>
        <w:tc>
          <w:tcPr>
            <w:tcW w:type="dxa" w:w="8064"/>
          </w:tcPr>
          <w:p>
            <w:r/>
            <w:r>
              <w:rPr>
                <w:sz w:val="18"/>
              </w:rPr>
              <w:t>None.</w:t>
            </w:r>
          </w:p>
        </w:tc>
      </w:tr>
      <w:tr>
        <w:tc>
          <w:tcPr>
            <w:tcW w:type="dxa" w:w="1656"/>
          </w:tcPr>
          <w:p>
            <w:r/>
            <w:r>
              <w:rPr>
                <w:b/>
                <w:sz w:val="17"/>
              </w:rPr>
              <w:t>Output</w:t>
            </w:r>
          </w:p>
        </w:tc>
        <w:tc>
          <w:tcPr>
            <w:tcW w:type="dxa" w:w="8064"/>
          </w:tcPr>
          <w:p>
            <w:r/>
            <w:r>
              <w:rPr>
                <w:sz w:val="18"/>
              </w:rPr>
              <w:t>Constants and four helper functions.</w:t>
            </w:r>
          </w:p>
        </w:tc>
      </w:tr>
      <w:tr>
        <w:tc>
          <w:tcPr>
            <w:tcW w:type="dxa" w:w="1656"/>
          </w:tcPr>
          <w:p>
            <w:r/>
            <w:r>
              <w:rPr>
                <w:b/>
                <w:sz w:val="17"/>
              </w:rPr>
              <w:t>Fits the pipeline</w:t>
            </w:r>
          </w:p>
        </w:tc>
        <w:tc>
          <w:tcPr>
            <w:tcW w:type="dxa" w:w="8064"/>
          </w:tcPr>
          <w:p>
            <w:r/>
            <w:r>
              <w:rPr>
                <w:sz w:val="18"/>
              </w:rPr>
              <w:t>Stages 1 and 2. Same as the fact notebook, minus the lock and the hash helper.</w:t>
            </w:r>
          </w:p>
        </w:tc>
      </w:tr>
    </w:tbl>
    <w:p>
      <w:pPr>
        <w:spacing w:after="80"/>
      </w:pPr>
    </w:p>
    <w:p>
      <w:pPr>
        <w:pStyle w:val="Heading3"/>
      </w:pPr>
      <w:r>
        <w:t>3.2  Cell In[3] — the transform (lines 69–93)</w:t>
      </w:r>
    </w:p>
    <w:p>
      <w:pPr>
        <w:spacing w:after="40"/>
      </w:pPr>
      <w:r>
        <w:rPr>
          <w:i/>
          <w:color w:val="606060"/>
          <w:sz w:val="17"/>
        </w:rPr>
        <w:t>lines 69–93</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DIM transform — dim_business_unit (F0006, natural PK = cost_center / MCMCU)</w:t>
        <w:br/>
        <w:t># =============================================================================</w:t>
        <w:br/>
        <w:t>def transform_dim_bu(restrict_bu=None):</w:t>
        <w:br/>
        <w:t xml:space="preserve">    f0006 = load_silver_table(F0006_TBL)</w:t>
        <w:br/>
        <w:t xml:space="preserve">    if restrict_bu is not None:</w:t>
        <w:br/>
        <w:t xml:space="preserve">        f0006 = f0006.join(restrict_bu.alias("r"),</w:t>
        <w:br/>
        <w:t xml:space="preserve">                           f0006["cost_center"] == F.col("r.cost_center"), "left_semi")</w:t>
        <w:br/>
        <w:t xml:space="preserve">    return (f0006.select(</w:t>
        <w:br/>
        <w:t xml:space="preserve">                F.trim(F.col("cost_center")).alias("business_unit"),                    # MCMCU</w:t>
        <w:br/>
        <w:t xml:space="preserve">                F.col("description_001").alias("plant_name"),                           # MCDL01</w:t>
        <w:br/>
        <w:t xml:space="preserve">                # Code + description, ready to display: "771010 - SBX TRANS DISTRICT-WEST TEXAS".</w:t>
        <w:br/>
        <w:t xml:space="preserve">                # Built HERE rather than in a consumer because Direct Lake tables cannot carry DAX</w:t>
        <w:br/>
        <w:t xml:space="preserve">                # calculated columns — the concatenation has to be a physical column. ESO5's fact points</w:t>
        <w:br/>
        <w:t xml:space="preserve">                # its `district` FK at this dim to render exactly this string. Falls back to the bare code</w:t>
        <w:br/>
        <w:t xml:space="preserve">                # when F0006 has no description, so it never renders a dangling " - ".</w:t>
        <w:br/>
        <w:t xml:space="preserve">                F.when(F.trim(F.coalesce(F.col("description_001"), F.lit(""))) == "",</w:t>
        <w:br/>
        <w:t xml:space="preserve">                       F.trim(F.col("cost_center")))</w:t>
        <w:br/>
        <w:t xml:space="preserve">                 .otherwise(F.concat_ws(" - ", F.trim(F.col("cost_center")),</w:t>
        <w:br/>
        <w:t xml:space="preserve">                                        F.trim(F.col("description_001"))))</w:t>
        <w:br/>
        <w:t xml:space="preserve">                 .alias("business_unit_display"),</w:t>
        <w:br/>
        <w:t xml:space="preserve">                F.trim(F.col("category_code_cost_ct_020")).alias("business_stream_code"),  # MCRP20</w:t>
        <w:br/>
        <w:t xml:space="preserve">                F.col("company").alias("company"),                                      # MCCO</w:t>
        <w:br/>
        <w:t xml:space="preserve">                F.col("state").alias("state"))                                          # MCADDS</w:t>
        <w:br/>
        <w:t xml:space="preserve">            .dropDuplicates(["business_unit"]))</w:t>
      </w:r>
    </w:p>
    <w:p>
      <w:r>
        <w:rPr>
          <w:b w:val="0"/>
          <w:i w:val="0"/>
          <w:sz w:val="21"/>
        </w:rPr>
        <w:t>The whole dimension in one function — and, like transform_fact, it takes an optional restriction so the same code serves the full seed and the incremental path.</w:t>
      </w:r>
    </w:p>
    <w:p>
      <w:r>
        <w:rPr>
          <w:b w:val="0"/>
          <w:i w:val="0"/>
          <w:sz w:val="21"/>
        </w:rPr>
        <w:t>The natural primary key is cost_center (MCMCU), trimmed and aliased to business_unit. No surrogate hash: for a dimension whose key is one short code, a hash would add nothing but obscurity.</w:t>
      </w:r>
    </w:p>
    <w:p>
      <w:pPr>
        <w:pStyle w:val="Heading4"/>
      </w:pPr>
      <w:r>
        <w:t>The business_unit_display column (lines 85–89)</w:t>
      </w:r>
    </w:p>
    <w:p>
      <w:r>
        <w:rPr>
          <w:b w:val="0"/>
          <w:i w:val="0"/>
          <w:sz w:val="21"/>
        </w:rPr>
        <w:t>This column deserves attention because it is the one place this notebook does something non-obvious, and because it exists for a reason outside ESO4 entirely.</w:t>
      </w:r>
    </w:p>
    <w:p>
      <w:r>
        <w:rPr>
          <w:b w:val="0"/>
          <w:i w:val="0"/>
          <w:sz w:val="21"/>
        </w:rPr>
        <w:t>It renders '771010 - SBX TRANS DISTRICT-WEST TEXAS' — code, dash, description, ready to display. The obvious question is why concatenate here rather than in Power BI. The answer is a hard platform constraint: Direct Lake tables cannot carry DAX calculated columns. If the concatenation is not a physical column in the Delta table, it cannot exist in the model at all.</w:t>
      </w:r>
    </w:p>
    <w:p>
      <w:r>
        <w:t xml:space="preserve">The </w:t>
      </w:r>
      <w:r>
        <w:rPr>
          <w:rFonts w:ascii="Consolas" w:hAnsi="Consolas"/>
          <w:color w:val="A31C3C"/>
          <w:sz w:val="19"/>
        </w:rPr>
        <w:t>F.when(... == "", trim(cost_center)).otherwise(concat_ws(...))</w:t>
      </w:r>
      <w:r>
        <w:t xml:space="preserve"> guard handles the empty-description case. Without it, a business unit with no description would render as '771010 - ' with a dangling separator. The fallback shows the bare code instead.</w:t>
      </w:r>
    </w:p>
    <w:p>
      <w:pPr>
        <w:spacing w:before="120" w:after="160"/>
        <w:ind w:left="144"/>
        <w:shd w:val="clear" w:fill="FDECEA"/>
        <w:pBdr>
          <w:top w:val="single" w:sz="4" w:space="4" w:color="E8C48A"/>
          <w:left w:val="single" w:sz="4" w:space="4" w:color="E8C48A"/>
          <w:bottom w:val="single" w:sz="4" w:space="4" w:color="E8C48A"/>
          <w:right w:val="single" w:sz="4" w:space="4" w:color="E8C48A"/>
        </w:pBdr>
      </w:pPr>
      <w:r>
        <w:rPr>
          <w:b/>
          <w:sz w:val="20"/>
        </w:rPr>
        <w:t xml:space="preserve">This column is shared with ESO5.  </w:t>
      </w:r>
      <w:r>
        <w:rPr>
          <w:sz w:val="20"/>
        </w:rPr>
        <w:t>ESO5 (Sandbox Load Report) reuses this dimension to render its district attribute, and business_unit_display was added specifically for that consumer. The change is additive, so ESO4's own model is unaffected — but the notebook must be re-run once with OVERWRITE=True for the column to materialise, and until it is, ESO5's district display will not work. Treat this dimension as shared: check with ESO5 before changing it.</w:t>
      </w:r>
    </w:p>
    <w:p>
      <w:r>
        <w:t xml:space="preserve">Line 93's </w:t>
      </w:r>
      <w:r>
        <w:rPr>
          <w:rFonts w:ascii="Consolas" w:hAnsi="Consolas"/>
          <w:color w:val="A31C3C"/>
          <w:sz w:val="19"/>
        </w:rPr>
        <w:t>dropDuplicates(["business_unit"])</w:t>
      </w:r>
      <w:r>
        <w:t xml:space="preserve"> enforces the dimension's promise: exactly one row per business unit. A dimension with a duplicated key would fan out every fact it joins to — the same hazard described in Part 2.6, seen from the other side.</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Shape F0006 into a clean, one-row-per-plant dimension.</w:t>
            </w:r>
          </w:p>
        </w:tc>
      </w:tr>
      <w:tr>
        <w:tc>
          <w:tcPr>
            <w:tcW w:type="dxa" w:w="1656"/>
          </w:tcPr>
          <w:p>
            <w:r/>
            <w:r>
              <w:rPr>
                <w:b/>
                <w:sz w:val="17"/>
              </w:rPr>
              <w:t>Input</w:t>
            </w:r>
          </w:p>
        </w:tc>
        <w:tc>
          <w:tcPr>
            <w:tcW w:type="dxa" w:w="8064"/>
          </w:tcPr>
          <w:p>
            <w:r/>
            <w:r>
              <w:rPr>
                <w:sz w:val="18"/>
              </w:rPr>
              <w:t xml:space="preserve">Silver F0006; optionally </w:t>
            </w:r>
            <w:r>
              <w:rPr>
                <w:rFonts w:ascii="Consolas" w:hAnsi="Consolas"/>
                <w:sz w:val="17"/>
              </w:rPr>
              <w:t>restrict_bu</w:t>
            </w:r>
            <w:r>
              <w:rPr>
                <w:sz w:val="18"/>
              </w:rPr>
              <w:t>.</w:t>
            </w:r>
          </w:p>
        </w:tc>
      </w:tr>
      <w:tr>
        <w:tc>
          <w:tcPr>
            <w:tcW w:type="dxa" w:w="1656"/>
          </w:tcPr>
          <w:p>
            <w:r/>
            <w:r>
              <w:rPr>
                <w:b/>
                <w:sz w:val="17"/>
              </w:rPr>
              <w:t>Output</w:t>
            </w:r>
          </w:p>
        </w:tc>
        <w:tc>
          <w:tcPr>
            <w:tcW w:type="dxa" w:w="8064"/>
          </w:tcPr>
          <w:p>
            <w:r/>
            <w:r>
              <w:rPr>
                <w:sz w:val="18"/>
              </w:rPr>
              <w:t xml:space="preserve">A DataFrame keyed uniquely on </w:t>
            </w:r>
            <w:r>
              <w:rPr>
                <w:rFonts w:ascii="Consolas" w:hAnsi="Consolas"/>
                <w:sz w:val="17"/>
              </w:rPr>
              <w:t>business_unit</w:t>
            </w:r>
            <w:r>
              <w:rPr>
                <w:sz w:val="18"/>
              </w:rPr>
              <w:t>, with six columns.</w:t>
            </w:r>
          </w:p>
        </w:tc>
      </w:tr>
      <w:tr>
        <w:tc>
          <w:tcPr>
            <w:tcW w:type="dxa" w:w="1656"/>
          </w:tcPr>
          <w:p>
            <w:r/>
            <w:r>
              <w:rPr>
                <w:b/>
                <w:sz w:val="17"/>
              </w:rPr>
              <w:t>Business logic</w:t>
            </w:r>
          </w:p>
        </w:tc>
        <w:tc>
          <w:tcPr>
            <w:tcW w:type="dxa" w:w="8064"/>
          </w:tcPr>
          <w:p>
            <w:r/>
            <w:r>
              <w:rPr>
                <w:sz w:val="18"/>
              </w:rPr>
            </w:r>
            <w:r>
              <w:rPr>
                <w:rFonts w:ascii="Consolas" w:hAnsi="Consolas"/>
                <w:sz w:val="17"/>
              </w:rPr>
              <w:t>business_unit_display</w:t>
            </w:r>
            <w:r>
              <w:rPr>
                <w:sz w:val="18"/>
              </w:rPr>
              <w:t xml:space="preserve"> = 'code - description', built physically because Direct Lake forbids DAX calculated columns; falls back to the bare code when there is no description.</w:t>
            </w:r>
          </w:p>
        </w:tc>
      </w:tr>
      <w:tr>
        <w:tc>
          <w:tcPr>
            <w:tcW w:type="dxa" w:w="1656"/>
          </w:tcPr>
          <w:p>
            <w:r/>
            <w:r>
              <w:rPr>
                <w:b/>
                <w:sz w:val="17"/>
              </w:rPr>
              <w:t>Fits the pipeline</w:t>
            </w:r>
          </w:p>
        </w:tc>
        <w:tc>
          <w:tcPr>
            <w:tcW w:type="dxa" w:w="8064"/>
          </w:tcPr>
          <w:p>
            <w:r/>
            <w:r>
              <w:rPr>
                <w:sz w:val="18"/>
              </w:rPr>
              <w:t>Stage 3. Serves both the seed in Cell In[5] and every incremental upsert in Cell In[4].</w:t>
            </w:r>
          </w:p>
        </w:tc>
      </w:tr>
    </w:tbl>
    <w:p>
      <w:pPr>
        <w:spacing w:after="80"/>
      </w:pPr>
    </w:p>
    <w:p>
      <w:pPr>
        <w:pStyle w:val="Heading3"/>
      </w:pPr>
      <w:r>
        <w:t>3.3  Cell In[4] — the CDC write helpers (lines 98–124)</w:t>
      </w:r>
    </w:p>
    <w:p>
      <w:pPr>
        <w:spacing w:after="40"/>
      </w:pPr>
      <w:r>
        <w:rPr>
          <w:i/>
          <w:color w:val="606060"/>
          <w:sz w:val="17"/>
        </w:rPr>
        <w:t>lines 98–124</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CDC WRITE HELPERS — NO audit columns (CDF concept from nb_silver_to_gold_eso7_v2)</w:t>
        <w:br/>
        <w:t>#   • dim : MERGE upsert (whenMatchedUpdateAll / whenNotMatchedInsertAll) + MERGE delete.</w:t>
        <w:br/>
        <w:t># =============================================================================</w:t>
        <w:br/>
        <w:t>def _write_new_table(df, target, cdf=True):</w:t>
        <w:br/>
        <w:t xml:space="preserve">    spark.sql(f"CREATE SCHEMA IF NOT EXISTS {GOLD_SCHEMA}")</w:t>
        <w:br/>
        <w:t xml:space="preserve">    w = df.write.format("delta").mode("overwrite").option("overwriteSchema", "true")</w:t>
        <w:br/>
        <w:t xml:space="preserve">    if cdf:</w:t>
        <w:br/>
        <w:t xml:space="preserve">        w = w.option("delta.enableChangeDataFeed", "true")</w:t>
        <w:br/>
        <w:t xml:space="preserve">    w.saveAsTable(target)</w:t>
        <w:br/>
        <w:br/>
        <w:t>def upsert_dim_bu(bu_change, bu_delete):</w:t>
        <w:br/>
        <w:t xml:space="preserve">    """CDC for dim_business_unit: MERGE upsert changed BUs + MERGE delete removed BUs.</w:t>
        <w:br/>
        <w:t xml:space="preserve">    `bu_*` carry `cost_center`. Returns upserted rows."""</w:t>
        <w:br/>
        <w:t xml:space="preserve">    n = 0</w:t>
        <w:br/>
        <w:t xml:space="preserve">    if not bu_change.rdd.isEmpty():</w:t>
        <w:br/>
        <w:t xml:space="preserve">        src = transform_dim_bu(restrict_bu=bu_change)</w:t>
        <w:br/>
        <w:t xml:space="preserve">        (DeltaTable.forName(spark, T_DIM_BU).alias("t")</w:t>
        <w:br/>
        <w:t xml:space="preserve">            .merge(src.alias("s"), "t.business_unit = s.business_unit")</w:t>
        <w:br/>
        <w:t xml:space="preserve">            .whenMatchedUpdateAll().whenNotMatchedInsertAll().execute())</w:t>
        <w:br/>
        <w:t xml:space="preserve">        n = src.count()</w:t>
        <w:br/>
        <w:t xml:space="preserve">    if not bu_delete.rdd.isEmpty():</w:t>
        <w:br/>
        <w:t xml:space="preserve">        d = bu_delete.select(F.trim(F.col("cost_center")).alias("business_unit")).distinct()</w:t>
        <w:br/>
        <w:t xml:space="preserve">        (DeltaTable.forName(spark, T_DIM_BU).alias("t")</w:t>
        <w:br/>
        <w:t xml:space="preserve">            .merge(d.alias("s"), "t.business_unit = s.business_unit")</w:t>
        <w:br/>
        <w:t xml:space="preserve">            .whenMatchedDelete().execute())</w:t>
        <w:br/>
        <w:t xml:space="preserve">    return n</w:t>
      </w:r>
    </w:p>
    <w:p>
      <w:r>
        <w:rPr>
          <w:b w:val="0"/>
          <w:i w:val="0"/>
          <w:sz w:val="21"/>
        </w:rPr>
        <w:t>Here is where a dimension genuinely differs from a fact, and the contrast is instructive.</w:t>
      </w:r>
    </w:p>
    <w:p>
      <w:r>
        <w:rPr>
          <w:b w:val="0"/>
          <w:i w:val="0"/>
          <w:sz w:val="21"/>
        </w:rPr>
        <w:t>The fact deletes a whole scope and appends. This dimension does a MERGE upsert: whenMatchedUpdateAll for business units it already has, whenNotMatchedInsertAll for new ones. Then, separately, a MERGE delete for business units that vanished from the source.</w:t>
      </w:r>
    </w:p>
    <w:p>
      <w:r>
        <w:rPr>
          <w:b w:val="0"/>
          <w:i w:val="0"/>
          <w:sz w:val="21"/>
        </w:rPr>
        <w:t>Why the difference? Because the grain permits it. One source row equals one dimension row, so a change maps cleanly onto a single target row and a surgical update is both possible and cheap. The fact has no such luxury — one Gold row there is an aggregate over a five-table join, which is exactly why it recomputes by scope instead.</w:t>
      </w:r>
    </w:p>
    <w:p>
      <w:r>
        <w:rPr>
          <w:b w:val="0"/>
          <w:i w:val="0"/>
          <w:sz w:val="21"/>
        </w:rPr>
        <w:t>Note that upsert_dim_bu re-runs the transform (line 114) rather than trusting the change rows' contents. The CDF row tells us WHICH business unit changed; the current Silver state tells us WHAT it now is. Always re-derive from the source of truth.</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Land dimension changes with a surgical MERGE.</w:t>
            </w:r>
          </w:p>
        </w:tc>
      </w:tr>
      <w:tr>
        <w:tc>
          <w:tcPr>
            <w:tcW w:type="dxa" w:w="1656"/>
          </w:tcPr>
          <w:p>
            <w:r/>
            <w:r>
              <w:rPr>
                <w:b/>
                <w:sz w:val="17"/>
              </w:rPr>
              <w:t>Input</w:t>
            </w:r>
          </w:p>
        </w:tc>
        <w:tc>
          <w:tcPr>
            <w:tcW w:type="dxa" w:w="8064"/>
          </w:tcPr>
          <w:p>
            <w:r/>
            <w:r>
              <w:rPr>
                <w:sz w:val="18"/>
              </w:rPr>
            </w:r>
            <w:r>
              <w:rPr>
                <w:rFonts w:ascii="Consolas" w:hAnsi="Consolas"/>
                <w:sz w:val="17"/>
              </w:rPr>
              <w:t>bu_change</w:t>
            </w:r>
            <w:r>
              <w:rPr>
                <w:sz w:val="18"/>
              </w:rPr>
              <w:t xml:space="preserve"> and </w:t>
            </w:r>
            <w:r>
              <w:rPr>
                <w:rFonts w:ascii="Consolas" w:hAnsi="Consolas"/>
                <w:sz w:val="17"/>
              </w:rPr>
              <w:t>bu_delete</w:t>
            </w:r>
            <w:r>
              <w:rPr>
                <w:sz w:val="18"/>
              </w:rPr>
              <w:t xml:space="preserve"> — DataFrames of affected </w:t>
            </w:r>
            <w:r>
              <w:rPr>
                <w:rFonts w:ascii="Consolas" w:hAnsi="Consolas"/>
                <w:sz w:val="17"/>
              </w:rPr>
              <w:t>cost_center</w:t>
            </w:r>
            <w:r>
              <w:rPr>
                <w:sz w:val="18"/>
              </w:rPr>
              <w:t xml:space="preserve"> values.</w:t>
            </w:r>
          </w:p>
        </w:tc>
      </w:tr>
      <w:tr>
        <w:tc>
          <w:tcPr>
            <w:tcW w:type="dxa" w:w="1656"/>
          </w:tcPr>
          <w:p>
            <w:r/>
            <w:r>
              <w:rPr>
                <w:b/>
                <w:sz w:val="17"/>
              </w:rPr>
              <w:t>Output</w:t>
            </w:r>
          </w:p>
        </w:tc>
        <w:tc>
          <w:tcPr>
            <w:tcW w:type="dxa" w:w="8064"/>
          </w:tcPr>
          <w:p>
            <w:r/>
            <w:r>
              <w:rPr>
                <w:sz w:val="18"/>
              </w:rPr>
              <w:t xml:space="preserve">Upserted and deleted rows in </w:t>
            </w:r>
            <w:r>
              <w:rPr>
                <w:rFonts w:ascii="Consolas" w:hAnsi="Consolas"/>
                <w:sz w:val="17"/>
              </w:rPr>
              <w:t>rpt.dim_business_unit</w:t>
            </w:r>
            <w:r>
              <w:rPr>
                <w:sz w:val="18"/>
              </w:rPr>
              <w:t>; returns the upsert count.</w:t>
            </w:r>
          </w:p>
        </w:tc>
      </w:tr>
      <w:tr>
        <w:tc>
          <w:tcPr>
            <w:tcW w:type="dxa" w:w="1656"/>
          </w:tcPr>
          <w:p>
            <w:r/>
            <w:r>
              <w:rPr>
                <w:b/>
                <w:sz w:val="17"/>
              </w:rPr>
              <w:t>Business logic</w:t>
            </w:r>
          </w:p>
        </w:tc>
        <w:tc>
          <w:tcPr>
            <w:tcW w:type="dxa" w:w="8064"/>
          </w:tcPr>
          <w:p>
            <w:r/>
            <w:r>
              <w:rPr>
                <w:sz w:val="18"/>
              </w:rPr>
              <w:t>One source row maps to one dimension row, so MERGE is exact. Deletes are honoured — a removed business unit leaves the dimension.</w:t>
            </w:r>
          </w:p>
        </w:tc>
      </w:tr>
      <w:tr>
        <w:tc>
          <w:tcPr>
            <w:tcW w:type="dxa" w:w="1656"/>
          </w:tcPr>
          <w:p>
            <w:r/>
            <w:r>
              <w:rPr>
                <w:b/>
                <w:sz w:val="17"/>
              </w:rPr>
              <w:t>Fits the pipeline</w:t>
            </w:r>
          </w:p>
        </w:tc>
        <w:tc>
          <w:tcPr>
            <w:tcW w:type="dxa" w:w="8064"/>
          </w:tcPr>
          <w:p>
            <w:r/>
            <w:r>
              <w:rPr>
                <w:sz w:val="18"/>
              </w:rPr>
              <w:t xml:space="preserve">Stage 3's write half. Contrast with the fact's </w:t>
            </w:r>
            <w:r>
              <w:rPr>
                <w:rFonts w:ascii="Consolas" w:hAnsi="Consolas"/>
                <w:sz w:val="17"/>
              </w:rPr>
              <w:t>recompute_fact</w:t>
            </w:r>
            <w:r>
              <w:rPr>
                <w:sz w:val="18"/>
              </w:rPr>
              <w:t>: different grain, different technique, same goal.</w:t>
            </w:r>
          </w:p>
        </w:tc>
      </w:tr>
    </w:tbl>
    <w:p>
      <w:pPr>
        <w:spacing w:after="80"/>
      </w:pPr>
    </w:p>
    <w:p>
      <w:pPr>
        <w:pStyle w:val="Heading3"/>
      </w:pPr>
      <w:r>
        <w:t>3.4  Cells In[5] to In[7] — gate, handler, start (lines 131–226)</w:t>
      </w:r>
    </w:p>
    <w:p>
      <w:pPr>
        <w:spacing w:after="40"/>
      </w:pPr>
      <w:r>
        <w:rPr>
          <w:i/>
          <w:color w:val="606060"/>
          <w:sz w:val="17"/>
        </w:rPr>
        <w:t>lines 131–174 — the full-load gate</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FULL LOAD vs RESUME  (streaming approach from nb_silver_to_gold_eso7_v2 / ESO1)</w:t>
        <w:br/>
        <w:t># =============================================================================</w:t>
        <w:br/>
        <w:t>_CKPT_PATHS = [f"{CKPT}/dim__{F0006_TBL}"]</w:t>
        <w:br/>
        <w:br/>
        <w:t>def _checkpoints_exist():</w:t>
        <w:br/>
        <w:t xml:space="preserve">    """True iff EVERY per-stream checkpoint has a COMMITTED offset (offsets/ non-empty), so an</w:t>
        <w:br/>
        <w:t xml:space="preserve">    incomplete checkpoint forces a FULL LOAD rather than cold-starting the CDF reader at</w:t>
        <w:br/>
        <w:t xml:space="preserve">    startingVersion=0 (v0 predates CDF enablement -&gt; DELTA_MISSING_CHANGE_DATA)."""</w:t>
        <w:br/>
        <w:t xml:space="preserve">    for p in _CKPT_PATHS:</w:t>
        <w:br/>
        <w:t xml:space="preserve">        try:</w:t>
        <w:br/>
        <w:t xml:space="preserve">            if not mssparkutils.fs.ls(f"{p}/offsets"):</w:t>
        <w:br/>
        <w:t xml:space="preserve">                return False</w:t>
        <w:br/>
        <w:t xml:space="preserve">        except Exception:</w:t>
        <w:br/>
        <w:t xml:space="preserve">            return False</w:t>
        <w:br/>
        <w:t xml:space="preserve">    return True</w:t>
        <w:br/>
        <w:br/>
        <w:t>_STREAM_NAMES = {"dim__" + F0006_TBL}</w:t>
        <w:br/>
        <w:t>_stopped = []</w:t>
        <w:br/>
        <w:t>for _q in list(spark.streams.active):</w:t>
        <w:br/>
        <w:t xml:space="preserve">    if _q.name in _STREAM_NAMES:</w:t>
        <w:br/>
        <w:t xml:space="preserve">        _q.stop()</w:t>
        <w:br/>
        <w:t xml:space="preserve">        _stopped.append(_q.name)</w:t>
        <w:br/>
        <w:t>if _stopped:</w:t>
        <w:br/>
        <w:t xml:space="preserve">    print(f"Stopped leftover streams: {_stopped}")</w:t>
        <w:br/>
        <w:br/>
        <w:t>_FULL_LOAD = OVERWRITE or not spark.catalog.tableExists(T_DIM_BU) or not _checkpoints_exist()</w:t>
        <w:br/>
        <w:br/>
        <w:t>if _FULL_LOAD:</w:t>
        <w:br/>
        <w:t xml:space="preserve">    print("== FULL LOAD ==")</w:t>
        <w:br/>
        <w:t xml:space="preserve">    spark.sql(f"DROP TABLE IF EXISTS {T_DIM_BU}")</w:t>
        <w:br/>
        <w:t xml:space="preserve">    _write_new_table(transform_dim_bu(), T_DIM_BU)</w:t>
        <w:br/>
        <w:t xml:space="preserve">    print(f"  ✓ seeded {T_DIM_BU}")</w:t>
        <w:br/>
        <w:t xml:space="preserve">    _init_ver = {F0006_TBL: current_version(F0006_TBL)}</w:t>
        <w:br/>
        <w:t xml:space="preserve">    print(f"  init versions: {_init_ver}")</w:t>
        <w:br/>
        <w:t xml:space="preserve">    try:</w:t>
        <w:br/>
        <w:t xml:space="preserve">        mssparkutils.fs.rm(CKPT, True)</w:t>
        <w:br/>
        <w:t xml:space="preserve">        print("  checkpoints cleared")</w:t>
        <w:br/>
        <w:t xml:space="preserve">    except Exception as e:</w:t>
        <w:br/>
        <w:t xml:space="preserve">        print(f"  checkpoint clear skipped: {e}")</w:t>
        <w:br/>
        <w:t xml:space="preserve">    print("✓ full load complete")</w:t>
        <w:br/>
        <w:t>else:</w:t>
        <w:br/>
        <w:t xml:space="preserve">    print("== RESUME from checkpoint ==")</w:t>
        <w:br/>
        <w:t xml:space="preserve">    _init_ver = {}</w:t>
      </w:r>
    </w:p>
    <w:p>
      <w:r>
        <w:rPr>
          <w:b w:val="0"/>
          <w:i w:val="0"/>
          <w:sz w:val="21"/>
        </w:rPr>
        <w:t>Identical in structure to the fact's gate, with one source instead of two. Same leftover-stream stop, same three-way full-load condition, same insistence on a committed offsets/ folder, same seed-then-snapshot-init_ver ordering. Everything explained in Part 2.11 applies unchanged.</w:t>
      </w:r>
    </w:p>
    <w:p>
      <w:pPr>
        <w:spacing w:after="40"/>
      </w:pPr>
      <w:r>
        <w:rPr>
          <w:i/>
          <w:color w:val="606060"/>
          <w:sz w:val="17"/>
        </w:rPr>
        <w:t>lines 180–197 — the handler</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STREAM BATCH HANDLER  (structure from nb_silver_to_gold_eso7_v2 / ESO1)</w:t>
        <w:br/>
        <w:t># =============================================================================</w:t>
        <w:br/>
        <w:t>def make_dim_bu_handler(init_ver):</w:t>
        <w:br/>
        <w:t xml:space="preserve">    def handler(batch_df, batch_id):</w:t>
        <w:br/>
        <w:t xml:space="preserve">        if batch_df.rdd.isEmpty():</w:t>
        <w:br/>
        <w:t xml:space="preserve">            return</w:t>
        <w:br/>
        <w:t xml:space="preserve">        if init_ver &gt;= 0:</w:t>
        <w:br/>
        <w:t xml:space="preserve">            batch_df = batch_df.filter(F.col("_commit_version") &gt; init_ver)</w:t>
        <w:br/>
        <w:t xml:space="preserve">        if batch_df.rdd.isEmpty():</w:t>
        <w:br/>
        <w:t xml:space="preserve">            return</w:t>
        <w:br/>
        <w:t xml:space="preserve">        up   = (batch_df.filter(F.col("_change_type").isin("insert", "update_postimage"))</w:t>
        <w:br/>
        <w:t xml:space="preserve">                .select("cost_center").where(F.col("cost_center").isNotNull()).distinct())</w:t>
        <w:br/>
        <w:t xml:space="preserve">        dele = (batch_df.filter(F.col("_change_type") == "delete")</w:t>
        <w:br/>
        <w:t xml:space="preserve">                .select("cost_center").where(F.col("cost_center").isNotNull()).distinct())</w:t>
        <w:br/>
        <w:t xml:space="preserve">        n = upsert_dim_bu(up, dele)</w:t>
        <w:br/>
        <w:t xml:space="preserve">        print(f"[{F0006_TBL[:12]}] dim_business_unit batch={batch_id} upserts={n}")</w:t>
        <w:br/>
        <w:t xml:space="preserve">    return handler</w:t>
      </w:r>
    </w:p>
    <w:p>
      <w:r>
        <w:rPr>
          <w:b w:val="0"/>
          <w:i w:val="0"/>
          <w:sz w:val="21"/>
        </w:rPr>
        <w:t>Simpler than the fact's handlers, and the shape is clearer for it. Same empty check, same seed skip, then it splits the batch two ways rather than one: inserts and update post-images become upserts; deletes become deletes. The fact could not do this — it collapses all three change types onto one recompute — but a dimension can honour the distinction directly.</w:t>
      </w:r>
    </w:p>
    <w:p>
      <w:r>
        <w:t xml:space="preserve">The </w:t>
      </w:r>
      <w:r>
        <w:rPr>
          <w:rFonts w:ascii="Consolas" w:hAnsi="Consolas"/>
          <w:color w:val="A31C3C"/>
          <w:sz w:val="19"/>
        </w:rPr>
        <w:t>.where(cost_center.isNotNull())</w:t>
      </w:r>
      <w:r>
        <w:t xml:space="preserve"> guard on both sides keeps null keys out of a MERGE condition, where they would match nothing and simply waste work.</w:t>
      </w:r>
    </w:p>
    <w:p>
      <w:pPr>
        <w:spacing w:after="40"/>
      </w:pPr>
      <w:r>
        <w:rPr>
          <w:i/>
          <w:color w:val="606060"/>
          <w:sz w:val="17"/>
        </w:rPr>
        <w:t>lines 202–226 — starting the stream</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START STREAM — Silver Change Data Feed -&gt; foreachBatch -&gt; CDC write, every 30 s.</w:t>
        <w:br/>
        <w:t># REQUIRES delta.enableChangeDataFeed = true on the source (F0006).</w:t>
        <w:br/>
        <w:t># =============================================================================</w:t>
        <w:br/>
        <w:t>def _start_ver(iv, tbl):</w:t>
        <w:br/>
        <w:t xml:space="preserve">    """Full load: init_ver (exists, carries CDF; handler skips &lt;= it). Resume (iv &lt; 0): fall</w:t>
        <w:br/>
        <w:t xml:space="preserve">    back to the source's CURRENT version, never 0 (v0 predates CDF)."""</w:t>
        <w:br/>
        <w:t xml:space="preserve">    return iv if iv &gt;= 0 else current_version(tbl)</w:t>
        <w:br/>
        <w:br/>
        <w:t>iv_bu = _init_ver.get(F0006_TBL, -1)</w:t>
        <w:br/>
        <w:t>_sv_bu = _start_ver(iv_bu, F0006_TBL)</w:t>
        <w:br/>
        <w:t>(spark.readStream.format("delta")</w:t>
        <w:br/>
        <w:t xml:space="preserve">     .option("readChangeFeed",  "true")</w:t>
        <w:br/>
        <w:t xml:space="preserve">     .option("startingVersion", _sv_bu)</w:t>
        <w:br/>
        <w:t xml:space="preserve">     .table(sname(F0006_TBL))</w:t>
        <w:br/>
        <w:t xml:space="preserve"> .writeStream</w:t>
        <w:br/>
        <w:t xml:space="preserve">     .foreachBatch(make_dim_bu_handler(iv_bu))</w:t>
        <w:br/>
        <w:t xml:space="preserve">     .option("checkpointLocation", f"{CKPT}/dim__{F0006_TBL}")</w:t>
        <w:br/>
        <w:t xml:space="preserve">     .trigger(**TRIGGER)</w:t>
        <w:br/>
        <w:t xml:space="preserve">     .queryName("dim__" + F0006_TBL)</w:t>
        <w:br/>
        <w:t xml:space="preserve">     .start())</w:t>
        <w:br/>
        <w:t>print(f"  dim__{F0006_TBL}  startingVersion={_sv_bu}  init_ver={iv_bu}")</w:t>
        <w:br/>
        <w:br/>
        <w:t>print(f"== started 1 stream — continuous, trigger {TRIGGER}. Target {T_DIM_BU}. ==")</w:t>
        <w:br/>
        <w:t>spark.streams.awaitAnyTermination()</w:t>
      </w:r>
    </w:p>
    <w:p>
      <w:r>
        <w:rPr>
          <w:b w:val="0"/>
          <w:i w:val="0"/>
          <w:sz w:val="21"/>
        </w:rPr>
        <w:t>One stream, otherwise line-for-line the fact's Cell In[7]: the same _start_ver fallback protecting against version 0, the same five settings, the same awaitAnyTermination at the end.</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Seed, then keep the dimension current off F0006's change feed.</w:t>
            </w:r>
          </w:p>
        </w:tc>
      </w:tr>
      <w:tr>
        <w:tc>
          <w:tcPr>
            <w:tcW w:type="dxa" w:w="1656"/>
          </w:tcPr>
          <w:p>
            <w:r/>
            <w:r>
              <w:rPr>
                <w:b/>
                <w:sz w:val="17"/>
              </w:rPr>
              <w:t>Input</w:t>
            </w:r>
          </w:p>
        </w:tc>
        <w:tc>
          <w:tcPr>
            <w:tcW w:type="dxa" w:w="8064"/>
          </w:tcPr>
          <w:p>
            <w:r/>
            <w:r>
              <w:rPr>
                <w:sz w:val="18"/>
              </w:rPr>
            </w:r>
            <w:r>
              <w:rPr>
                <w:rFonts w:ascii="Consolas" w:hAnsi="Consolas"/>
                <w:sz w:val="17"/>
              </w:rPr>
              <w:t>OVERWRITE</w:t>
            </w:r>
            <w:r>
              <w:rPr>
                <w:sz w:val="18"/>
              </w:rPr>
              <w:t>, checkpoint state, F0006 CDF.</w:t>
            </w:r>
          </w:p>
        </w:tc>
      </w:tr>
      <w:tr>
        <w:tc>
          <w:tcPr>
            <w:tcW w:type="dxa" w:w="1656"/>
          </w:tcPr>
          <w:p>
            <w:r/>
            <w:r>
              <w:rPr>
                <w:b/>
                <w:sz w:val="17"/>
              </w:rPr>
              <w:t>Output</w:t>
            </w:r>
          </w:p>
        </w:tc>
        <w:tc>
          <w:tcPr>
            <w:tcW w:type="dxa" w:w="8064"/>
          </w:tcPr>
          <w:p>
            <w:r/>
            <w:r>
              <w:rPr>
                <w:sz w:val="18"/>
              </w:rPr>
              <w:t xml:space="preserve">A live </w:t>
            </w:r>
            <w:r>
              <w:rPr>
                <w:rFonts w:ascii="Consolas" w:hAnsi="Consolas"/>
                <w:sz w:val="17"/>
              </w:rPr>
              <w:t>rpt.dim_business_unit</w:t>
            </w:r>
            <w:r>
              <w:rPr>
                <w:sz w:val="18"/>
              </w:rPr>
              <w:t>, refreshed every 30 seconds.</w:t>
            </w:r>
          </w:p>
        </w:tc>
      </w:tr>
      <w:tr>
        <w:tc>
          <w:tcPr>
            <w:tcW w:type="dxa" w:w="1656"/>
          </w:tcPr>
          <w:p>
            <w:r/>
            <w:r>
              <w:rPr>
                <w:b/>
                <w:sz w:val="17"/>
              </w:rPr>
              <w:t>Fits the pipeline</w:t>
            </w:r>
          </w:p>
        </w:tc>
        <w:tc>
          <w:tcPr>
            <w:tcW w:type="dxa" w:w="8064"/>
          </w:tcPr>
          <w:p>
            <w:r/>
            <w:r>
              <w:rPr>
                <w:sz w:val="18"/>
              </w:rPr>
              <w:t>Stages 4 and 5. Runs entirely independently of the fact notebook — its own checkpoint root, its own lifecycle.</w:t>
            </w:r>
          </w:p>
        </w:tc>
      </w:tr>
    </w:tbl>
    <w:p>
      <w:pPr>
        <w:spacing w:after="80"/>
      </w:pPr>
    </w:p>
    <w:p>
      <w:r>
        <w:br w:type="page"/>
      </w:r>
    </w:p>
    <w:p>
      <w:pPr>
        <w:pStyle w:val="Heading1"/>
      </w:pPr>
      <w:r>
        <w:t>Part 4 — The dim_udc notebook</w:t>
      </w:r>
    </w:p>
    <w:p>
      <w:pPr>
        <w:pStyle w:val="Heading2"/>
      </w:pPr>
      <w:r>
        <w:t>nb_eso4_gold_dim_udc.py</w:t>
      </w:r>
    </w:p>
    <w:p>
      <w:r>
        <w:rPr>
          <w:b w:val="0"/>
          <w:i w:val="0"/>
          <w:sz w:val="21"/>
        </w:rPr>
        <w:t>251 lines. The structure is by now familiar, but this notebook has one genuinely new idea: a single source stream feeding two different target tables.</w:t>
      </w:r>
    </w:p>
    <w:p>
      <w:pPr>
        <w:pStyle w:val="Heading3"/>
      </w:pPr>
      <w:r>
        <w:t>4.1  What a UDC is, and why one stream builds two dimensions</w:t>
      </w:r>
    </w:p>
    <w:p>
      <w:r>
        <w:rPr>
          <w:b w:val="0"/>
          <w:i w:val="0"/>
          <w:sz w:val="21"/>
        </w:rPr>
        <w:t>F0005 is JDE's universal lookup table. Rather than a separate reference table per code list, JDE puts every code list in F0005 and distinguishes them by two columns: a system (product_code) and a type (user_defined_codes). So 01/SC is the SIC code list, 00/S is the state list, 40/AT is a status list used by another report, and so on — hundreds of code lists, one table.</w:t>
      </w:r>
    </w:p>
    <w:p>
      <w:r>
        <w:rPr>
          <w:b w:val="0"/>
          <w:i w:val="0"/>
          <w:sz w:val="21"/>
        </w:rPr>
        <w:t>That means one change feed carries changes for every code list in the business. This notebook watches it once and routes each change to the right dimension, which is far cheaper than two streams over the same table.</w:t>
      </w:r>
    </w:p>
    <w:p>
      <w:pPr>
        <w:pStyle w:val="Heading3"/>
      </w:pPr>
      <w:r>
        <w:t>4.2  Cell In[1] — config (lines 28–52)</w:t>
      </w:r>
    </w:p>
    <w:p>
      <w:pPr>
        <w:spacing w:after="40"/>
      </w:pPr>
      <w:r>
        <w:rPr>
          <w:i/>
          <w:color w:val="606060"/>
          <w:sz w:val="17"/>
        </w:rPr>
        <w:t>lines 28–52</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CONFIG + CONSTANTS  (names per Fabric_Naming_Convention_Guidelines.pdf)</w:t>
        <w:br/>
        <w:t># =============================================================================</w:t>
        <w:br/>
        <w:t>from pyspark.sql import functions as F</w:t>
        <w:br/>
        <w:t>from delta.tables import DeltaTable</w:t>
        <w:br/>
        <w:br/>
        <w:t>GOLD_SCHEMA = "lh_jde_gold.rpt"</w:t>
        <w:br/>
        <w:br/>
        <w:t>ENV             = "dev"</w:t>
        <w:br/>
        <w:t>TRIGGER         = {"processingTime": "30 seconds"}</w:t>
        <w:br/>
        <w:t>CKPT            = f"Files/checkpoints/eso4_dim_udc_{ENV}"   # OWN root — independent of other notebooks</w:t>
        <w:br/>
        <w:t>OVERWRITE       = True    # ⚠ ONE-OFF full reprocess — set back to False after a healthy run</w:t>
        <w:br/>
        <w:br/>
        <w:t>SRC_SCHEMA    = "jde_cdc"     # CDF must be enabled on F0005.</w:t>
        <w:br/>
        <w:t>SRC_LAKEHOUSE = "lh_jde_silver"</w:t>
        <w:br/>
        <w:t>F0005_TBL     = "f0005_user_defined_code_values"</w:t>
        <w:br/>
        <w:br/>
        <w:t># UDC selectors (INFERRED system/type — confirm; flagged in design §5, like ESO7 dim_status 40/AT).</w:t>
        <w:br/>
        <w:t>SIC_SYS,   SIC_TYPE   = "01", "SC"   # SIC codes  -&gt; dim_sic</w:t>
        <w:br/>
        <w:t>STATE_SYS, STATE_TYPE = "00", "S"    # State/Province codes -&gt; dim_state</w:t>
        <w:br/>
        <w:br/>
        <w:t>T_DIM_SIC   = f"{GOLD_SCHEMA}.dim_sic"</w:t>
        <w:br/>
        <w:t>T_DIM_STATE = f"{GOLD_SCHEMA}.dim_state"</w:t>
        <w:br/>
        <w:br/>
        <w:t>print(f"ESO4 Gold dim_udc processor — trigger {TRIGGER}  targets {T_DIM_SIC}, {T_DIM_STATE}")</w:t>
      </w:r>
    </w:p>
    <w:p>
      <w:r>
        <w:rPr>
          <w:b w:val="0"/>
          <w:i w:val="0"/>
          <w:sz w:val="21"/>
        </w:rPr>
        <w:t>Two targets instead of one, and the UDC selectors on lines 46–47.</w:t>
      </w:r>
    </w:p>
    <w:p>
      <w:pPr>
        <w:spacing w:before="120" w:after="160"/>
        <w:ind w:left="144"/>
        <w:shd w:val="clear" w:fill="FDECEA"/>
        <w:pBdr>
          <w:top w:val="single" w:sz="4" w:space="4" w:color="E8C48A"/>
          <w:left w:val="single" w:sz="4" w:space="4" w:color="E8C48A"/>
          <w:bottom w:val="single" w:sz="4" w:space="4" w:color="E8C48A"/>
          <w:right w:val="single" w:sz="4" w:space="4" w:color="E8C48A"/>
        </w:pBdr>
      </w:pPr>
      <w:r>
        <w:rPr>
          <w:b/>
          <w:sz w:val="20"/>
        </w:rPr>
        <w:t xml:space="preserve">An open assumption you should know about.  </w:t>
      </w:r>
      <w:r>
        <w:rPr>
          <w:sz w:val="20"/>
        </w:rPr>
        <w:t>SIC_SYS/SIC_TYPE = '01'/'SC' and STATE_SYS/STATE_TYPE = '00'/'S' are INFERRED, not confirmed. They follow the shape ESO7 uses for its 40/AT status lookup, but nobody has verified them against the actual F0005 contents. They are flagged in the design doc. If either dimension comes out empty after the first run, these two lines are the first thing to check — an empty dim_sic almost certainly means 01/SC is the wrong selector, not that the code is broken. Worth knowing too: the Hubble TX002 query never joins F0005 at all — it renders the raw ABSIC code. The description lookup is our addition, so there is no legacy query to copy the selectors from.</w:t>
      </w:r>
    </w:p>
    <w:p>
      <w:pPr>
        <w:pStyle w:val="Heading3"/>
      </w:pPr>
      <w:r>
        <w:t>4.3  Cell In[3] — the parameterised transform (lines 79–100)</w:t>
      </w:r>
    </w:p>
    <w:p>
      <w:pPr>
        <w:spacing w:after="40"/>
      </w:pPr>
      <w:r>
        <w:rPr>
          <w:i/>
          <w:color w:val="606060"/>
          <w:sz w:val="17"/>
        </w:rPr>
        <w:t>lines 79–100</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DIM transforms — F0005 UDC lookups. Natural PK per dim = the UDC value (DRKY) WITHIN its</w:t>
        <w:br/>
        <w:t># system/type, so each transform filters product_code/user_defined_codes first, then keys on</w:t>
        <w:br/>
        <w:t># trim(user_defined_code). `restrict_keys` (carrying the code) narrows the CDC recompute.</w:t>
        <w:br/>
        <w:t># =============================================================================</w:t>
        <w:br/>
        <w:t>def _udc_dim(sys_code, type_code, key_alias, desc_alias, restrict_keys=None):</w:t>
        <w:br/>
        <w:t xml:space="preserve">    f0005 = (load_silver_table(F0005_TBL)</w:t>
        <w:br/>
        <w:t xml:space="preserve">             .where((F.trim(F.col("product_code")) == sys_code) &amp;</w:t>
        <w:br/>
        <w:t xml:space="preserve">                    (F.trim(F.col("user_defined_codes")) == type_code)))</w:t>
        <w:br/>
        <w:t xml:space="preserve">    if restrict_keys is not None:</w:t>
        <w:br/>
        <w:t xml:space="preserve">        f0005 = f0005.join(restrict_keys.alias("r"),</w:t>
        <w:br/>
        <w:t xml:space="preserve">                           F.trim(f0005["user_defined_code"]) == F.col(f"r.{key_alias}"), "left_semi")</w:t>
        <w:br/>
        <w:t xml:space="preserve">    return (f0005.select(F.trim(F.col("user_defined_code")).alias(key_alias),   # DRKY</w:t>
        <w:br/>
        <w:t xml:space="preserve">                         F.trim(F.col("description_001")).alias(desc_alias))     # DRDL01</w:t>
        <w:br/>
        <w:t xml:space="preserve">            .where(F.col(key_alias) != "")</w:t>
        <w:br/>
        <w:t xml:space="preserve">            .dropDuplicates([key_alias]))</w:t>
        <w:br/>
        <w:br/>
        <w:t>def transform_dim_sic(restrict_keys=None):</w:t>
        <w:br/>
        <w:t xml:space="preserve">    return _udc_dim(SIC_SYS, SIC_TYPE, "sic_code", "sic_description", restrict_keys)</w:t>
        <w:br/>
        <w:br/>
        <w:t>def transform_dim_state(restrict_keys=None):</w:t>
        <w:br/>
        <w:t xml:space="preserve">    return _udc_dim(STATE_SYS, STATE_TYPE, "state_code", "state_name", restrict_keys)</w:t>
      </w:r>
    </w:p>
    <w:p>
      <w:r>
        <w:rPr>
          <w:b w:val="0"/>
          <w:i w:val="0"/>
          <w:sz w:val="21"/>
        </w:rPr>
        <w:t>One generic function, two thin wrappers around it. Both dimensions are the same shape — filter F0005 to one system/type, key on the code, take the description — so the shape is written once and parameterised by system, type, and the two output column names.</w:t>
      </w:r>
    </w:p>
    <w:p>
      <w:r>
        <w:rPr>
          <w:b w:val="0"/>
          <w:i w:val="0"/>
          <w:sz w:val="21"/>
        </w:rPr>
        <w:t>Read _udc_dim in order. Filter to the system/type first (lines 86–87) — this is what turns the universal lookup table into one specific code list. Then apply the optional restriction, as a left_semi join again. Then select the code and its description, both trimmed, aliased to whatever the caller asked for.</w:t>
      </w:r>
    </w:p>
    <w:p>
      <w:r>
        <w:t xml:space="preserve">Two guards close the function. </w:t>
      </w:r>
      <w:r>
        <w:rPr>
          <w:rFonts w:ascii="Consolas" w:hAnsi="Consolas"/>
          <w:color w:val="A31C3C"/>
          <w:sz w:val="19"/>
        </w:rPr>
        <w:t>.where(F.col(key_alias) != "")</w:t>
      </w:r>
      <w:r>
        <w:t xml:space="preserve"> drops blank codes — F0005 conventionally holds a blank row per code list, and a blank dimension member is noise. And </w:t>
      </w:r>
      <w:r>
        <w:rPr>
          <w:rFonts w:ascii="Consolas" w:hAnsi="Consolas"/>
          <w:color w:val="A31C3C"/>
          <w:sz w:val="19"/>
        </w:rPr>
        <w:t>dropDuplicates([key_alias])</w:t>
      </w:r>
      <w:r>
        <w:t xml:space="preserve"> enforces one row per code, protecting every fact that joins here from fan-out.</w:t>
      </w:r>
    </w:p>
    <w:p>
      <w:r>
        <w:rPr>
          <w:b w:val="0"/>
          <w:i w:val="0"/>
          <w:sz w:val="21"/>
        </w:rPr>
        <w:t>The natural key is worth stating precisely: a UDC value is unique only WITHIN its system/type. 'S' might mean something in one code list and something else in another. Because the filter comes first, the code is unique by the time it becomes the dimension's key — but that uniqueness is a consequence of the filter, not a property of F0005.</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Turn one slice of F0005 into a code-to-description dimension, generically.</w:t>
            </w:r>
          </w:p>
        </w:tc>
      </w:tr>
      <w:tr>
        <w:tc>
          <w:tcPr>
            <w:tcW w:type="dxa" w:w="1656"/>
          </w:tcPr>
          <w:p>
            <w:r/>
            <w:r>
              <w:rPr>
                <w:b/>
                <w:sz w:val="17"/>
              </w:rPr>
              <w:t>Input</w:t>
            </w:r>
          </w:p>
        </w:tc>
        <w:tc>
          <w:tcPr>
            <w:tcW w:type="dxa" w:w="8064"/>
          </w:tcPr>
          <w:p>
            <w:r/>
            <w:r>
              <w:rPr>
                <w:sz w:val="18"/>
              </w:rPr>
              <w:t xml:space="preserve">A UDC system and type; the desired key and description column names; optionally </w:t>
            </w:r>
            <w:r>
              <w:rPr>
                <w:rFonts w:ascii="Consolas" w:hAnsi="Consolas"/>
                <w:sz w:val="17"/>
              </w:rPr>
              <w:t>restrict_keys</w:t>
            </w:r>
            <w:r>
              <w:rPr>
                <w:sz w:val="18"/>
              </w:rPr>
              <w:t>.</w:t>
            </w:r>
          </w:p>
        </w:tc>
      </w:tr>
      <w:tr>
        <w:tc>
          <w:tcPr>
            <w:tcW w:type="dxa" w:w="1656"/>
          </w:tcPr>
          <w:p>
            <w:r/>
            <w:r>
              <w:rPr>
                <w:b/>
                <w:sz w:val="17"/>
              </w:rPr>
              <w:t>Output</w:t>
            </w:r>
          </w:p>
        </w:tc>
        <w:tc>
          <w:tcPr>
            <w:tcW w:type="dxa" w:w="8064"/>
          </w:tcPr>
          <w:p>
            <w:r/>
            <w:r>
              <w:rPr>
                <w:sz w:val="18"/>
              </w:rPr>
              <w:t>A two-column DataFrame, unique on the key.</w:t>
            </w:r>
          </w:p>
        </w:tc>
      </w:tr>
      <w:tr>
        <w:tc>
          <w:tcPr>
            <w:tcW w:type="dxa" w:w="1656"/>
          </w:tcPr>
          <w:p>
            <w:r/>
            <w:r>
              <w:rPr>
                <w:b/>
                <w:sz w:val="17"/>
              </w:rPr>
              <w:t>Business logic</w:t>
            </w:r>
          </w:p>
        </w:tc>
        <w:tc>
          <w:tcPr>
            <w:tcW w:type="dxa" w:w="8064"/>
          </w:tcPr>
          <w:p>
            <w:r/>
            <w:r>
              <w:rPr>
                <w:sz w:val="18"/>
              </w:rPr>
              <w:t>A UDC code is unique only within its system/type — so filter first, then key. Blank codes are excluded.</w:t>
            </w:r>
          </w:p>
        </w:tc>
      </w:tr>
      <w:tr>
        <w:tc>
          <w:tcPr>
            <w:tcW w:type="dxa" w:w="1656"/>
          </w:tcPr>
          <w:p>
            <w:r/>
            <w:r>
              <w:rPr>
                <w:b/>
                <w:sz w:val="17"/>
              </w:rPr>
              <w:t>Fits the pipeline</w:t>
            </w:r>
          </w:p>
        </w:tc>
        <w:tc>
          <w:tcPr>
            <w:tcW w:type="dxa" w:w="8064"/>
          </w:tcPr>
          <w:p>
            <w:r/>
            <w:r>
              <w:rPr>
                <w:sz w:val="18"/>
              </w:rPr>
              <w:t xml:space="preserve">Stage 3. </w:t>
            </w:r>
            <w:r>
              <w:rPr>
                <w:rFonts w:ascii="Consolas" w:hAnsi="Consolas"/>
                <w:sz w:val="17"/>
              </w:rPr>
              <w:t>transform_dim_sic</w:t>
            </w:r>
            <w:r>
              <w:rPr>
                <w:sz w:val="18"/>
              </w:rPr>
              <w:t xml:space="preserve"> and </w:t>
            </w:r>
            <w:r>
              <w:rPr>
                <w:rFonts w:ascii="Consolas" w:hAnsi="Consolas"/>
                <w:sz w:val="17"/>
              </w:rPr>
              <w:t>transform_dim_state</w:t>
            </w:r>
            <w:r>
              <w:rPr>
                <w:sz w:val="18"/>
              </w:rPr>
              <w:t xml:space="preserve"> are one-line wrappers, which is why adding a third UDC dimension would be a three-line change.</w:t>
            </w:r>
          </w:p>
        </w:tc>
      </w:tr>
    </w:tbl>
    <w:p>
      <w:pPr>
        <w:spacing w:after="80"/>
      </w:pPr>
    </w:p>
    <w:p>
      <w:pPr>
        <w:pStyle w:val="Heading3"/>
      </w:pPr>
      <w:r>
        <w:t>4.4  Cell In[4] — the generic upsert (lines 106–130)</w:t>
      </w:r>
    </w:p>
    <w:p>
      <w:pPr>
        <w:spacing w:after="40"/>
      </w:pPr>
      <w:r>
        <w:rPr>
          <w:i/>
          <w:color w:val="606060"/>
          <w:sz w:val="17"/>
        </w:rPr>
        <w:t>lines 106–130</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CDC WRITE HELPERS — NO audit columns (CDF concept from nb_silver_to_gold_eso7_v2)</w:t>
        <w:br/>
        <w:t>#   • dim : MERGE upsert (whenMatchedUpdateAll / whenNotMatchedInsertAll) + MERGE delete.</w:t>
        <w:br/>
        <w:t># =============================================================================</w:t>
        <w:br/>
        <w:t>def _write_new_table(df, target, cdf=True):</w:t>
        <w:br/>
        <w:t xml:space="preserve">    spark.sql(f"CREATE SCHEMA IF NOT EXISTS {GOLD_SCHEMA}")</w:t>
        <w:br/>
        <w:t xml:space="preserve">    w = df.write.format("delta").mode("overwrite").option("overwriteSchema", "true")</w:t>
        <w:br/>
        <w:t xml:space="preserve">    if cdf:</w:t>
        <w:br/>
        <w:t xml:space="preserve">        w = w.option("delta.enableChangeDataFeed", "true")</w:t>
        <w:br/>
        <w:t xml:space="preserve">    w.saveAsTable(target)</w:t>
        <w:br/>
        <w:br/>
        <w:t>def _upsert_dim(target, key_col, transform, change_keys, delete_keys):</w:t>
        <w:br/>
        <w:t xml:space="preserve">    """MERGE upsert changed codes + MERGE delete removed codes. `*_keys` carry `key_col`."""</w:t>
        <w:br/>
        <w:t xml:space="preserve">    n = 0</w:t>
        <w:br/>
        <w:t xml:space="preserve">    if not change_keys.rdd.isEmpty():</w:t>
        <w:br/>
        <w:t xml:space="preserve">        src = transform(restrict_keys=change_keys)</w:t>
        <w:br/>
        <w:t xml:space="preserve">        (DeltaTable.forName(spark, target).alias("t")</w:t>
        <w:br/>
        <w:t xml:space="preserve">            .merge(src.alias("s"), f"t.{key_col} = s.{key_col}")</w:t>
        <w:br/>
        <w:t xml:space="preserve">            .whenMatchedUpdateAll().whenNotMatchedInsertAll().execute())</w:t>
        <w:br/>
        <w:t xml:space="preserve">        n = src.count()</w:t>
        <w:br/>
        <w:t xml:space="preserve">    if not delete_keys.rdd.isEmpty():</w:t>
        <w:br/>
        <w:t xml:space="preserve">        (DeltaTable.forName(spark, target).alias("t")</w:t>
        <w:br/>
        <w:t xml:space="preserve">            .merge(delete_keys.alias("s"), f"t.{key_col} = s.{key_col}")</w:t>
        <w:br/>
        <w:t xml:space="preserve">            .whenMatchedDelete().execute())</w:t>
        <w:br/>
        <w:t xml:space="preserve">    return n</w:t>
      </w:r>
    </w:p>
    <w:p>
      <w:r>
        <w:t xml:space="preserve">The same MERGE-upsert-plus-MERGE-delete as dim_business_unit, but parameterised: </w:t>
      </w:r>
      <w:r>
        <w:rPr>
          <w:rFonts w:ascii="Consolas" w:hAnsi="Consolas"/>
          <w:color w:val="A31C3C"/>
          <w:sz w:val="19"/>
        </w:rPr>
        <w:t>_upsert_dim</w:t>
      </w:r>
      <w:r>
        <w:t xml:space="preserve"> takes the target table, the key column, and the transform function itself as arguments. Passing a function as an argument is what lets one write helper serve both dimensions.</w:t>
      </w:r>
    </w:p>
    <w:p>
      <w:r>
        <w:rPr>
          <w:b w:val="0"/>
          <w:i w:val="0"/>
          <w:sz w:val="21"/>
        </w:rPr>
        <w:t>Same discipline as everywhere else: the change keys say which codes moved, the transform is re-run to find out what they now are.</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MERGE changes into either UDC dimension with one piece of code.</w:t>
            </w:r>
          </w:p>
        </w:tc>
      </w:tr>
      <w:tr>
        <w:tc>
          <w:tcPr>
            <w:tcW w:type="dxa" w:w="1656"/>
          </w:tcPr>
          <w:p>
            <w:r/>
            <w:r>
              <w:rPr>
                <w:b/>
                <w:sz w:val="17"/>
              </w:rPr>
              <w:t>Input</w:t>
            </w:r>
          </w:p>
        </w:tc>
        <w:tc>
          <w:tcPr>
            <w:tcW w:type="dxa" w:w="8064"/>
          </w:tcPr>
          <w:p>
            <w:r/>
            <w:r>
              <w:rPr>
                <w:sz w:val="18"/>
              </w:rPr>
              <w:t>Target table, key column, transform function, change keys, delete keys.</w:t>
            </w:r>
          </w:p>
        </w:tc>
      </w:tr>
      <w:tr>
        <w:tc>
          <w:tcPr>
            <w:tcW w:type="dxa" w:w="1656"/>
          </w:tcPr>
          <w:p>
            <w:r/>
            <w:r>
              <w:rPr>
                <w:b/>
                <w:sz w:val="17"/>
              </w:rPr>
              <w:t>Output</w:t>
            </w:r>
          </w:p>
        </w:tc>
        <w:tc>
          <w:tcPr>
            <w:tcW w:type="dxa" w:w="8064"/>
          </w:tcPr>
          <w:p>
            <w:r/>
            <w:r>
              <w:rPr>
                <w:sz w:val="18"/>
              </w:rPr>
              <w:t>Upserts and deletes applied; returns the upsert count.</w:t>
            </w:r>
          </w:p>
        </w:tc>
      </w:tr>
      <w:tr>
        <w:tc>
          <w:tcPr>
            <w:tcW w:type="dxa" w:w="1656"/>
          </w:tcPr>
          <w:p>
            <w:r/>
            <w:r>
              <w:rPr>
                <w:b/>
                <w:sz w:val="17"/>
              </w:rPr>
              <w:t>Fits the pipeline</w:t>
            </w:r>
          </w:p>
        </w:tc>
        <w:tc>
          <w:tcPr>
            <w:tcW w:type="dxa" w:w="8064"/>
          </w:tcPr>
          <w:p>
            <w:r/>
            <w:r>
              <w:rPr>
                <w:sz w:val="18"/>
              </w:rPr>
              <w:t>Stage 3's write half, called twice per batch — once per dimension.</w:t>
            </w:r>
          </w:p>
        </w:tc>
      </w:tr>
    </w:tbl>
    <w:p>
      <w:pPr>
        <w:spacing w:after="80"/>
      </w:pPr>
    </w:p>
    <w:p>
      <w:pPr>
        <w:pStyle w:val="Heading3"/>
      </w:pPr>
      <w:r>
        <w:t>4.5  Cells In[5] to In[7] — gate, splitting handler, start (lines 136–251)</w:t>
      </w:r>
    </w:p>
    <w:p>
      <w:pPr>
        <w:spacing w:after="40"/>
      </w:pPr>
      <w:r>
        <w:rPr>
          <w:i/>
          <w:color w:val="606060"/>
          <w:sz w:val="17"/>
        </w:rPr>
        <w:t>lines 162–173 — the full-load gate condition</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_FULL_LOAD = (OVERWRITE</w:t>
        <w:br/>
        <w:t xml:space="preserve">              or not spark.catalog.tableExists(T_DIM_SIC)</w:t>
        <w:br/>
        <w:t xml:space="preserve">              or not spark.catalog.tableExists(T_DIM_STATE)</w:t>
        <w:br/>
        <w:t xml:space="preserve">              or not _checkpoints_exist())</w:t>
        <w:br/>
        <w:br/>
        <w:t>if _FULL_LOAD:</w:t>
        <w:br/>
        <w:t xml:space="preserve">    print("== FULL LOAD ==")</w:t>
        <w:br/>
        <w:t xml:space="preserve">    spark.sql(f"DROP TABLE IF EXISTS {T_DIM_SIC}")</w:t>
        <w:br/>
        <w:t xml:space="preserve">    spark.sql(f"DROP TABLE IF EXISTS {T_DIM_STATE}")</w:t>
        <w:br/>
        <w:t xml:space="preserve">    _write_new_table(transform_dim_sic(),   T_DIM_SIC)</w:t>
        <w:br/>
        <w:t xml:space="preserve">    _write_new_table(transform_dim_state(), T_DIM_STATE)</w:t>
        <w:br/>
        <w:t xml:space="preserve">    print(f"  ✓ seeded {T_DIM_SIC} + {T_DIM_STATE}")</w:t>
      </w:r>
    </w:p>
    <w:p>
      <w:r>
        <w:rPr>
          <w:b w:val="0"/>
          <w:i w:val="0"/>
          <w:sz w:val="21"/>
        </w:rPr>
        <w:t>One difference from the other two notebooks, on lines 162–165: the full-load condition checks BOTH target tables. If either dim_sic or dim_state is missing, both are rebuilt. That is the right call — they share a stream and therefore a checkpoint, so they must share a starting position. Rebuilding one without the other would leave the pair inconsistent with the single bookmark that governs them.</w:t>
      </w:r>
    </w:p>
    <w:p>
      <w:pPr>
        <w:spacing w:after="40"/>
      </w:pPr>
      <w:r>
        <w:rPr>
          <w:i/>
          <w:color w:val="606060"/>
          <w:sz w:val="17"/>
        </w:rPr>
        <w:t>lines 190–221 — the handler that splits one batch two ways</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STREAM BATCH HANDLER  (structure from the ESO4 dim_business_unit notebook)</w:t>
        <w:br/>
        <w:t>#   One F0005 stream feeds BOTH dims: split each batch by UDC system/type, upsert each dim.</w:t>
        <w:br/>
        <w:t># =============================================================================</w:t>
        <w:br/>
        <w:t>def make_dim_udc_handler(init_ver):</w:t>
        <w:br/>
        <w:t xml:space="preserve">    def handler(batch_df, batch_id):</w:t>
        <w:br/>
        <w:t xml:space="preserve">        if batch_df.rdd.isEmpty():</w:t>
        <w:br/>
        <w:t xml:space="preserve">            return</w:t>
        <w:br/>
        <w:t xml:space="preserve">        if init_ver &gt;= 0:</w:t>
        <w:br/>
        <w:t xml:space="preserve">            batch_df = batch_df.filter(F.col("_commit_version") &gt; init_ver)</w:t>
        <w:br/>
        <w:t xml:space="preserve">        if batch_df.rdd.isEmpty():</w:t>
        <w:br/>
        <w:t xml:space="preserve">            return</w:t>
        <w:br/>
        <w:br/>
        <w:t xml:space="preserve">        def _keys(sys_code, type_code, key_alias):</w:t>
        <w:br/>
        <w:t xml:space="preserve">            sel = (batch_df.where((F.trim(F.col("product_code")) == sys_code) &amp;</w:t>
        <w:br/>
        <w:t xml:space="preserve">                                  (F.trim(F.col("user_defined_codes")) == type_code)))</w:t>
        <w:br/>
        <w:t xml:space="preserve">            up = (sel.filter(F.col("_change_type").isin("insert", "update_postimage"))</w:t>
        <w:br/>
        <w:t xml:space="preserve">                     .select(F.trim(F.col("user_defined_code")).alias(key_alias))</w:t>
        <w:br/>
        <w:t xml:space="preserve">                     .where(F.col(key_alias) != "").distinct())</w:t>
        <w:br/>
        <w:t xml:space="preserve">            dele = (sel.filter(F.col("_change_type") == "delete")</w:t>
        <w:br/>
        <w:t xml:space="preserve">                       .select(F.trim(F.col("user_defined_code")).alias(key_alias))</w:t>
        <w:br/>
        <w:t xml:space="preserve">                       .where(F.col(key_alias) != "").distinct())</w:t>
        <w:br/>
        <w:t xml:space="preserve">            return up, dele</w:t>
        <w:br/>
        <w:br/>
        <w:t xml:space="preserve">        sic_up, sic_del = _keys(SIC_SYS, SIC_TYPE, "sic_code")</w:t>
        <w:br/>
        <w:t xml:space="preserve">        n_sic = _upsert_dim(T_DIM_SIC, "sic_code", transform_dim_sic, sic_up, sic_del)</w:t>
        <w:br/>
        <w:br/>
        <w:t xml:space="preserve">        st_up, st_del = _keys(STATE_SYS, STATE_TYPE, "state_code")</w:t>
        <w:br/>
        <w:t xml:space="preserve">        n_state = _upsert_dim(T_DIM_STATE, "state_code", transform_dim_state, st_up, st_del)</w:t>
        <w:br/>
        <w:br/>
        <w:t xml:space="preserve">        print(f"[{F0005_TBL[:12]}] dim_udc batch={batch_id} sic_upserts={n_sic} state_upserts={n_state}")</w:t>
        <w:br/>
        <w:t xml:space="preserve">    return handler</w:t>
      </w:r>
    </w:p>
    <w:p>
      <w:r>
        <w:rPr>
          <w:b w:val="0"/>
          <w:i w:val="0"/>
          <w:sz w:val="21"/>
        </w:rPr>
        <w:t>This is the notebook's one distinctive piece of code, and it is short.</w:t>
      </w:r>
    </w:p>
    <w:p>
      <w:r>
        <w:t xml:space="preserve">The nested </w:t>
      </w:r>
      <w:r>
        <w:rPr>
          <w:rFonts w:ascii="Consolas" w:hAnsi="Consolas"/>
          <w:color w:val="A31C3C"/>
          <w:sz w:val="19"/>
        </w:rPr>
        <w:t>_keys(sys, type, alias)</w:t>
      </w:r>
      <w:r>
        <w:t xml:space="preserve"> helper takes the batch, filters it to one system/type, and splits it into upserts and deletes. It is then called twice — once for 01/SC, once for 00/S — and each result drives its own dimension's upsert. One batch of raw F0005 changes, sorted into two destinations.</w:t>
      </w:r>
    </w:p>
    <w:p>
      <w:r>
        <w:rPr>
          <w:b w:val="0"/>
          <w:i w:val="0"/>
          <w:sz w:val="21"/>
        </w:rPr>
        <w:t>Everything else that does not concern SIC or state — every other code list in JDE, and there are many — is simply filtered away by _keys and never touched. The stream sees all of F0005; this notebook acts on two slices of it.</w:t>
      </w:r>
    </w:p>
    <w:p>
      <w:r>
        <w:rPr>
          <w:b w:val="0"/>
          <w:i w:val="0"/>
          <w:sz w:val="21"/>
        </w:rPr>
        <w:t>The log line prints both counts, which is a small but useful diagnostic: it tells you at a glance whether a batch touched one dimension, the other, or neither.</w:t>
      </w:r>
    </w:p>
    <w:p>
      <w:pPr>
        <w:spacing w:after="40"/>
      </w:pPr>
      <w:r>
        <w:rPr>
          <w:i/>
          <w:color w:val="606060"/>
          <w:sz w:val="17"/>
        </w:rPr>
        <w:t>lines 227–251 — starting the stream</w:t>
      </w:r>
    </w:p>
    <w:p>
      <w:pPr>
        <w:spacing w:before="120" w:after="160" w:line="240" w:lineRule="auto"/>
        <w:ind w:left="115"/>
        <w:shd w:val="clear" w:fill="F4F6F9"/>
        <w:pBdr>
          <w:top w:val="single" w:sz="4" w:space="4" w:color="D0D7E5"/>
          <w:left w:val="single" w:sz="4" w:space="4" w:color="D0D7E5"/>
          <w:bottom w:val="single" w:sz="4" w:space="4" w:color="D0D7E5"/>
          <w:right w:val="single" w:sz="4" w:space="4" w:color="D0D7E5"/>
        </w:pBdr>
      </w:pPr>
      <w:r>
        <w:rPr>
          <w:rFonts w:ascii="Consolas" w:hAnsi="Consolas"/>
          <w:sz w:val="16"/>
        </w:rPr>
        <w:t># =============================================================================</w:t>
        <w:br/>
        <w:t># START STREAM — Silver Change Data Feed -&gt; foreachBatch -&gt; CDC write, every 30 s.</w:t>
        <w:br/>
        <w:t># REQUIRES delta.enableChangeDataFeed = true on the source (F0005).</w:t>
        <w:br/>
        <w:t># =============================================================================</w:t>
        <w:br/>
        <w:t>def _start_ver(iv, tbl):</w:t>
        <w:br/>
        <w:t xml:space="preserve">    """Full load: init_ver (exists, carries CDF; handler skips &lt;= it). Resume (iv &lt; 0): fall</w:t>
        <w:br/>
        <w:t xml:space="preserve">    back to the source's CURRENT version, never 0 (v0 predates CDF)."""</w:t>
        <w:br/>
        <w:t xml:space="preserve">    return iv if iv &gt;= 0 else current_version(tbl)</w:t>
        <w:br/>
        <w:br/>
        <w:t>iv_udc = _init_ver.get(F0005_TBL, -1)</w:t>
        <w:br/>
        <w:t>_sv_udc = _start_ver(iv_udc, F0005_TBL)</w:t>
        <w:br/>
        <w:t>(spark.readStream.format("delta")</w:t>
        <w:br/>
        <w:t xml:space="preserve">     .option("readChangeFeed",  "true")</w:t>
        <w:br/>
        <w:t xml:space="preserve">     .option("startingVersion", _sv_udc)</w:t>
        <w:br/>
        <w:t xml:space="preserve">     .table(sname(F0005_TBL))</w:t>
        <w:br/>
        <w:t xml:space="preserve"> .writeStream</w:t>
        <w:br/>
        <w:t xml:space="preserve">     .foreachBatch(make_dim_udc_handler(iv_udc))</w:t>
        <w:br/>
        <w:t xml:space="preserve">     .option("checkpointLocation", f"{CKPT}/dim__{F0005_TBL}")</w:t>
        <w:br/>
        <w:t xml:space="preserve">     .trigger(**TRIGGER)</w:t>
        <w:br/>
        <w:t xml:space="preserve">     .queryName("dim__" + F0005_TBL)</w:t>
        <w:br/>
        <w:t xml:space="preserve">     .start())</w:t>
        <w:br/>
        <w:t>print(f"  dim__{F0005_TBL}  startingVersion={_sv_udc}  init_ver={iv_udc}")</w:t>
        <w:br/>
        <w:br/>
        <w:t>print(f"== started 1 stream — continuous, trigger {TRIGGER}. Targets {T_DIM_SIC}, {T_DIM_STATE}. ==")</w:t>
        <w:br/>
        <w:t>spark.streams.awaitAnyTermination()</w:t>
      </w:r>
    </w:p>
    <w:p>
      <w:r>
        <w:rPr>
          <w:b w:val="0"/>
          <w:i w:val="0"/>
          <w:sz w:val="21"/>
        </w:rPr>
        <w:t>One stream, two dimensions kept current by it. Otherwise identical to the other notebooks.</w:t>
      </w:r>
    </w:p>
    <w:tbl>
      <w:tblPr>
        <w:tblStyle w:val="LightList-Accent1"/>
        <w:tblW w:type="auto" w:w="0"/>
        <w:tblLook w:firstColumn="1" w:firstRow="1" w:lastColumn="0" w:lastRow="0" w:noHBand="0" w:noVBand="1" w:val="04A0"/>
      </w:tblPr>
      <w:tblGrid>
        <w:gridCol w:w="4320"/>
        <w:gridCol w:w="4320"/>
      </w:tblGrid>
      <w:tr>
        <w:tc>
          <w:tcPr>
            <w:tcW w:type="dxa" w:w="1656"/>
          </w:tcPr>
          <w:p>
            <w:r/>
            <w:r>
              <w:rPr>
                <w:b/>
                <w:sz w:val="17"/>
              </w:rPr>
              <w:t>Purpose</w:t>
            </w:r>
          </w:p>
        </w:tc>
        <w:tc>
          <w:tcPr>
            <w:tcW w:type="dxa" w:w="8064"/>
          </w:tcPr>
          <w:p>
            <w:r/>
            <w:r>
              <w:rPr>
                <w:sz w:val="18"/>
              </w:rPr>
              <w:t>Seed both UDC dimensions, then keep them current from one shared F0005 stream.</w:t>
            </w:r>
          </w:p>
        </w:tc>
      </w:tr>
      <w:tr>
        <w:tc>
          <w:tcPr>
            <w:tcW w:type="dxa" w:w="1656"/>
          </w:tcPr>
          <w:p>
            <w:r/>
            <w:r>
              <w:rPr>
                <w:b/>
                <w:sz w:val="17"/>
              </w:rPr>
              <w:t>Input</w:t>
            </w:r>
          </w:p>
        </w:tc>
        <w:tc>
          <w:tcPr>
            <w:tcW w:type="dxa" w:w="8064"/>
          </w:tcPr>
          <w:p>
            <w:r/>
            <w:r>
              <w:rPr>
                <w:sz w:val="18"/>
              </w:rPr>
            </w:r>
            <w:r>
              <w:rPr>
                <w:rFonts w:ascii="Consolas" w:hAnsi="Consolas"/>
                <w:sz w:val="17"/>
              </w:rPr>
              <w:t>OVERWRITE</w:t>
            </w:r>
            <w:r>
              <w:rPr>
                <w:sz w:val="18"/>
              </w:rPr>
              <w:t>, both tables' existence, checkpoint state, F0005 CDF.</w:t>
            </w:r>
          </w:p>
        </w:tc>
      </w:tr>
      <w:tr>
        <w:tc>
          <w:tcPr>
            <w:tcW w:type="dxa" w:w="1656"/>
          </w:tcPr>
          <w:p>
            <w:r/>
            <w:r>
              <w:rPr>
                <w:b/>
                <w:sz w:val="17"/>
              </w:rPr>
              <w:t>Output</w:t>
            </w:r>
          </w:p>
        </w:tc>
        <w:tc>
          <w:tcPr>
            <w:tcW w:type="dxa" w:w="8064"/>
          </w:tcPr>
          <w:p>
            <w:r/>
            <w:r>
              <w:rPr>
                <w:sz w:val="18"/>
              </w:rPr>
              <w:t xml:space="preserve">Live </w:t>
            </w:r>
            <w:r>
              <w:rPr>
                <w:rFonts w:ascii="Consolas" w:hAnsi="Consolas"/>
                <w:sz w:val="17"/>
              </w:rPr>
              <w:t>rpt.dim_sic</w:t>
            </w:r>
            <w:r>
              <w:rPr>
                <w:sz w:val="18"/>
              </w:rPr>
              <w:t xml:space="preserve"> and </w:t>
            </w:r>
            <w:r>
              <w:rPr>
                <w:rFonts w:ascii="Consolas" w:hAnsi="Consolas"/>
                <w:sz w:val="17"/>
              </w:rPr>
              <w:t>rpt.dim_state</w:t>
            </w:r>
            <w:r>
              <w:rPr>
                <w:sz w:val="18"/>
              </w:rPr>
              <w:t>.</w:t>
            </w:r>
          </w:p>
        </w:tc>
      </w:tr>
      <w:tr>
        <w:tc>
          <w:tcPr>
            <w:tcW w:type="dxa" w:w="1656"/>
          </w:tcPr>
          <w:p>
            <w:r/>
            <w:r>
              <w:rPr>
                <w:b/>
                <w:sz w:val="17"/>
              </w:rPr>
              <w:t>Business logic</w:t>
            </w:r>
          </w:p>
        </w:tc>
        <w:tc>
          <w:tcPr>
            <w:tcW w:type="dxa" w:w="8064"/>
          </w:tcPr>
          <w:p>
            <w:r/>
            <w:r>
              <w:rPr>
                <w:sz w:val="18"/>
              </w:rPr>
              <w:t>One stream, two destinations, split by UDC system/type. The pair rebuilds together because they share a checkpoint.</w:t>
            </w:r>
          </w:p>
        </w:tc>
      </w:tr>
      <w:tr>
        <w:tc>
          <w:tcPr>
            <w:tcW w:type="dxa" w:w="1656"/>
          </w:tcPr>
          <w:p>
            <w:r/>
            <w:r>
              <w:rPr>
                <w:b/>
                <w:sz w:val="17"/>
              </w:rPr>
              <w:t>Fits the pipeline</w:t>
            </w:r>
          </w:p>
        </w:tc>
        <w:tc>
          <w:tcPr>
            <w:tcW w:type="dxa" w:w="8064"/>
          </w:tcPr>
          <w:p>
            <w:r/>
            <w:r>
              <w:rPr>
                <w:sz w:val="18"/>
              </w:rPr>
              <w:t xml:space="preserve">Stages 4 and 5. Supplies the descriptions behind the fact's </w:t>
            </w:r>
            <w:r>
              <w:rPr>
                <w:rFonts w:ascii="Consolas" w:hAnsi="Consolas"/>
                <w:sz w:val="17"/>
              </w:rPr>
              <w:t>sic_code</w:t>
            </w:r>
            <w:r>
              <w:rPr>
                <w:sz w:val="18"/>
              </w:rPr>
              <w:t xml:space="preserve"> and </w:t>
            </w:r>
            <w:r>
              <w:rPr>
                <w:rFonts w:ascii="Consolas" w:hAnsi="Consolas"/>
                <w:sz w:val="17"/>
              </w:rPr>
              <w:t>jurisdiction</w:t>
            </w:r>
            <w:r>
              <w:rPr>
                <w:sz w:val="18"/>
              </w:rPr>
              <w:t xml:space="preserve"> FK codes.</w:t>
            </w:r>
          </w:p>
        </w:tc>
      </w:tr>
    </w:tbl>
    <w:p>
      <w:pPr>
        <w:spacing w:after="80"/>
      </w:pPr>
    </w:p>
    <w:p>
      <w:r>
        <w:br w:type="page"/>
      </w:r>
    </w:p>
    <w:p>
      <w:pPr>
        <w:pStyle w:val="Heading1"/>
      </w:pPr>
      <w:r>
        <w:t>Part 5 — Running and operating the pipeline</w:t>
      </w:r>
    </w:p>
    <w:p>
      <w:pPr>
        <w:pStyle w:val="Heading2"/>
      </w:pPr>
      <w:r>
        <w:t>5.1  Prerequisites</w:t>
      </w:r>
    </w:p>
    <w:p>
      <w:r>
        <w:rPr>
          <w:b w:val="0"/>
          <w:i w:val="0"/>
          <w:sz w:val="21"/>
        </w:rPr>
        <w:t>Before the first run, these must be true, and none of them are things the notebooks can do for themselves:</w:t>
      </w:r>
    </w:p>
    <w:p>
      <w:pPr>
        <w:pStyle w:val="ListBullet"/>
        <w:spacing w:after="60"/>
        <w:ind w:left="360"/>
      </w:pPr>
      <w:r>
        <w:t>CDF is enabled — delta.enableChangeDataFeed = true — on F4211, F03B11, F0006 and F0005 in lh_jde_silver.jde_cdc. It must have been enabled at or before the version the streams start from. This is the single most common cause of a failed first run.</w:t>
      </w:r>
    </w:p>
    <w:p>
      <w:pPr>
        <w:pStyle w:val="ListBullet"/>
        <w:spacing w:after="60"/>
        <w:ind w:left="360"/>
      </w:pPr>
      <w:r>
        <w:t>The reused address role views exist in lh_jde_gold.rpt: dim_address_ship_to, dim_address_sold_to and dim_address_parent. The first two already exist; dim_address_parent must be created once.</w:t>
      </w:r>
    </w:p>
    <w:p>
      <w:pPr>
        <w:pStyle w:val="ListBullet"/>
        <w:spacing w:after="60"/>
        <w:ind w:left="360"/>
      </w:pPr>
      <w:r>
        <w:t>No name collisions in lh_jde_gold.rpt with tables another report already owns.</w:t>
      </w:r>
    </w:p>
    <w:p>
      <w:pPr>
        <w:pStyle w:val="Heading2"/>
      </w:pPr>
      <w:r>
        <w:t>5.2  Run order</w:t>
      </w:r>
    </w:p>
    <w:p>
      <w:r>
        <w:rPr>
          <w:b w:val="0"/>
          <w:i w:val="0"/>
          <w:sz w:val="21"/>
        </w:rPr>
        <w:t>Order matters once, on the first run, and then never again.</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
              <w:rPr>
                <w:b/>
                <w:sz w:val="18"/>
              </w:rPr>
              <w:t>Step</w:t>
            </w:r>
          </w:p>
        </w:tc>
        <w:tc>
          <w:tcPr>
            <w:tcW w:type="dxa" w:w="3888"/>
          </w:tcPr>
          <w:p>
            <w:r/>
            <w:r>
              <w:rPr>
                <w:b/>
                <w:sz w:val="18"/>
              </w:rPr>
              <w:t>Notebook</w:t>
            </w:r>
          </w:p>
        </w:tc>
        <w:tc>
          <w:tcPr>
            <w:tcW w:type="dxa" w:w="5040"/>
          </w:tcPr>
          <w:p>
            <w:r/>
            <w:r>
              <w:rPr>
                <w:b/>
                <w:sz w:val="18"/>
              </w:rPr>
              <w:t>Why this order</w:t>
            </w:r>
          </w:p>
        </w:tc>
      </w:tr>
      <w:tr>
        <w:tc>
          <w:tcPr>
            <w:tcW w:type="dxa" w:w="720"/>
          </w:tcPr>
          <w:p>
            <w:pPr>
              <w:spacing w:after="40"/>
            </w:pPr>
            <w:r/>
            <w:r>
              <w:rPr>
                <w:sz w:val="17"/>
              </w:rPr>
              <w:t>1</w:t>
            </w:r>
          </w:p>
        </w:tc>
        <w:tc>
          <w:tcPr>
            <w:tcW w:type="dxa" w:w="3888"/>
          </w:tcPr>
          <w:p>
            <w:pPr>
              <w:spacing w:after="40"/>
            </w:pPr>
            <w:r/>
            <w:r>
              <w:rPr>
                <w:sz w:val="17"/>
              </w:rPr>
            </w:r>
            <w:r>
              <w:rPr>
                <w:rFonts w:ascii="Consolas" w:hAnsi="Consolas"/>
                <w:sz w:val="16"/>
              </w:rPr>
              <w:t>nb_eso4_gold_dim_business_unit.py</w:t>
            </w:r>
            <w:r>
              <w:rPr>
                <w:sz w:val="17"/>
              </w:rPr>
            </w:r>
          </w:p>
        </w:tc>
        <w:tc>
          <w:tcPr>
            <w:tcW w:type="dxa" w:w="5040"/>
          </w:tcPr>
          <w:p>
            <w:pPr>
              <w:spacing w:after="40"/>
            </w:pPr>
            <w:r/>
            <w:r>
              <w:rPr>
                <w:sz w:val="17"/>
              </w:rPr>
              <w:t xml:space="preserve">Dimensions first, so the fact's FKs resolve the moment it lands. Also materialises </w:t>
            </w:r>
            <w:r>
              <w:rPr>
                <w:rFonts w:ascii="Consolas" w:hAnsi="Consolas"/>
                <w:sz w:val="16"/>
              </w:rPr>
              <w:t>business_unit_display</w:t>
            </w:r>
            <w:r>
              <w:rPr>
                <w:sz w:val="17"/>
              </w:rPr>
              <w:t xml:space="preserve"> for ESO5.</w:t>
            </w:r>
          </w:p>
        </w:tc>
      </w:tr>
      <w:tr>
        <w:tc>
          <w:tcPr>
            <w:tcW w:type="dxa" w:w="720"/>
          </w:tcPr>
          <w:p>
            <w:pPr>
              <w:spacing w:after="40"/>
            </w:pPr>
            <w:r/>
            <w:r>
              <w:rPr>
                <w:sz w:val="17"/>
              </w:rPr>
              <w:t>2</w:t>
            </w:r>
          </w:p>
        </w:tc>
        <w:tc>
          <w:tcPr>
            <w:tcW w:type="dxa" w:w="3888"/>
          </w:tcPr>
          <w:p>
            <w:pPr>
              <w:spacing w:after="40"/>
            </w:pPr>
            <w:r/>
            <w:r>
              <w:rPr>
                <w:sz w:val="17"/>
              </w:rPr>
            </w:r>
            <w:r>
              <w:rPr>
                <w:rFonts w:ascii="Consolas" w:hAnsi="Consolas"/>
                <w:sz w:val="16"/>
              </w:rPr>
              <w:t>nb_eso4_gold_dim_udc.py</w:t>
            </w:r>
            <w:r>
              <w:rPr>
                <w:sz w:val="17"/>
              </w:rPr>
            </w:r>
          </w:p>
        </w:tc>
        <w:tc>
          <w:tcPr>
            <w:tcW w:type="dxa" w:w="5040"/>
          </w:tcPr>
          <w:p>
            <w:pPr>
              <w:spacing w:after="40"/>
            </w:pPr>
            <w:r/>
            <w:r>
              <w:rPr>
                <w:sz w:val="17"/>
              </w:rPr>
              <w:t>Builds dim_sic and dim_state.</w:t>
            </w:r>
          </w:p>
        </w:tc>
      </w:tr>
      <w:tr>
        <w:tc>
          <w:tcPr>
            <w:tcW w:type="dxa" w:w="720"/>
          </w:tcPr>
          <w:p>
            <w:pPr>
              <w:spacing w:after="40"/>
            </w:pPr>
            <w:r/>
            <w:r>
              <w:rPr>
                <w:sz w:val="17"/>
              </w:rPr>
              <w:t>3</w:t>
            </w:r>
          </w:p>
        </w:tc>
        <w:tc>
          <w:tcPr>
            <w:tcW w:type="dxa" w:w="3888"/>
          </w:tcPr>
          <w:p>
            <w:pPr>
              <w:spacing w:after="40"/>
            </w:pPr>
            <w:r/>
            <w:r>
              <w:rPr>
                <w:sz w:val="17"/>
              </w:rPr>
            </w:r>
            <w:r>
              <w:rPr>
                <w:rFonts w:ascii="Consolas" w:hAnsi="Consolas"/>
                <w:sz w:val="16"/>
              </w:rPr>
              <w:t>nb_eso4_gold_fact_sales_tax_reconciliation.py</w:t>
            </w:r>
            <w:r>
              <w:rPr>
                <w:sz w:val="17"/>
              </w:rPr>
            </w:r>
          </w:p>
        </w:tc>
        <w:tc>
          <w:tcPr>
            <w:tcW w:type="dxa" w:w="5040"/>
          </w:tcPr>
          <w:p>
            <w:pPr>
              <w:spacing w:after="40"/>
            </w:pPr>
            <w:r/>
            <w:r>
              <w:rPr>
                <w:sz w:val="17"/>
              </w:rPr>
              <w:t>The fact. Reads no Gold dimension, so this is about the model being complete, not about the fact failing.</w:t>
            </w:r>
          </w:p>
        </w:tc>
      </w:tr>
    </w:tbl>
    <w:p>
      <w:pPr>
        <w:spacing w:after="80"/>
      </w:pPr>
    </w:p>
    <w:p>
      <w:r>
        <w:rPr>
          <w:b w:val="0"/>
          <w:i w:val="0"/>
          <w:sz w:val="21"/>
        </w:rPr>
        <w:t>Each notebook blocks on awaitAnyTermination, so they are three long-running jobs, not three steps in one script. Start each and leave it running.</w:t>
      </w:r>
    </w:p>
    <w:p>
      <w:pPr>
        <w:pStyle w:val="Heading2"/>
      </w:pPr>
      <w:r>
        <w:t>5.3  The OVERWRITE switch — the thing to get right</w:t>
      </w:r>
    </w:p>
    <w:p>
      <w:r>
        <w:rPr>
          <w:b w:val="0"/>
          <w:i w:val="0"/>
          <w:sz w:val="21"/>
        </w:rPr>
        <w:t>All three notebooks currently have OVERWRITE = True, awaiting their first clean load. The sequence is:</w:t>
      </w:r>
    </w:p>
    <w:p>
      <w:pPr>
        <w:pStyle w:val="ListBullet"/>
        <w:spacing w:after="60"/>
        <w:ind w:left="360"/>
      </w:pPr>
      <w:r>
        <w:t>Run each notebook once with OVERWRITE = True. Each drops its tables and rebuilds from the full Silver snapshot.</w:t>
      </w:r>
    </w:p>
    <w:p>
      <w:pPr>
        <w:pStyle w:val="ListBullet"/>
        <w:spacing w:after="60"/>
        <w:ind w:left="360"/>
      </w:pPr>
      <w:r>
        <w:t>Confirm health: the log shows '== FULL LOAD ==', then a seeded line, then 'startingVersion=N init_ver=N' with N greater than zero and the two numbers equal.</w:t>
      </w:r>
    </w:p>
    <w:p>
      <w:pPr>
        <w:pStyle w:val="ListBullet"/>
        <w:spacing w:after="60"/>
        <w:ind w:left="360"/>
      </w:pPr>
      <w:r>
        <w:t>Set OVERWRITE = False in all three, and restart them.</w:t>
      </w:r>
    </w:p>
    <w:p>
      <w:pPr>
        <w:spacing w:before="120" w:after="160"/>
        <w:ind w:left="144"/>
        <w:shd w:val="clear" w:fill="FDECEA"/>
        <w:pBdr>
          <w:top w:val="single" w:sz="4" w:space="4" w:color="E8C48A"/>
          <w:left w:val="single" w:sz="4" w:space="4" w:color="E8C48A"/>
          <w:bottom w:val="single" w:sz="4" w:space="4" w:color="E8C48A"/>
          <w:right w:val="single" w:sz="4" w:space="4" w:color="E8C48A"/>
        </w:pBdr>
      </w:pPr>
      <w:r>
        <w:rPr>
          <w:b/>
          <w:sz w:val="20"/>
        </w:rPr>
        <w:t xml:space="preserve">Leaving OVERWRITE = True is a production hazard.  </w:t>
      </w:r>
      <w:r>
        <w:rPr>
          <w:sz w:val="20"/>
        </w:rPr>
        <w:t>Every restart would drop and rebuild the tables. That is expensive, it makes the report briefly empty, and it discards the streaming position. The True setting exists for exactly two situations: the first load, and a deliberate reprocess after the schema or the business logic changes.</w:t>
      </w:r>
    </w:p>
    <w:p>
      <w:pPr>
        <w:pStyle w:val="Heading2"/>
      </w:pPr>
      <w:r>
        <w:t>5.4  When to reprocess deliberately</w:t>
      </w:r>
    </w:p>
    <w:p>
      <w:r>
        <w:rPr>
          <w:b w:val="0"/>
          <w:i w:val="0"/>
          <w:sz w:val="21"/>
        </w:rPr>
        <w:t>Set OVERWRITE = True, run once, set it back to False, whenever:</w:t>
      </w:r>
    </w:p>
    <w:p>
      <w:pPr>
        <w:pStyle w:val="ListBullet"/>
        <w:spacing w:after="60"/>
        <w:ind w:left="360"/>
      </w:pPr>
      <w:r>
        <w:t>The stored column list changes — a column added to or removed from FACT_BUSINESS_COLS, or the business_unit_display column being added, as ESO5 needed.</w:t>
      </w:r>
    </w:p>
    <w:p>
      <w:pPr>
        <w:pStyle w:val="ListBullet"/>
        <w:spacing w:after="60"/>
        <w:ind w:left="360"/>
      </w:pPr>
      <w:r>
        <w:t>The business logic changes — a Business Stream rule change, a corrected Avalara Code formula, or a corrected UDC selector. Existing rows were built by the old code and will not fix themselves.</w:t>
      </w:r>
    </w:p>
    <w:p>
      <w:pPr>
        <w:pStyle w:val="ListBullet"/>
        <w:spacing w:after="60"/>
        <w:ind w:left="360"/>
      </w:pPr>
      <w:r>
        <w:t>A checkpoint is poisoned and the stream cannot start.</w:t>
      </w:r>
    </w:p>
    <w:p>
      <w:r>
        <w:rPr>
          <w:b w:val="0"/>
          <w:i w:val="0"/>
          <w:sz w:val="21"/>
        </w:rPr>
        <w:t>You do not need a reprocess for ordinary data changes. That is what the streams are for.</w:t>
      </w:r>
    </w:p>
    <w:p>
      <w:pPr>
        <w:pStyle w:val="Heading2"/>
      </w:pPr>
      <w:r>
        <w:t>5.5  Reading the logs</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sz w:val="18"/>
              </w:rPr>
              <w:t>Log line</w:t>
            </w:r>
          </w:p>
        </w:tc>
        <w:tc>
          <w:tcPr>
            <w:tcW w:type="dxa" w:w="6336"/>
          </w:tcPr>
          <w:p>
            <w:r/>
            <w:r>
              <w:rPr>
                <w:b/>
                <w:sz w:val="18"/>
              </w:rPr>
              <w:t>Meaning</w:t>
            </w:r>
          </w:p>
        </w:tc>
      </w:tr>
      <w:tr>
        <w:tc>
          <w:tcPr>
            <w:tcW w:type="dxa" w:w="3312"/>
          </w:tcPr>
          <w:p>
            <w:pPr>
              <w:spacing w:after="40"/>
            </w:pPr>
            <w:r/>
            <w:r>
              <w:rPr>
                <w:sz w:val="17"/>
              </w:rPr>
            </w:r>
            <w:r>
              <w:rPr>
                <w:rFonts w:ascii="Consolas" w:hAnsi="Consolas"/>
                <w:sz w:val="16"/>
              </w:rPr>
              <w:t>== FULL LOAD ==</w:t>
            </w:r>
            <w:r>
              <w:rPr>
                <w:sz w:val="17"/>
              </w:rPr>
            </w:r>
          </w:p>
        </w:tc>
        <w:tc>
          <w:tcPr>
            <w:tcW w:type="dxa" w:w="6336"/>
          </w:tcPr>
          <w:p>
            <w:pPr>
              <w:spacing w:after="40"/>
            </w:pPr>
            <w:r/>
            <w:r>
              <w:rPr>
                <w:sz w:val="17"/>
              </w:rPr>
              <w:t xml:space="preserve">The table is being rebuilt from scratch. Expected on the first run and after a deliberate reprocess; unexpected otherwise — check </w:t>
            </w:r>
            <w:r>
              <w:rPr>
                <w:rFonts w:ascii="Consolas" w:hAnsi="Consolas"/>
                <w:sz w:val="16"/>
              </w:rPr>
              <w:t>OVERWRITE</w:t>
            </w:r>
            <w:r>
              <w:rPr>
                <w:sz w:val="17"/>
              </w:rPr>
              <w:t xml:space="preserve"> and the checkpoints.</w:t>
            </w:r>
          </w:p>
        </w:tc>
      </w:tr>
      <w:tr>
        <w:tc>
          <w:tcPr>
            <w:tcW w:type="dxa" w:w="3312"/>
          </w:tcPr>
          <w:p>
            <w:pPr>
              <w:spacing w:after="40"/>
            </w:pPr>
            <w:r/>
            <w:r>
              <w:rPr>
                <w:sz w:val="17"/>
              </w:rPr>
            </w:r>
            <w:r>
              <w:rPr>
                <w:rFonts w:ascii="Consolas" w:hAnsi="Consolas"/>
                <w:sz w:val="16"/>
              </w:rPr>
              <w:t>== RESUME from checkpoint ==</w:t>
            </w:r>
            <w:r>
              <w:rPr>
                <w:sz w:val="17"/>
              </w:rPr>
            </w:r>
          </w:p>
        </w:tc>
        <w:tc>
          <w:tcPr>
            <w:tcW w:type="dxa" w:w="6336"/>
          </w:tcPr>
          <w:p>
            <w:pPr>
              <w:spacing w:after="40"/>
            </w:pPr>
            <w:r/>
            <w:r>
              <w:rPr>
                <w:sz w:val="17"/>
              </w:rPr>
              <w:t>The normal steady state.</w:t>
            </w:r>
          </w:p>
        </w:tc>
      </w:tr>
      <w:tr>
        <w:tc>
          <w:tcPr>
            <w:tcW w:type="dxa" w:w="3312"/>
          </w:tcPr>
          <w:p>
            <w:pPr>
              <w:spacing w:after="40"/>
            </w:pPr>
            <w:r/>
            <w:r>
              <w:rPr>
                <w:sz w:val="17"/>
              </w:rPr>
            </w:r>
            <w:r>
              <w:rPr>
                <w:rFonts w:ascii="Consolas" w:hAnsi="Consolas"/>
                <w:sz w:val="16"/>
              </w:rPr>
              <w:t>init versions: {…}</w:t>
            </w:r>
            <w:r>
              <w:rPr>
                <w:sz w:val="17"/>
              </w:rPr>
            </w:r>
          </w:p>
        </w:tc>
        <w:tc>
          <w:tcPr>
            <w:tcW w:type="dxa" w:w="6336"/>
          </w:tcPr>
          <w:p>
            <w:pPr>
              <w:spacing w:after="40"/>
            </w:pPr>
            <w:r/>
            <w:r>
              <w:rPr>
                <w:sz w:val="17"/>
              </w:rPr>
              <w:t>The seed boundary. Anything committed after this is genuinely new.</w:t>
            </w:r>
          </w:p>
        </w:tc>
      </w:tr>
      <w:tr>
        <w:tc>
          <w:tcPr>
            <w:tcW w:type="dxa" w:w="3312"/>
          </w:tcPr>
          <w:p>
            <w:pPr>
              <w:spacing w:after="40"/>
            </w:pPr>
            <w:r/>
            <w:r>
              <w:rPr>
                <w:sz w:val="17"/>
              </w:rPr>
            </w:r>
            <w:r>
              <w:rPr>
                <w:rFonts w:ascii="Consolas" w:hAnsi="Consolas"/>
                <w:sz w:val="16"/>
              </w:rPr>
              <w:t>startingVersion=N init_ver=N</w:t>
            </w:r>
            <w:r>
              <w:rPr>
                <w:sz w:val="17"/>
              </w:rPr>
            </w:r>
          </w:p>
        </w:tc>
        <w:tc>
          <w:tcPr>
            <w:tcW w:type="dxa" w:w="6336"/>
          </w:tcPr>
          <w:p>
            <w:pPr>
              <w:spacing w:after="40"/>
            </w:pPr>
            <w:r/>
            <w:r>
              <w:rPr>
                <w:sz w:val="17"/>
              </w:rPr>
              <w:t>Healthy, when N &gt; 0 and the two agree.</w:t>
            </w:r>
          </w:p>
        </w:tc>
      </w:tr>
      <w:tr>
        <w:tc>
          <w:tcPr>
            <w:tcW w:type="dxa" w:w="3312"/>
          </w:tcPr>
          <w:p>
            <w:pPr>
              <w:spacing w:after="40"/>
            </w:pPr>
            <w:r/>
            <w:r>
              <w:rPr>
                <w:sz w:val="17"/>
              </w:rPr>
            </w:r>
            <w:r>
              <w:rPr>
                <w:rFonts w:ascii="Consolas" w:hAnsi="Consolas"/>
                <w:sz w:val="16"/>
              </w:rPr>
              <w:t>startingVersion=0</w:t>
            </w:r>
            <w:r>
              <w:rPr>
                <w:sz w:val="17"/>
              </w:rPr>
            </w:r>
          </w:p>
        </w:tc>
        <w:tc>
          <w:tcPr>
            <w:tcW w:type="dxa" w:w="6336"/>
          </w:tcPr>
          <w:p>
            <w:pPr>
              <w:spacing w:after="40"/>
            </w:pPr>
            <w:r/>
            <w:r>
              <w:rPr>
                <w:sz w:val="17"/>
              </w:rPr>
              <w:t>Trouble. Version 0 predates CDF; DELTA_MISSING_CHANGE_DATA is likely next.</w:t>
            </w:r>
          </w:p>
        </w:tc>
      </w:tr>
      <w:tr>
        <w:tc>
          <w:tcPr>
            <w:tcW w:type="dxa" w:w="3312"/>
          </w:tcPr>
          <w:p>
            <w:pPr>
              <w:spacing w:after="40"/>
            </w:pPr>
            <w:r/>
            <w:r>
              <w:rPr>
                <w:sz w:val="17"/>
              </w:rPr>
            </w:r>
            <w:r>
              <w:rPr>
                <w:rFonts w:ascii="Consolas" w:hAnsi="Consolas"/>
                <w:sz w:val="16"/>
              </w:rPr>
              <w:t>fact batch=&lt;id&gt; rows=&lt;n&gt;</w:t>
            </w:r>
            <w:r>
              <w:rPr>
                <w:sz w:val="17"/>
              </w:rPr>
            </w:r>
          </w:p>
        </w:tc>
        <w:tc>
          <w:tcPr>
            <w:tcW w:type="dxa" w:w="6336"/>
          </w:tcPr>
          <w:p>
            <w:pPr>
              <w:spacing w:after="40"/>
            </w:pPr>
            <w:r/>
            <w:r>
              <w:rPr>
                <w:sz w:val="17"/>
              </w:rPr>
              <w:t>A batch did work: n rows were rebuilt. Silence means nothing changed, which is normal.</w:t>
            </w:r>
          </w:p>
        </w:tc>
      </w:tr>
    </w:tbl>
    <w:p>
      <w:pPr>
        <w:spacing w:after="80"/>
      </w:pPr>
    </w:p>
    <w:p>
      <w:pPr>
        <w:pStyle w:val="Heading2"/>
      </w:pPr>
      <w:r>
        <w:t>5.6  Troubleshooting</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sz w:val="18"/>
              </w:rPr>
              <w:t>Symptom</w:t>
            </w:r>
          </w:p>
        </w:tc>
        <w:tc>
          <w:tcPr>
            <w:tcW w:type="dxa" w:w="6912"/>
          </w:tcPr>
          <w:p>
            <w:r/>
            <w:r>
              <w:rPr>
                <w:b/>
                <w:sz w:val="18"/>
              </w:rPr>
              <w:t>Likely cause and fix</w:t>
            </w:r>
          </w:p>
        </w:tc>
      </w:tr>
      <w:tr>
        <w:tc>
          <w:tcPr>
            <w:tcW w:type="dxa" w:w="2736"/>
          </w:tcPr>
          <w:p>
            <w:pPr>
              <w:spacing w:after="40"/>
            </w:pPr>
            <w:r/>
            <w:r>
              <w:rPr>
                <w:sz w:val="17"/>
              </w:rPr>
            </w:r>
            <w:r>
              <w:rPr>
                <w:rFonts w:ascii="Consolas" w:hAnsi="Consolas"/>
                <w:sz w:val="16"/>
              </w:rPr>
              <w:t>DELTA_TABLE_NOT_FOUND</w:t>
            </w:r>
            <w:r>
              <w:rPr>
                <w:sz w:val="17"/>
              </w:rPr>
            </w:r>
          </w:p>
        </w:tc>
        <w:tc>
          <w:tcPr>
            <w:tcW w:type="dxa" w:w="6912"/>
          </w:tcPr>
          <w:p>
            <w:pPr>
              <w:spacing w:after="40"/>
            </w:pPr>
            <w:r/>
            <w:r>
              <w:rPr>
                <w:sz w:val="17"/>
              </w:rPr>
              <w:t xml:space="preserve">The Silver table is not visible under </w:t>
            </w:r>
            <w:r>
              <w:rPr>
                <w:rFonts w:ascii="Consolas" w:hAnsi="Consolas"/>
                <w:sz w:val="16"/>
              </w:rPr>
              <w:t>lh_jde_silver.jde_cdc</w:t>
            </w:r>
            <w:r>
              <w:rPr>
                <w:sz w:val="17"/>
              </w:rPr>
              <w:t xml:space="preserve">. Check </w:t>
            </w:r>
            <w:r>
              <w:rPr>
                <w:rFonts w:ascii="Consolas" w:hAnsi="Consolas"/>
                <w:sz w:val="16"/>
              </w:rPr>
              <w:t>SRC_SCHEMA</w:t>
            </w:r>
            <w:r>
              <w:rPr>
                <w:sz w:val="17"/>
              </w:rPr>
              <w:t xml:space="preserve"> and that the table has been ingested. Note ESO1 deliberately reads from a different schema (</w:t>
            </w:r>
            <w:r>
              <w:rPr>
                <w:rFonts w:ascii="Consolas" w:hAnsi="Consolas"/>
                <w:sz w:val="16"/>
              </w:rPr>
              <w:t>cdf</w:t>
            </w:r>
            <w:r>
              <w:rPr>
                <w:sz w:val="17"/>
              </w:rPr>
              <w:t>) — do not 'align' ESO4 to match it, or vice versa.</w:t>
            </w:r>
          </w:p>
        </w:tc>
      </w:tr>
      <w:tr>
        <w:tc>
          <w:tcPr>
            <w:tcW w:type="dxa" w:w="2736"/>
          </w:tcPr>
          <w:p>
            <w:pPr>
              <w:spacing w:after="40"/>
            </w:pPr>
            <w:r/>
            <w:r>
              <w:rPr>
                <w:sz w:val="17"/>
              </w:rPr>
            </w:r>
            <w:r>
              <w:rPr>
                <w:rFonts w:ascii="Consolas" w:hAnsi="Consolas"/>
                <w:sz w:val="16"/>
              </w:rPr>
              <w:t>DELTA_MISSING_CHANGE_DATA</w:t>
            </w:r>
            <w:r>
              <w:rPr>
                <w:sz w:val="17"/>
              </w:rPr>
            </w:r>
          </w:p>
        </w:tc>
        <w:tc>
          <w:tcPr>
            <w:tcW w:type="dxa" w:w="6912"/>
          </w:tcPr>
          <w:p>
            <w:pPr>
              <w:spacing w:after="40"/>
            </w:pPr>
            <w:r/>
            <w:r>
              <w:rPr>
                <w:sz w:val="17"/>
              </w:rPr>
              <w:t xml:space="preserve">The stream is trying to read a version from before CDF was enabled. Enable CDF on the source, then do a full load so </w:t>
            </w:r>
            <w:r>
              <w:rPr>
                <w:rFonts w:ascii="Consolas" w:hAnsi="Consolas"/>
                <w:sz w:val="16"/>
              </w:rPr>
              <w:t>init_ver</w:t>
            </w:r>
            <w:r>
              <w:rPr>
                <w:sz w:val="17"/>
              </w:rPr>
              <w:t xml:space="preserve"> is re-established after enablement.</w:t>
            </w:r>
          </w:p>
        </w:tc>
      </w:tr>
      <w:tr>
        <w:tc>
          <w:tcPr>
            <w:tcW w:type="dxa" w:w="2736"/>
          </w:tcPr>
          <w:p>
            <w:pPr>
              <w:spacing w:after="40"/>
            </w:pPr>
            <w:r/>
            <w:r>
              <w:rPr>
                <w:sz w:val="17"/>
              </w:rPr>
              <w:t>A dimension is empty after a run</w:t>
            </w:r>
          </w:p>
        </w:tc>
        <w:tc>
          <w:tcPr>
            <w:tcW w:type="dxa" w:w="6912"/>
          </w:tcPr>
          <w:p>
            <w:pPr>
              <w:spacing w:after="40"/>
            </w:pPr>
            <w:r/>
            <w:r>
              <w:rPr>
                <w:sz w:val="17"/>
              </w:rPr>
              <w:t>For dim_sic or dim_state, suspect the INFERRED UDC selectors first (01/SC, 00/S). The code is probably fine and the selector wrong.</w:t>
            </w:r>
          </w:p>
        </w:tc>
      </w:tr>
      <w:tr>
        <w:tc>
          <w:tcPr>
            <w:tcW w:type="dxa" w:w="2736"/>
          </w:tcPr>
          <w:p>
            <w:pPr>
              <w:spacing w:after="40"/>
            </w:pPr>
            <w:r/>
            <w:r>
              <w:rPr>
                <w:sz w:val="17"/>
              </w:rPr>
              <w:t>Amounts are 100× too small</w:t>
            </w:r>
          </w:p>
        </w:tc>
        <w:tc>
          <w:tcPr>
            <w:tcW w:type="dxa" w:w="6912"/>
          </w:tcPr>
          <w:p>
            <w:pPr>
              <w:spacing w:after="40"/>
            </w:pPr>
            <w:r/>
            <w:r>
              <w:rPr>
                <w:sz w:val="17"/>
              </w:rPr>
            </w:r>
            <w:r>
              <w:rPr>
                <w:rFonts w:ascii="Consolas" w:hAnsi="Consolas"/>
                <w:sz w:val="16"/>
              </w:rPr>
              <w:t>SHIFT_FACTOR</w:t>
            </w:r>
            <w:r>
              <w:rPr>
                <w:sz w:val="17"/>
              </w:rPr>
              <w:t xml:space="preserve"> is being applied when Silver is already decoded. It should be 1.0. Check </w:t>
            </w:r>
            <w:r>
              <w:rPr>
                <w:rFonts w:ascii="Consolas" w:hAnsi="Consolas"/>
                <w:sz w:val="16"/>
              </w:rPr>
              <w:t>shift_factor_applied</w:t>
            </w:r>
            <w:r>
              <w:rPr>
                <w:sz w:val="17"/>
              </w:rPr>
              <w:t xml:space="preserve"> on the affected rows to see which assumption built them.</w:t>
            </w:r>
          </w:p>
        </w:tc>
      </w:tr>
      <w:tr>
        <w:tc>
          <w:tcPr>
            <w:tcW w:type="dxa" w:w="2736"/>
          </w:tcPr>
          <w:p>
            <w:pPr>
              <w:spacing w:after="40"/>
            </w:pPr>
            <w:r/>
            <w:r>
              <w:rPr>
                <w:sz w:val="17"/>
              </w:rPr>
              <w:t>Duplicate fact rows</w:t>
            </w:r>
          </w:p>
        </w:tc>
        <w:tc>
          <w:tcPr>
            <w:tcW w:type="dxa" w:w="6912"/>
          </w:tcPr>
          <w:p>
            <w:pPr>
              <w:spacing w:after="40"/>
            </w:pPr>
            <w:r/>
            <w:r>
              <w:rPr>
                <w:sz w:val="17"/>
              </w:rPr>
              <w:t xml:space="preserve">Something is fanning out — a lookup that lost its pre-collapse, or a dimension whose key stopped being unique. Check the two </w:t>
            </w:r>
            <w:r>
              <w:rPr>
                <w:rFonts w:ascii="Consolas" w:hAnsi="Consolas"/>
                <w:sz w:val="16"/>
              </w:rPr>
              <w:t>groupBy</w:t>
            </w:r>
            <w:r>
              <w:rPr>
                <w:sz w:val="17"/>
              </w:rPr>
              <w:t xml:space="preserve"> collapses in Part 2.6 first.</w:t>
            </w:r>
          </w:p>
        </w:tc>
      </w:tr>
      <w:tr>
        <w:tc>
          <w:tcPr>
            <w:tcW w:type="dxa" w:w="2736"/>
          </w:tcPr>
          <w:p>
            <w:pPr>
              <w:spacing w:after="40"/>
            </w:pPr>
            <w:r/>
            <w:r>
              <w:rPr>
                <w:sz w:val="17"/>
              </w:rPr>
              <w:t>Table wiped on every restart</w:t>
            </w:r>
          </w:p>
        </w:tc>
        <w:tc>
          <w:tcPr>
            <w:tcW w:type="dxa" w:w="6912"/>
          </w:tcPr>
          <w:p>
            <w:pPr>
              <w:spacing w:after="40"/>
            </w:pPr>
            <w:r/>
            <w:r>
              <w:rPr>
                <w:sz w:val="17"/>
              </w:rPr>
            </w:r>
            <w:r>
              <w:rPr>
                <w:rFonts w:ascii="Consolas" w:hAnsi="Consolas"/>
                <w:sz w:val="16"/>
              </w:rPr>
              <w:t>OVERWRITE</w:t>
            </w:r>
            <w:r>
              <w:rPr>
                <w:sz w:val="17"/>
              </w:rPr>
              <w:t xml:space="preserve"> was left at True.</w:t>
            </w:r>
          </w:p>
        </w:tc>
      </w:tr>
    </w:tbl>
    <w:p>
      <w:pPr>
        <w:spacing w:after="80"/>
      </w:pPr>
    </w:p>
    <w:p>
      <w:pPr>
        <w:pStyle w:val="Heading2"/>
      </w:pPr>
      <w:r>
        <w:t>5.7  Known open assumptions</w:t>
      </w:r>
    </w:p>
    <w:p>
      <w:r>
        <w:rPr>
          <w:b w:val="0"/>
          <w:i w:val="0"/>
          <w:sz w:val="21"/>
        </w:rPr>
        <w:t>These are recorded here because a new developer will meet them in the code and should know they are deliberate rather than oversights. All are flagged in the design doc.</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18"/>
              </w:rPr>
              <w:t>Assumption</w:t>
            </w:r>
          </w:p>
        </w:tc>
        <w:tc>
          <w:tcPr>
            <w:tcW w:type="dxa" w:w="2304"/>
          </w:tcPr>
          <w:p>
            <w:r/>
            <w:r>
              <w:rPr>
                <w:b/>
                <w:sz w:val="18"/>
              </w:rPr>
              <w:t>Where</w:t>
            </w:r>
          </w:p>
        </w:tc>
        <w:tc>
          <w:tcPr>
            <w:tcW w:type="dxa" w:w="3888"/>
          </w:tcPr>
          <w:p>
            <w:r/>
            <w:r>
              <w:rPr>
                <w:b/>
                <w:sz w:val="18"/>
              </w:rPr>
              <w:t>Status</w:t>
            </w:r>
          </w:p>
        </w:tc>
      </w:tr>
      <w:tr>
        <w:tc>
          <w:tcPr>
            <w:tcW w:type="dxa" w:w="3456"/>
          </w:tcPr>
          <w:p>
            <w:pPr>
              <w:spacing w:after="40"/>
            </w:pPr>
            <w:r/>
            <w:r>
              <w:rPr>
                <w:sz w:val="17"/>
              </w:rPr>
              <w:t>Avalara Code = concat(invoice, doc type, company)</w:t>
            </w:r>
          </w:p>
        </w:tc>
        <w:tc>
          <w:tcPr>
            <w:tcW w:type="dxa" w:w="2304"/>
          </w:tcPr>
          <w:p>
            <w:pPr>
              <w:spacing w:after="40"/>
            </w:pPr>
            <w:r/>
            <w:r>
              <w:rPr>
                <w:sz w:val="17"/>
              </w:rPr>
              <w:t>fact, lines 259–262</w:t>
            </w:r>
          </w:p>
        </w:tc>
        <w:tc>
          <w:tcPr>
            <w:tcW w:type="dxa" w:w="3888"/>
          </w:tcPr>
          <w:p>
            <w:pPr>
              <w:spacing w:after="40"/>
            </w:pPr>
            <w:r/>
            <w:r>
              <w:rPr>
                <w:sz w:val="17"/>
              </w:rPr>
              <w:t>INFERRED from the Hubble expression; requirements §7 never defines it.</w:t>
            </w:r>
          </w:p>
        </w:tc>
      </w:tr>
      <w:tr>
        <w:tc>
          <w:tcPr>
            <w:tcW w:type="dxa" w:w="3456"/>
          </w:tcPr>
          <w:p>
            <w:pPr>
              <w:spacing w:after="40"/>
            </w:pPr>
            <w:r/>
            <w:r>
              <w:rPr>
                <w:sz w:val="17"/>
              </w:rPr>
              <w:t>UDC selectors 01/SC and 00/S</w:t>
            </w:r>
          </w:p>
        </w:tc>
        <w:tc>
          <w:tcPr>
            <w:tcW w:type="dxa" w:w="2304"/>
          </w:tcPr>
          <w:p>
            <w:pPr>
              <w:spacing w:after="40"/>
            </w:pPr>
            <w:r/>
            <w:r>
              <w:rPr>
                <w:sz w:val="17"/>
              </w:rPr>
              <w:t>dim_udc, lines 46–47</w:t>
            </w:r>
          </w:p>
        </w:tc>
        <w:tc>
          <w:tcPr>
            <w:tcW w:type="dxa" w:w="3888"/>
          </w:tcPr>
          <w:p>
            <w:pPr>
              <w:spacing w:after="40"/>
            </w:pPr>
            <w:r/>
            <w:r>
              <w:rPr>
                <w:sz w:val="17"/>
              </w:rPr>
              <w:t>INFERRED; the Hubble query never joins F0005, so there is no legacy source to copy.</w:t>
            </w:r>
          </w:p>
        </w:tc>
      </w:tr>
      <w:tr>
        <w:tc>
          <w:tcPr>
            <w:tcW w:type="dxa" w:w="3456"/>
          </w:tcPr>
          <w:p>
            <w:pPr>
              <w:spacing w:after="40"/>
            </w:pPr>
            <w:r/>
            <w:r>
              <w:rPr>
                <w:sz w:val="17"/>
              </w:rPr>
              <w:t>SHIFT_FACTOR = 1.0</w:t>
            </w:r>
          </w:p>
        </w:tc>
        <w:tc>
          <w:tcPr>
            <w:tcW w:type="dxa" w:w="2304"/>
          </w:tcPr>
          <w:p>
            <w:pPr>
              <w:spacing w:after="40"/>
            </w:pPr>
            <w:r/>
            <w:r>
              <w:rPr>
                <w:sz w:val="17"/>
              </w:rPr>
              <w:t>fact, line 79</w:t>
            </w:r>
          </w:p>
        </w:tc>
        <w:tc>
          <w:tcPr>
            <w:tcW w:type="dxa" w:w="3888"/>
          </w:tcPr>
          <w:p>
            <w:pPr>
              <w:spacing w:after="40"/>
            </w:pPr>
            <w:r/>
            <w:r>
              <w:rPr>
                <w:sz w:val="17"/>
              </w:rPr>
              <w:t>Correct if and only if Silver is fully decoded. Carried on the fact for lineage.</w:t>
            </w:r>
          </w:p>
        </w:tc>
      </w:tr>
      <w:tr>
        <w:tc>
          <w:tcPr>
            <w:tcW w:type="dxa" w:w="3456"/>
          </w:tcPr>
          <w:p>
            <w:pPr>
              <w:spacing w:after="40"/>
            </w:pPr>
            <w:r/>
            <w:r>
              <w:rPr>
                <w:sz w:val="17"/>
              </w:rPr>
              <w:t>Ship-to / sold-to naming</w:t>
            </w:r>
          </w:p>
        </w:tc>
        <w:tc>
          <w:tcPr>
            <w:tcW w:type="dxa" w:w="2304"/>
          </w:tcPr>
          <w:p>
            <w:pPr>
              <w:spacing w:after="40"/>
            </w:pPr>
            <w:r/>
            <w:r>
              <w:rPr>
                <w:sz w:val="17"/>
              </w:rPr>
              <w:t>fact, lines 277–278</w:t>
            </w:r>
          </w:p>
        </w:tc>
        <w:tc>
          <w:tcPr>
            <w:tcW w:type="dxa" w:w="3888"/>
          </w:tcPr>
          <w:p>
            <w:pPr>
              <w:spacing w:after="40"/>
            </w:pPr>
            <w:r/>
            <w:r>
              <w:rPr>
                <w:sz w:val="17"/>
              </w:rPr>
              <w:t>SDAN8 → sold_to, SDSHAN → ship_to. This flips the labels used in the requirements document; the docs were aligned to the code deliberately.</w:t>
            </w:r>
          </w:p>
        </w:tc>
      </w:tr>
      <w:tr>
        <w:tc>
          <w:tcPr>
            <w:tcW w:type="dxa" w:w="3456"/>
          </w:tcPr>
          <w:p>
            <w:pPr>
              <w:spacing w:after="40"/>
            </w:pPr>
            <w:r/>
            <w:r>
              <w:rPr>
                <w:sz w:val="17"/>
              </w:rPr>
              <w:t>Business Stream null when MCRP20 is null</w:t>
            </w:r>
          </w:p>
        </w:tc>
        <w:tc>
          <w:tcPr>
            <w:tcW w:type="dxa" w:w="2304"/>
          </w:tcPr>
          <w:p>
            <w:pPr>
              <w:spacing w:after="40"/>
            </w:pPr>
            <w:r/>
            <w:r>
              <w:rPr>
                <w:sz w:val="17"/>
              </w:rPr>
              <w:t>fact, lines 247–251</w:t>
            </w:r>
          </w:p>
        </w:tc>
        <w:tc>
          <w:tcPr>
            <w:tcW w:type="dxa" w:w="3888"/>
          </w:tcPr>
          <w:p>
            <w:pPr>
              <w:spacing w:after="40"/>
            </w:pPr>
            <w:r/>
            <w:r>
              <w:rPr>
                <w:sz w:val="17"/>
              </w:rPr>
              <w:t>Faithful to Hubble's CASE, which also had no ELSE. Intentional legacy match.</w:t>
            </w:r>
          </w:p>
        </w:tc>
      </w:tr>
    </w:tbl>
    <w:p>
      <w:pPr>
        <w:spacing w:after="80"/>
      </w:pPr>
    </w:p>
    <w:p>
      <w:r>
        <w:br w:type="page"/>
      </w:r>
    </w:p>
    <w:p>
      <w:pPr>
        <w:pStyle w:val="Heading1"/>
      </w:pPr>
      <w:r>
        <w:t>Part 6 — Glossary</w:t>
      </w:r>
    </w:p>
    <w:p>
      <w:pPr>
        <w:pStyle w:val="Heading2"/>
      </w:pPr>
      <w:r>
        <w:t>6.1  JDE column aliases used in ESO4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r/>
            <w:r>
              <w:rPr>
                <w:b/>
                <w:sz w:val="18"/>
              </w:rPr>
              <w:t>Alias</w:t>
            </w:r>
          </w:p>
        </w:tc>
        <w:tc>
          <w:tcPr>
            <w:tcW w:type="dxa" w:w="1008"/>
          </w:tcPr>
          <w:p>
            <w:r/>
            <w:r>
              <w:rPr>
                <w:b/>
                <w:sz w:val="18"/>
              </w:rPr>
              <w:t>Table</w:t>
            </w:r>
          </w:p>
        </w:tc>
        <w:tc>
          <w:tcPr>
            <w:tcW w:type="dxa" w:w="3456"/>
          </w:tcPr>
          <w:p>
            <w:r/>
            <w:r>
              <w:rPr>
                <w:b/>
                <w:sz w:val="18"/>
              </w:rPr>
              <w:t>Silver column</w:t>
            </w:r>
          </w:p>
        </w:tc>
        <w:tc>
          <w:tcPr>
            <w:tcW w:type="dxa" w:w="3312"/>
          </w:tcPr>
          <w:p>
            <w:r/>
            <w:r>
              <w:rPr>
                <w:b/>
                <w:sz w:val="18"/>
              </w:rPr>
              <w:t>Meaning</w:t>
            </w:r>
          </w:p>
        </w:tc>
      </w:tr>
      <w:tr>
        <w:tc>
          <w:tcPr>
            <w:tcW w:type="dxa" w:w="1872"/>
          </w:tcPr>
          <w:p>
            <w:pPr>
              <w:spacing w:after="40"/>
            </w:pPr>
            <w:r/>
            <w:r>
              <w:rPr>
                <w:sz w:val="17"/>
              </w:rPr>
              <w:t>SDKCO</w:t>
            </w:r>
          </w:p>
        </w:tc>
        <w:tc>
          <w:tcPr>
            <w:tcW w:type="dxa" w:w="1008"/>
          </w:tcPr>
          <w:p>
            <w:pPr>
              <w:spacing w:after="40"/>
            </w:pPr>
            <w:r/>
            <w:r>
              <w:rPr>
                <w:sz w:val="17"/>
              </w:rPr>
              <w:t>F4211</w:t>
            </w:r>
          </w:p>
        </w:tc>
        <w:tc>
          <w:tcPr>
            <w:tcW w:type="dxa" w:w="3456"/>
          </w:tcPr>
          <w:p>
            <w:pPr>
              <w:spacing w:after="40"/>
            </w:pPr>
            <w:r/>
            <w:r>
              <w:rPr>
                <w:sz w:val="17"/>
              </w:rPr>
            </w:r>
            <w:r>
              <w:rPr>
                <w:rFonts w:ascii="Consolas" w:hAnsi="Consolas"/>
                <w:sz w:val="16"/>
              </w:rPr>
              <w:t>company_key</w:t>
            </w:r>
            <w:r>
              <w:rPr>
                <w:sz w:val="17"/>
              </w:rPr>
            </w:r>
          </w:p>
        </w:tc>
        <w:tc>
          <w:tcPr>
            <w:tcW w:type="dxa" w:w="3312"/>
          </w:tcPr>
          <w:p>
            <w:pPr>
              <w:spacing w:after="40"/>
            </w:pPr>
            <w:r/>
            <w:r>
              <w:rPr>
                <w:sz w:val="17"/>
              </w:rPr>
              <w:t>Document company</w:t>
            </w:r>
          </w:p>
        </w:tc>
      </w:tr>
      <w:tr>
        <w:tc>
          <w:tcPr>
            <w:tcW w:type="dxa" w:w="1872"/>
          </w:tcPr>
          <w:p>
            <w:pPr>
              <w:spacing w:after="40"/>
            </w:pPr>
            <w:r/>
            <w:r>
              <w:rPr>
                <w:sz w:val="17"/>
              </w:rPr>
              <w:t>SDDOC</w:t>
            </w:r>
          </w:p>
        </w:tc>
        <w:tc>
          <w:tcPr>
            <w:tcW w:type="dxa" w:w="1008"/>
          </w:tcPr>
          <w:p>
            <w:pPr>
              <w:spacing w:after="40"/>
            </w:pPr>
            <w:r/>
            <w:r>
              <w:rPr>
                <w:sz w:val="17"/>
              </w:rPr>
              <w:t>F4211</w:t>
            </w:r>
          </w:p>
        </w:tc>
        <w:tc>
          <w:tcPr>
            <w:tcW w:type="dxa" w:w="3456"/>
          </w:tcPr>
          <w:p>
            <w:pPr>
              <w:spacing w:after="40"/>
            </w:pPr>
            <w:r/>
            <w:r>
              <w:rPr>
                <w:sz w:val="17"/>
              </w:rPr>
            </w:r>
            <w:r>
              <w:rPr>
                <w:rFonts w:ascii="Consolas" w:hAnsi="Consolas"/>
                <w:sz w:val="16"/>
              </w:rPr>
              <w:t>doc_voucher_invoice_e</w:t>
            </w:r>
            <w:r>
              <w:rPr>
                <w:sz w:val="17"/>
              </w:rPr>
            </w:r>
          </w:p>
        </w:tc>
        <w:tc>
          <w:tcPr>
            <w:tcW w:type="dxa" w:w="3312"/>
          </w:tcPr>
          <w:p>
            <w:pPr>
              <w:spacing w:after="40"/>
            </w:pPr>
            <w:r/>
            <w:r>
              <w:rPr>
                <w:sz w:val="17"/>
              </w:rPr>
              <w:t>Invoice number</w:t>
            </w:r>
          </w:p>
        </w:tc>
      </w:tr>
      <w:tr>
        <w:tc>
          <w:tcPr>
            <w:tcW w:type="dxa" w:w="1872"/>
          </w:tcPr>
          <w:p>
            <w:pPr>
              <w:spacing w:after="40"/>
            </w:pPr>
            <w:r/>
            <w:r>
              <w:rPr>
                <w:sz w:val="17"/>
              </w:rPr>
              <w:t>SDDCT</w:t>
            </w:r>
          </w:p>
        </w:tc>
        <w:tc>
          <w:tcPr>
            <w:tcW w:type="dxa" w:w="1008"/>
          </w:tcPr>
          <w:p>
            <w:pPr>
              <w:spacing w:after="40"/>
            </w:pPr>
            <w:r/>
            <w:r>
              <w:rPr>
                <w:sz w:val="17"/>
              </w:rPr>
              <w:t>F4211</w:t>
            </w:r>
          </w:p>
        </w:tc>
        <w:tc>
          <w:tcPr>
            <w:tcW w:type="dxa" w:w="3456"/>
          </w:tcPr>
          <w:p>
            <w:pPr>
              <w:spacing w:after="40"/>
            </w:pPr>
            <w:r/>
            <w:r>
              <w:rPr>
                <w:sz w:val="17"/>
              </w:rPr>
            </w:r>
            <w:r>
              <w:rPr>
                <w:rFonts w:ascii="Consolas" w:hAnsi="Consolas"/>
                <w:sz w:val="16"/>
              </w:rPr>
              <w:t>document_type</w:t>
            </w:r>
            <w:r>
              <w:rPr>
                <w:sz w:val="17"/>
              </w:rPr>
            </w:r>
          </w:p>
        </w:tc>
        <w:tc>
          <w:tcPr>
            <w:tcW w:type="dxa" w:w="3312"/>
          </w:tcPr>
          <w:p>
            <w:pPr>
              <w:spacing w:after="40"/>
            </w:pPr>
            <w:r/>
            <w:r>
              <w:rPr>
                <w:sz w:val="17"/>
              </w:rPr>
              <w:t>Document type</w:t>
            </w:r>
          </w:p>
        </w:tc>
      </w:tr>
      <w:tr>
        <w:tc>
          <w:tcPr>
            <w:tcW w:type="dxa" w:w="1872"/>
          </w:tcPr>
          <w:p>
            <w:pPr>
              <w:spacing w:after="40"/>
            </w:pPr>
            <w:r/>
            <w:r>
              <w:rPr>
                <w:sz w:val="17"/>
              </w:rPr>
              <w:t>SDDOCO</w:t>
            </w:r>
          </w:p>
        </w:tc>
        <w:tc>
          <w:tcPr>
            <w:tcW w:type="dxa" w:w="1008"/>
          </w:tcPr>
          <w:p>
            <w:pPr>
              <w:spacing w:after="40"/>
            </w:pPr>
            <w:r/>
            <w:r>
              <w:rPr>
                <w:sz w:val="17"/>
              </w:rPr>
              <w:t>F4211</w:t>
            </w:r>
          </w:p>
        </w:tc>
        <w:tc>
          <w:tcPr>
            <w:tcW w:type="dxa" w:w="3456"/>
          </w:tcPr>
          <w:p>
            <w:pPr>
              <w:spacing w:after="40"/>
            </w:pPr>
            <w:r/>
            <w:r>
              <w:rPr>
                <w:sz w:val="17"/>
              </w:rPr>
            </w:r>
            <w:r>
              <w:rPr>
                <w:rFonts w:ascii="Consolas" w:hAnsi="Consolas"/>
                <w:sz w:val="16"/>
              </w:rPr>
              <w:t>document_order_invoice_e</w:t>
            </w:r>
            <w:r>
              <w:rPr>
                <w:sz w:val="17"/>
              </w:rPr>
            </w:r>
          </w:p>
        </w:tc>
        <w:tc>
          <w:tcPr>
            <w:tcW w:type="dxa" w:w="3312"/>
          </w:tcPr>
          <w:p>
            <w:pPr>
              <w:spacing w:after="40"/>
            </w:pPr>
            <w:r/>
            <w:r>
              <w:rPr>
                <w:sz w:val="17"/>
              </w:rPr>
              <w:t>Order number</w:t>
            </w:r>
          </w:p>
        </w:tc>
      </w:tr>
      <w:tr>
        <w:tc>
          <w:tcPr>
            <w:tcW w:type="dxa" w:w="1872"/>
          </w:tcPr>
          <w:p>
            <w:pPr>
              <w:spacing w:after="40"/>
            </w:pPr>
            <w:r/>
            <w:r>
              <w:rPr>
                <w:sz w:val="17"/>
              </w:rPr>
              <w:t>SDDCTO</w:t>
            </w:r>
          </w:p>
        </w:tc>
        <w:tc>
          <w:tcPr>
            <w:tcW w:type="dxa" w:w="1008"/>
          </w:tcPr>
          <w:p>
            <w:pPr>
              <w:spacing w:after="40"/>
            </w:pPr>
            <w:r/>
            <w:r>
              <w:rPr>
                <w:sz w:val="17"/>
              </w:rPr>
              <w:t>F4211</w:t>
            </w:r>
          </w:p>
        </w:tc>
        <w:tc>
          <w:tcPr>
            <w:tcW w:type="dxa" w:w="3456"/>
          </w:tcPr>
          <w:p>
            <w:pPr>
              <w:spacing w:after="40"/>
            </w:pPr>
            <w:r/>
            <w:r>
              <w:rPr>
                <w:sz w:val="17"/>
              </w:rPr>
            </w:r>
            <w:r>
              <w:rPr>
                <w:rFonts w:ascii="Consolas" w:hAnsi="Consolas"/>
                <w:sz w:val="16"/>
              </w:rPr>
              <w:t>order_type</w:t>
            </w:r>
            <w:r>
              <w:rPr>
                <w:sz w:val="17"/>
              </w:rPr>
            </w:r>
          </w:p>
        </w:tc>
        <w:tc>
          <w:tcPr>
            <w:tcW w:type="dxa" w:w="3312"/>
          </w:tcPr>
          <w:p>
            <w:pPr>
              <w:spacing w:after="40"/>
            </w:pPr>
            <w:r/>
            <w:r>
              <w:rPr>
                <w:sz w:val="17"/>
              </w:rPr>
              <w:t>Order type</w:t>
            </w:r>
          </w:p>
        </w:tc>
      </w:tr>
      <w:tr>
        <w:tc>
          <w:tcPr>
            <w:tcW w:type="dxa" w:w="1872"/>
          </w:tcPr>
          <w:p>
            <w:pPr>
              <w:spacing w:after="40"/>
            </w:pPr>
            <w:r/>
            <w:r>
              <w:rPr>
                <w:sz w:val="17"/>
              </w:rPr>
              <w:t>SDLNID</w:t>
            </w:r>
          </w:p>
        </w:tc>
        <w:tc>
          <w:tcPr>
            <w:tcW w:type="dxa" w:w="1008"/>
          </w:tcPr>
          <w:p>
            <w:pPr>
              <w:spacing w:after="40"/>
            </w:pPr>
            <w:r/>
            <w:r>
              <w:rPr>
                <w:sz w:val="17"/>
              </w:rPr>
              <w:t>F4211</w:t>
            </w:r>
          </w:p>
        </w:tc>
        <w:tc>
          <w:tcPr>
            <w:tcW w:type="dxa" w:w="3456"/>
          </w:tcPr>
          <w:p>
            <w:pPr>
              <w:spacing w:after="40"/>
            </w:pPr>
            <w:r/>
            <w:r>
              <w:rPr>
                <w:sz w:val="17"/>
              </w:rPr>
            </w:r>
            <w:r>
              <w:rPr>
                <w:rFonts w:ascii="Consolas" w:hAnsi="Consolas"/>
                <w:sz w:val="16"/>
              </w:rPr>
              <w:t>line_number</w:t>
            </w:r>
            <w:r>
              <w:rPr>
                <w:sz w:val="17"/>
              </w:rPr>
            </w:r>
          </w:p>
        </w:tc>
        <w:tc>
          <w:tcPr>
            <w:tcW w:type="dxa" w:w="3312"/>
          </w:tcPr>
          <w:p>
            <w:pPr>
              <w:spacing w:after="40"/>
            </w:pPr>
            <w:r/>
            <w:r>
              <w:rPr>
                <w:sz w:val="17"/>
              </w:rPr>
              <w:t>Order line number</w:t>
            </w:r>
          </w:p>
        </w:tc>
      </w:tr>
      <w:tr>
        <w:tc>
          <w:tcPr>
            <w:tcW w:type="dxa" w:w="1872"/>
          </w:tcPr>
          <w:p>
            <w:pPr>
              <w:spacing w:after="40"/>
            </w:pPr>
            <w:r/>
            <w:r>
              <w:rPr>
                <w:sz w:val="17"/>
              </w:rPr>
              <w:t>SDMCU</w:t>
            </w:r>
          </w:p>
        </w:tc>
        <w:tc>
          <w:tcPr>
            <w:tcW w:type="dxa" w:w="1008"/>
          </w:tcPr>
          <w:p>
            <w:pPr>
              <w:spacing w:after="40"/>
            </w:pPr>
            <w:r/>
            <w:r>
              <w:rPr>
                <w:sz w:val="17"/>
              </w:rPr>
              <w:t>F4211</w:t>
            </w:r>
          </w:p>
        </w:tc>
        <w:tc>
          <w:tcPr>
            <w:tcW w:type="dxa" w:w="3456"/>
          </w:tcPr>
          <w:p>
            <w:pPr>
              <w:spacing w:after="40"/>
            </w:pPr>
            <w:r/>
            <w:r>
              <w:rPr>
                <w:sz w:val="17"/>
              </w:rPr>
            </w:r>
            <w:r>
              <w:rPr>
                <w:rFonts w:ascii="Consolas" w:hAnsi="Consolas"/>
                <w:sz w:val="16"/>
              </w:rPr>
              <w:t>cost_center</w:t>
            </w:r>
            <w:r>
              <w:rPr>
                <w:sz w:val="17"/>
              </w:rPr>
            </w:r>
          </w:p>
        </w:tc>
        <w:tc>
          <w:tcPr>
            <w:tcW w:type="dxa" w:w="3312"/>
          </w:tcPr>
          <w:p>
            <w:pPr>
              <w:spacing w:after="40"/>
            </w:pPr>
            <w:r/>
            <w:r>
              <w:rPr>
                <w:sz w:val="17"/>
              </w:rPr>
              <w:t>Plant / business unit</w:t>
            </w:r>
          </w:p>
        </w:tc>
      </w:tr>
      <w:tr>
        <w:tc>
          <w:tcPr>
            <w:tcW w:type="dxa" w:w="1872"/>
          </w:tcPr>
          <w:p>
            <w:pPr>
              <w:spacing w:after="40"/>
            </w:pPr>
            <w:r/>
            <w:r>
              <w:rPr>
                <w:sz w:val="17"/>
              </w:rPr>
              <w:t>SDAN8</w:t>
            </w:r>
          </w:p>
        </w:tc>
        <w:tc>
          <w:tcPr>
            <w:tcW w:type="dxa" w:w="1008"/>
          </w:tcPr>
          <w:p>
            <w:pPr>
              <w:spacing w:after="40"/>
            </w:pPr>
            <w:r/>
            <w:r>
              <w:rPr>
                <w:sz w:val="17"/>
              </w:rPr>
              <w:t>F4211</w:t>
            </w:r>
          </w:p>
        </w:tc>
        <w:tc>
          <w:tcPr>
            <w:tcW w:type="dxa" w:w="3456"/>
          </w:tcPr>
          <w:p>
            <w:pPr>
              <w:spacing w:after="40"/>
            </w:pPr>
            <w:r/>
            <w:r>
              <w:rPr>
                <w:sz w:val="17"/>
              </w:rPr>
            </w:r>
            <w:r>
              <w:rPr>
                <w:rFonts w:ascii="Consolas" w:hAnsi="Consolas"/>
                <w:sz w:val="16"/>
              </w:rPr>
              <w:t>address_number</w:t>
            </w:r>
            <w:r>
              <w:rPr>
                <w:sz w:val="17"/>
              </w:rPr>
            </w:r>
          </w:p>
        </w:tc>
        <w:tc>
          <w:tcPr>
            <w:tcW w:type="dxa" w:w="3312"/>
          </w:tcPr>
          <w:p>
            <w:pPr>
              <w:spacing w:after="40"/>
            </w:pPr>
            <w:r/>
            <w:r>
              <w:rPr>
                <w:sz w:val="17"/>
              </w:rPr>
              <w:t>Sold-to address number</w:t>
            </w:r>
          </w:p>
        </w:tc>
      </w:tr>
      <w:tr>
        <w:tc>
          <w:tcPr>
            <w:tcW w:type="dxa" w:w="1872"/>
          </w:tcPr>
          <w:p>
            <w:pPr>
              <w:spacing w:after="40"/>
            </w:pPr>
            <w:r/>
            <w:r>
              <w:rPr>
                <w:sz w:val="17"/>
              </w:rPr>
              <w:t>SDSHAN</w:t>
            </w:r>
          </w:p>
        </w:tc>
        <w:tc>
          <w:tcPr>
            <w:tcW w:type="dxa" w:w="1008"/>
          </w:tcPr>
          <w:p>
            <w:pPr>
              <w:spacing w:after="40"/>
            </w:pPr>
            <w:r/>
            <w:r>
              <w:rPr>
                <w:sz w:val="17"/>
              </w:rPr>
              <w:t>F4211</w:t>
            </w:r>
          </w:p>
        </w:tc>
        <w:tc>
          <w:tcPr>
            <w:tcW w:type="dxa" w:w="3456"/>
          </w:tcPr>
          <w:p>
            <w:pPr>
              <w:spacing w:after="40"/>
            </w:pPr>
            <w:r/>
            <w:r>
              <w:rPr>
                <w:sz w:val="17"/>
              </w:rPr>
            </w:r>
            <w:r>
              <w:rPr>
                <w:rFonts w:ascii="Consolas" w:hAnsi="Consolas"/>
                <w:sz w:val="16"/>
              </w:rPr>
              <w:t>address_number_ship_to</w:t>
            </w:r>
            <w:r>
              <w:rPr>
                <w:sz w:val="17"/>
              </w:rPr>
            </w:r>
          </w:p>
        </w:tc>
        <w:tc>
          <w:tcPr>
            <w:tcW w:type="dxa" w:w="3312"/>
          </w:tcPr>
          <w:p>
            <w:pPr>
              <w:spacing w:after="40"/>
            </w:pPr>
            <w:r/>
            <w:r>
              <w:rPr>
                <w:sz w:val="17"/>
              </w:rPr>
              <w:t>Ship-to address number</w:t>
            </w:r>
          </w:p>
        </w:tc>
      </w:tr>
      <w:tr>
        <w:tc>
          <w:tcPr>
            <w:tcW w:type="dxa" w:w="1872"/>
          </w:tcPr>
          <w:p>
            <w:pPr>
              <w:spacing w:after="40"/>
            </w:pPr>
            <w:r/>
            <w:r>
              <w:rPr>
                <w:sz w:val="17"/>
              </w:rPr>
              <w:t>SDPA8</w:t>
            </w:r>
          </w:p>
        </w:tc>
        <w:tc>
          <w:tcPr>
            <w:tcW w:type="dxa" w:w="1008"/>
          </w:tcPr>
          <w:p>
            <w:pPr>
              <w:spacing w:after="40"/>
            </w:pPr>
            <w:r/>
            <w:r>
              <w:rPr>
                <w:sz w:val="17"/>
              </w:rPr>
              <w:t>F4211</w:t>
            </w:r>
          </w:p>
        </w:tc>
        <w:tc>
          <w:tcPr>
            <w:tcW w:type="dxa" w:w="3456"/>
          </w:tcPr>
          <w:p>
            <w:pPr>
              <w:spacing w:after="40"/>
            </w:pPr>
            <w:r/>
            <w:r>
              <w:rPr>
                <w:sz w:val="17"/>
              </w:rPr>
            </w:r>
            <w:r>
              <w:rPr>
                <w:rFonts w:ascii="Consolas" w:hAnsi="Consolas"/>
                <w:sz w:val="16"/>
              </w:rPr>
              <w:t>address_number_parent</w:t>
            </w:r>
            <w:r>
              <w:rPr>
                <w:sz w:val="17"/>
              </w:rPr>
            </w:r>
          </w:p>
        </w:tc>
        <w:tc>
          <w:tcPr>
            <w:tcW w:type="dxa" w:w="3312"/>
          </w:tcPr>
          <w:p>
            <w:pPr>
              <w:spacing w:after="40"/>
            </w:pPr>
            <w:r/>
            <w:r>
              <w:rPr>
                <w:sz w:val="17"/>
              </w:rPr>
              <w:t>Parent address number</w:t>
            </w:r>
          </w:p>
        </w:tc>
      </w:tr>
      <w:tr>
        <w:tc>
          <w:tcPr>
            <w:tcW w:type="dxa" w:w="1872"/>
          </w:tcPr>
          <w:p>
            <w:pPr>
              <w:spacing w:after="40"/>
            </w:pPr>
            <w:r/>
            <w:r>
              <w:rPr>
                <w:sz w:val="17"/>
              </w:rPr>
              <w:t>SDEXR1</w:t>
            </w:r>
          </w:p>
        </w:tc>
        <w:tc>
          <w:tcPr>
            <w:tcW w:type="dxa" w:w="1008"/>
          </w:tcPr>
          <w:p>
            <w:pPr>
              <w:spacing w:after="40"/>
            </w:pPr>
            <w:r/>
            <w:r>
              <w:rPr>
                <w:sz w:val="17"/>
              </w:rPr>
              <w:t>F4211</w:t>
            </w:r>
          </w:p>
        </w:tc>
        <w:tc>
          <w:tcPr>
            <w:tcW w:type="dxa" w:w="3456"/>
          </w:tcPr>
          <w:p>
            <w:pPr>
              <w:spacing w:after="40"/>
            </w:pPr>
            <w:r/>
            <w:r>
              <w:rPr>
                <w:sz w:val="17"/>
              </w:rPr>
            </w:r>
            <w:r>
              <w:rPr>
                <w:rFonts w:ascii="Consolas" w:hAnsi="Consolas"/>
                <w:sz w:val="16"/>
              </w:rPr>
              <w:t>tax_explanation_code_01</w:t>
            </w:r>
            <w:r>
              <w:rPr>
                <w:sz w:val="17"/>
              </w:rPr>
            </w:r>
          </w:p>
        </w:tc>
        <w:tc>
          <w:tcPr>
            <w:tcW w:type="dxa" w:w="3312"/>
          </w:tcPr>
          <w:p>
            <w:pPr>
              <w:spacing w:after="40"/>
            </w:pPr>
            <w:r/>
            <w:r>
              <w:rPr>
                <w:sz w:val="17"/>
              </w:rPr>
              <w:t>Tax explanation code</w:t>
            </w:r>
          </w:p>
        </w:tc>
      </w:tr>
      <w:tr>
        <w:tc>
          <w:tcPr>
            <w:tcW w:type="dxa" w:w="1872"/>
          </w:tcPr>
          <w:p>
            <w:pPr>
              <w:spacing w:after="40"/>
            </w:pPr>
            <w:r/>
            <w:r>
              <w:rPr>
                <w:sz w:val="17"/>
              </w:rPr>
              <w:t>SDDGL</w:t>
            </w:r>
          </w:p>
        </w:tc>
        <w:tc>
          <w:tcPr>
            <w:tcW w:type="dxa" w:w="1008"/>
          </w:tcPr>
          <w:p>
            <w:pPr>
              <w:spacing w:after="40"/>
            </w:pPr>
            <w:r/>
            <w:r>
              <w:rPr>
                <w:sz w:val="17"/>
              </w:rPr>
              <w:t>F4211</w:t>
            </w:r>
          </w:p>
        </w:tc>
        <w:tc>
          <w:tcPr>
            <w:tcW w:type="dxa" w:w="3456"/>
          </w:tcPr>
          <w:p>
            <w:pPr>
              <w:spacing w:after="40"/>
            </w:pPr>
            <w:r/>
            <w:r>
              <w:rPr>
                <w:sz w:val="17"/>
              </w:rPr>
            </w:r>
            <w:r>
              <w:rPr>
                <w:rFonts w:ascii="Consolas" w:hAnsi="Consolas"/>
                <w:sz w:val="16"/>
              </w:rPr>
              <w:t>dt_for_gl_and_vouch_01</w:t>
            </w:r>
            <w:r>
              <w:rPr>
                <w:sz w:val="17"/>
              </w:rPr>
            </w:r>
          </w:p>
        </w:tc>
        <w:tc>
          <w:tcPr>
            <w:tcW w:type="dxa" w:w="3312"/>
          </w:tcPr>
          <w:p>
            <w:pPr>
              <w:spacing w:after="40"/>
            </w:pPr>
            <w:r/>
            <w:r>
              <w:rPr>
                <w:sz w:val="17"/>
              </w:rPr>
              <w:t>GL date</w:t>
            </w:r>
          </w:p>
        </w:tc>
      </w:tr>
      <w:tr>
        <w:tc>
          <w:tcPr>
            <w:tcW w:type="dxa" w:w="1872"/>
          </w:tcPr>
          <w:p>
            <w:pPr>
              <w:spacing w:after="40"/>
            </w:pPr>
            <w:r/>
            <w:r>
              <w:rPr>
                <w:sz w:val="17"/>
              </w:rPr>
              <w:t>RPODOC/RPODCT/RPOKCO</w:t>
            </w:r>
          </w:p>
        </w:tc>
        <w:tc>
          <w:tcPr>
            <w:tcW w:type="dxa" w:w="1008"/>
          </w:tcPr>
          <w:p>
            <w:pPr>
              <w:spacing w:after="40"/>
            </w:pPr>
            <w:r/>
            <w:r>
              <w:rPr>
                <w:sz w:val="17"/>
              </w:rPr>
              <w:t>F03B11</w:t>
            </w:r>
          </w:p>
        </w:tc>
        <w:tc>
          <w:tcPr>
            <w:tcW w:type="dxa" w:w="3456"/>
          </w:tcPr>
          <w:p>
            <w:pPr>
              <w:spacing w:after="40"/>
            </w:pPr>
            <w:r/>
            <w:r>
              <w:rPr>
                <w:sz w:val="17"/>
              </w:rPr>
            </w:r>
            <w:r>
              <w:rPr>
                <w:rFonts w:ascii="Consolas" w:hAnsi="Consolas"/>
                <w:sz w:val="16"/>
              </w:rPr>
              <w:t>original_document_no</w:t>
            </w:r>
            <w:r>
              <w:rPr>
                <w:sz w:val="17"/>
              </w:rPr>
              <w:t xml:space="preserve"> / </w:t>
            </w:r>
            <w:r>
              <w:rPr>
                <w:rFonts w:ascii="Consolas" w:hAnsi="Consolas"/>
                <w:sz w:val="16"/>
              </w:rPr>
              <w:t>original_document_type</w:t>
            </w:r>
            <w:r>
              <w:rPr>
                <w:sz w:val="17"/>
              </w:rPr>
              <w:t xml:space="preserve"> / </w:t>
            </w:r>
            <w:r>
              <w:rPr>
                <w:rFonts w:ascii="Consolas" w:hAnsi="Consolas"/>
                <w:sz w:val="16"/>
              </w:rPr>
              <w:t>company_key_original</w:t>
            </w:r>
            <w:r>
              <w:rPr>
                <w:sz w:val="17"/>
              </w:rPr>
            </w:r>
          </w:p>
        </w:tc>
        <w:tc>
          <w:tcPr>
            <w:tcW w:type="dxa" w:w="3312"/>
          </w:tcPr>
          <w:p>
            <w:pPr>
              <w:spacing w:after="40"/>
            </w:pPr>
            <w:r/>
            <w:r>
              <w:rPr>
                <w:sz w:val="17"/>
              </w:rPr>
              <w:t>Back-pointer to the originating sales order</w:t>
            </w:r>
          </w:p>
        </w:tc>
      </w:tr>
      <w:tr>
        <w:tc>
          <w:tcPr>
            <w:tcW w:type="dxa" w:w="1872"/>
          </w:tcPr>
          <w:p>
            <w:pPr>
              <w:spacing w:after="40"/>
            </w:pPr>
            <w:r/>
            <w:r>
              <w:rPr>
                <w:sz w:val="17"/>
              </w:rPr>
              <w:t>RPDOC/RPDCT/RPKCO/RPSFX</w:t>
            </w:r>
          </w:p>
        </w:tc>
        <w:tc>
          <w:tcPr>
            <w:tcW w:type="dxa" w:w="1008"/>
          </w:tcPr>
          <w:p>
            <w:pPr>
              <w:spacing w:after="40"/>
            </w:pPr>
            <w:r/>
            <w:r>
              <w:rPr>
                <w:sz w:val="17"/>
              </w:rPr>
              <w:t>F03B11</w:t>
            </w:r>
          </w:p>
        </w:tc>
        <w:tc>
          <w:tcPr>
            <w:tcW w:type="dxa" w:w="3456"/>
          </w:tcPr>
          <w:p>
            <w:pPr>
              <w:spacing w:after="40"/>
            </w:pPr>
            <w:r/>
            <w:r>
              <w:rPr>
                <w:sz w:val="17"/>
              </w:rPr>
            </w:r>
            <w:r>
              <w:rPr>
                <w:rFonts w:ascii="Consolas" w:hAnsi="Consolas"/>
                <w:sz w:val="16"/>
              </w:rPr>
              <w:t>doc_voucher_invoice_e</w:t>
            </w:r>
            <w:r>
              <w:rPr>
                <w:sz w:val="17"/>
              </w:rPr>
              <w:t xml:space="preserve"> / </w:t>
            </w:r>
            <w:r>
              <w:rPr>
                <w:rFonts w:ascii="Consolas" w:hAnsi="Consolas"/>
                <w:sz w:val="16"/>
              </w:rPr>
              <w:t>document_type</w:t>
            </w:r>
            <w:r>
              <w:rPr>
                <w:sz w:val="17"/>
              </w:rPr>
              <w:t xml:space="preserve"> / </w:t>
            </w:r>
            <w:r>
              <w:rPr>
                <w:rFonts w:ascii="Consolas" w:hAnsi="Consolas"/>
                <w:sz w:val="16"/>
              </w:rPr>
              <w:t>company_key</w:t>
            </w:r>
            <w:r>
              <w:rPr>
                <w:sz w:val="17"/>
              </w:rPr>
              <w:t xml:space="preserve"> / </w:t>
            </w:r>
            <w:r>
              <w:rPr>
                <w:rFonts w:ascii="Consolas" w:hAnsi="Consolas"/>
                <w:sz w:val="16"/>
              </w:rPr>
              <w:t>document_pay_item</w:t>
            </w:r>
            <w:r>
              <w:rPr>
                <w:sz w:val="17"/>
              </w:rPr>
            </w:r>
          </w:p>
        </w:tc>
        <w:tc>
          <w:tcPr>
            <w:tcW w:type="dxa" w:w="3312"/>
          </w:tcPr>
          <w:p>
            <w:pPr>
              <w:spacing w:after="40"/>
            </w:pPr>
            <w:r/>
            <w:r>
              <w:rPr>
                <w:sz w:val="17"/>
              </w:rPr>
              <w:t>The customer-ledger primary key</w:t>
            </w:r>
          </w:p>
        </w:tc>
      </w:tr>
      <w:tr>
        <w:tc>
          <w:tcPr>
            <w:tcW w:type="dxa" w:w="1872"/>
          </w:tcPr>
          <w:p>
            <w:pPr>
              <w:spacing w:after="40"/>
            </w:pPr>
            <w:r/>
            <w:r>
              <w:rPr>
                <w:sz w:val="17"/>
              </w:rPr>
              <w:t>RPTXA1</w:t>
            </w:r>
          </w:p>
        </w:tc>
        <w:tc>
          <w:tcPr>
            <w:tcW w:type="dxa" w:w="1008"/>
          </w:tcPr>
          <w:p>
            <w:pPr>
              <w:spacing w:after="40"/>
            </w:pPr>
            <w:r/>
            <w:r>
              <w:rPr>
                <w:sz w:val="17"/>
              </w:rPr>
              <w:t>F03B11</w:t>
            </w:r>
          </w:p>
        </w:tc>
        <w:tc>
          <w:tcPr>
            <w:tcW w:type="dxa" w:w="3456"/>
          </w:tcPr>
          <w:p>
            <w:pPr>
              <w:spacing w:after="40"/>
            </w:pPr>
            <w:r/>
            <w:r>
              <w:rPr>
                <w:sz w:val="17"/>
              </w:rPr>
            </w:r>
            <w:r>
              <w:rPr>
                <w:rFonts w:ascii="Consolas" w:hAnsi="Consolas"/>
                <w:sz w:val="16"/>
              </w:rPr>
              <w:t>tax_area_01</w:t>
            </w:r>
            <w:r>
              <w:rPr>
                <w:sz w:val="17"/>
              </w:rPr>
            </w:r>
          </w:p>
        </w:tc>
        <w:tc>
          <w:tcPr>
            <w:tcW w:type="dxa" w:w="3312"/>
          </w:tcPr>
          <w:p>
            <w:pPr>
              <w:spacing w:after="40"/>
            </w:pPr>
            <w:r/>
            <w:r>
              <w:rPr>
                <w:sz w:val="17"/>
              </w:rPr>
              <w:t>Tax area</w:t>
            </w:r>
          </w:p>
        </w:tc>
      </w:tr>
      <w:tr>
        <w:tc>
          <w:tcPr>
            <w:tcW w:type="dxa" w:w="1872"/>
          </w:tcPr>
          <w:p>
            <w:pPr>
              <w:spacing w:after="40"/>
            </w:pPr>
            <w:r/>
            <w:r>
              <w:rPr>
                <w:sz w:val="17"/>
              </w:rPr>
              <w:t>RPDSVJ</w:t>
            </w:r>
          </w:p>
        </w:tc>
        <w:tc>
          <w:tcPr>
            <w:tcW w:type="dxa" w:w="1008"/>
          </w:tcPr>
          <w:p>
            <w:pPr>
              <w:spacing w:after="40"/>
            </w:pPr>
            <w:r/>
            <w:r>
              <w:rPr>
                <w:sz w:val="17"/>
              </w:rPr>
              <w:t>F03B11</w:t>
            </w:r>
          </w:p>
        </w:tc>
        <w:tc>
          <w:tcPr>
            <w:tcW w:type="dxa" w:w="3456"/>
          </w:tcPr>
          <w:p>
            <w:pPr>
              <w:spacing w:after="40"/>
            </w:pPr>
            <w:r/>
            <w:r>
              <w:rPr>
                <w:sz w:val="17"/>
              </w:rPr>
            </w:r>
            <w:r>
              <w:rPr>
                <w:rFonts w:ascii="Consolas" w:hAnsi="Consolas"/>
                <w:sz w:val="16"/>
              </w:rPr>
              <w:t>date_service_currency</w:t>
            </w:r>
            <w:r>
              <w:rPr>
                <w:sz w:val="17"/>
              </w:rPr>
            </w:r>
          </w:p>
        </w:tc>
        <w:tc>
          <w:tcPr>
            <w:tcW w:type="dxa" w:w="3312"/>
          </w:tcPr>
          <w:p>
            <w:pPr>
              <w:spacing w:after="40"/>
            </w:pPr>
            <w:r/>
            <w:r>
              <w:rPr>
                <w:sz w:val="17"/>
              </w:rPr>
              <w:t>Service/tax date</w:t>
            </w:r>
          </w:p>
        </w:tc>
      </w:tr>
      <w:tr>
        <w:tc>
          <w:tcPr>
            <w:tcW w:type="dxa" w:w="1872"/>
          </w:tcPr>
          <w:p>
            <w:pPr>
              <w:spacing w:after="40"/>
            </w:pPr>
            <w:r/>
            <w:r>
              <w:rPr>
                <w:sz w:val="17"/>
              </w:rPr>
              <w:t>RPATXA</w:t>
            </w:r>
          </w:p>
        </w:tc>
        <w:tc>
          <w:tcPr>
            <w:tcW w:type="dxa" w:w="1008"/>
          </w:tcPr>
          <w:p>
            <w:pPr>
              <w:spacing w:after="40"/>
            </w:pPr>
            <w:r/>
            <w:r>
              <w:rPr>
                <w:sz w:val="17"/>
              </w:rPr>
              <w:t>F03B11</w:t>
            </w:r>
          </w:p>
        </w:tc>
        <w:tc>
          <w:tcPr>
            <w:tcW w:type="dxa" w:w="3456"/>
          </w:tcPr>
          <w:p>
            <w:pPr>
              <w:spacing w:after="40"/>
            </w:pPr>
            <w:r/>
            <w:r>
              <w:rPr>
                <w:sz w:val="17"/>
              </w:rPr>
            </w:r>
            <w:r>
              <w:rPr>
                <w:rFonts w:ascii="Consolas" w:hAnsi="Consolas"/>
                <w:sz w:val="16"/>
              </w:rPr>
              <w:t>amount_taxable</w:t>
            </w:r>
            <w:r>
              <w:rPr>
                <w:sz w:val="17"/>
              </w:rPr>
            </w:r>
          </w:p>
        </w:tc>
        <w:tc>
          <w:tcPr>
            <w:tcW w:type="dxa" w:w="3312"/>
          </w:tcPr>
          <w:p>
            <w:pPr>
              <w:spacing w:after="40"/>
            </w:pPr>
            <w:r/>
            <w:r>
              <w:rPr>
                <w:sz w:val="17"/>
              </w:rPr>
              <w:t>Taxable amount</w:t>
            </w:r>
          </w:p>
        </w:tc>
      </w:tr>
      <w:tr>
        <w:tc>
          <w:tcPr>
            <w:tcW w:type="dxa" w:w="1872"/>
          </w:tcPr>
          <w:p>
            <w:pPr>
              <w:spacing w:after="40"/>
            </w:pPr>
            <w:r/>
            <w:r>
              <w:rPr>
                <w:sz w:val="17"/>
              </w:rPr>
              <w:t>RPATXN</w:t>
            </w:r>
          </w:p>
        </w:tc>
        <w:tc>
          <w:tcPr>
            <w:tcW w:type="dxa" w:w="1008"/>
          </w:tcPr>
          <w:p>
            <w:pPr>
              <w:spacing w:after="40"/>
            </w:pPr>
            <w:r/>
            <w:r>
              <w:rPr>
                <w:sz w:val="17"/>
              </w:rPr>
              <w:t>F03B11</w:t>
            </w:r>
          </w:p>
        </w:tc>
        <w:tc>
          <w:tcPr>
            <w:tcW w:type="dxa" w:w="3456"/>
          </w:tcPr>
          <w:p>
            <w:pPr>
              <w:spacing w:after="40"/>
            </w:pPr>
            <w:r/>
            <w:r>
              <w:rPr>
                <w:sz w:val="17"/>
              </w:rPr>
            </w:r>
            <w:r>
              <w:rPr>
                <w:rFonts w:ascii="Consolas" w:hAnsi="Consolas"/>
                <w:sz w:val="16"/>
              </w:rPr>
              <w:t>amount_tax_exempt</w:t>
            </w:r>
            <w:r>
              <w:rPr>
                <w:sz w:val="17"/>
              </w:rPr>
            </w:r>
          </w:p>
        </w:tc>
        <w:tc>
          <w:tcPr>
            <w:tcW w:type="dxa" w:w="3312"/>
          </w:tcPr>
          <w:p>
            <w:pPr>
              <w:spacing w:after="40"/>
            </w:pPr>
            <w:r/>
            <w:r>
              <w:rPr>
                <w:sz w:val="17"/>
              </w:rPr>
              <w:t>Non-taxable amount</w:t>
            </w:r>
          </w:p>
        </w:tc>
      </w:tr>
      <w:tr>
        <w:tc>
          <w:tcPr>
            <w:tcW w:type="dxa" w:w="1872"/>
          </w:tcPr>
          <w:p>
            <w:pPr>
              <w:spacing w:after="40"/>
            </w:pPr>
            <w:r/>
            <w:r>
              <w:rPr>
                <w:sz w:val="17"/>
              </w:rPr>
              <w:t>RPSTAM</w:t>
            </w:r>
          </w:p>
        </w:tc>
        <w:tc>
          <w:tcPr>
            <w:tcW w:type="dxa" w:w="1008"/>
          </w:tcPr>
          <w:p>
            <w:pPr>
              <w:spacing w:after="40"/>
            </w:pPr>
            <w:r/>
            <w:r>
              <w:rPr>
                <w:sz w:val="17"/>
              </w:rPr>
              <w:t>F03B11</w:t>
            </w:r>
          </w:p>
        </w:tc>
        <w:tc>
          <w:tcPr>
            <w:tcW w:type="dxa" w:w="3456"/>
          </w:tcPr>
          <w:p>
            <w:pPr>
              <w:spacing w:after="40"/>
            </w:pPr>
            <w:r/>
            <w:r>
              <w:rPr>
                <w:sz w:val="17"/>
              </w:rPr>
            </w:r>
            <w:r>
              <w:rPr>
                <w:rFonts w:ascii="Consolas" w:hAnsi="Consolas"/>
                <w:sz w:val="16"/>
              </w:rPr>
              <w:t>amt_tax_02</w:t>
            </w:r>
            <w:r>
              <w:rPr>
                <w:sz w:val="17"/>
              </w:rPr>
            </w:r>
          </w:p>
        </w:tc>
        <w:tc>
          <w:tcPr>
            <w:tcW w:type="dxa" w:w="3312"/>
          </w:tcPr>
          <w:p>
            <w:pPr>
              <w:spacing w:after="40"/>
            </w:pPr>
            <w:r/>
            <w:r>
              <w:rPr>
                <w:sz w:val="17"/>
              </w:rPr>
              <w:t>Tax amount</w:t>
            </w:r>
          </w:p>
        </w:tc>
      </w:tr>
      <w:tr>
        <w:tc>
          <w:tcPr>
            <w:tcW w:type="dxa" w:w="1872"/>
          </w:tcPr>
          <w:p>
            <w:pPr>
              <w:spacing w:after="40"/>
            </w:pPr>
            <w:r/>
            <w:r>
              <w:rPr>
                <w:sz w:val="17"/>
              </w:rPr>
              <w:t>RPAG</w:t>
            </w:r>
          </w:p>
        </w:tc>
        <w:tc>
          <w:tcPr>
            <w:tcW w:type="dxa" w:w="1008"/>
          </w:tcPr>
          <w:p>
            <w:pPr>
              <w:spacing w:after="40"/>
            </w:pPr>
            <w:r/>
            <w:r>
              <w:rPr>
                <w:sz w:val="17"/>
              </w:rPr>
              <w:t>F03B11</w:t>
            </w:r>
          </w:p>
        </w:tc>
        <w:tc>
          <w:tcPr>
            <w:tcW w:type="dxa" w:w="3456"/>
          </w:tcPr>
          <w:p>
            <w:pPr>
              <w:spacing w:after="40"/>
            </w:pPr>
            <w:r/>
            <w:r>
              <w:rPr>
                <w:sz w:val="17"/>
              </w:rPr>
            </w:r>
            <w:r>
              <w:rPr>
                <w:rFonts w:ascii="Consolas" w:hAnsi="Consolas"/>
                <w:sz w:val="16"/>
              </w:rPr>
              <w:t>amount_gross</w:t>
            </w:r>
            <w:r>
              <w:rPr>
                <w:sz w:val="17"/>
              </w:rPr>
            </w:r>
          </w:p>
        </w:tc>
        <w:tc>
          <w:tcPr>
            <w:tcW w:type="dxa" w:w="3312"/>
          </w:tcPr>
          <w:p>
            <w:pPr>
              <w:spacing w:after="40"/>
            </w:pPr>
            <w:r/>
            <w:r>
              <w:rPr>
                <w:sz w:val="17"/>
              </w:rPr>
              <w:t>Gross amount</w:t>
            </w:r>
          </w:p>
        </w:tc>
      </w:tr>
      <w:tr>
        <w:tc>
          <w:tcPr>
            <w:tcW w:type="dxa" w:w="1872"/>
          </w:tcPr>
          <w:p>
            <w:pPr>
              <w:spacing w:after="40"/>
            </w:pPr>
            <w:r/>
            <w:r>
              <w:rPr>
                <w:sz w:val="17"/>
              </w:rPr>
              <w:t>MCMCU</w:t>
            </w:r>
          </w:p>
        </w:tc>
        <w:tc>
          <w:tcPr>
            <w:tcW w:type="dxa" w:w="1008"/>
          </w:tcPr>
          <w:p>
            <w:pPr>
              <w:spacing w:after="40"/>
            </w:pPr>
            <w:r/>
            <w:r>
              <w:rPr>
                <w:sz w:val="17"/>
              </w:rPr>
              <w:t>F0006</w:t>
            </w:r>
          </w:p>
        </w:tc>
        <w:tc>
          <w:tcPr>
            <w:tcW w:type="dxa" w:w="3456"/>
          </w:tcPr>
          <w:p>
            <w:pPr>
              <w:spacing w:after="40"/>
            </w:pPr>
            <w:r/>
            <w:r>
              <w:rPr>
                <w:sz w:val="17"/>
              </w:rPr>
            </w:r>
            <w:r>
              <w:rPr>
                <w:rFonts w:ascii="Consolas" w:hAnsi="Consolas"/>
                <w:sz w:val="16"/>
              </w:rPr>
              <w:t>cost_center</w:t>
            </w:r>
            <w:r>
              <w:rPr>
                <w:sz w:val="17"/>
              </w:rPr>
            </w:r>
          </w:p>
        </w:tc>
        <w:tc>
          <w:tcPr>
            <w:tcW w:type="dxa" w:w="3312"/>
          </w:tcPr>
          <w:p>
            <w:pPr>
              <w:spacing w:after="40"/>
            </w:pPr>
            <w:r/>
            <w:r>
              <w:rPr>
                <w:sz w:val="17"/>
              </w:rPr>
              <w:t>Business unit code</w:t>
            </w:r>
          </w:p>
        </w:tc>
      </w:tr>
      <w:tr>
        <w:tc>
          <w:tcPr>
            <w:tcW w:type="dxa" w:w="1872"/>
          </w:tcPr>
          <w:p>
            <w:pPr>
              <w:spacing w:after="40"/>
            </w:pPr>
            <w:r/>
            <w:r>
              <w:rPr>
                <w:sz w:val="17"/>
              </w:rPr>
              <w:t>MCDL01</w:t>
            </w:r>
          </w:p>
        </w:tc>
        <w:tc>
          <w:tcPr>
            <w:tcW w:type="dxa" w:w="1008"/>
          </w:tcPr>
          <w:p>
            <w:pPr>
              <w:spacing w:after="40"/>
            </w:pPr>
            <w:r/>
            <w:r>
              <w:rPr>
                <w:sz w:val="17"/>
              </w:rPr>
              <w:t>F0006</w:t>
            </w:r>
          </w:p>
        </w:tc>
        <w:tc>
          <w:tcPr>
            <w:tcW w:type="dxa" w:w="3456"/>
          </w:tcPr>
          <w:p>
            <w:pPr>
              <w:spacing w:after="40"/>
            </w:pPr>
            <w:r/>
            <w:r>
              <w:rPr>
                <w:sz w:val="17"/>
              </w:rPr>
            </w:r>
            <w:r>
              <w:rPr>
                <w:rFonts w:ascii="Consolas" w:hAnsi="Consolas"/>
                <w:sz w:val="16"/>
              </w:rPr>
              <w:t>description_001</w:t>
            </w:r>
            <w:r>
              <w:rPr>
                <w:sz w:val="17"/>
              </w:rPr>
            </w:r>
          </w:p>
        </w:tc>
        <w:tc>
          <w:tcPr>
            <w:tcW w:type="dxa" w:w="3312"/>
          </w:tcPr>
          <w:p>
            <w:pPr>
              <w:spacing w:after="40"/>
            </w:pPr>
            <w:r/>
            <w:r>
              <w:rPr>
                <w:sz w:val="17"/>
              </w:rPr>
              <w:t>Business unit name</w:t>
            </w:r>
          </w:p>
        </w:tc>
      </w:tr>
      <w:tr>
        <w:tc>
          <w:tcPr>
            <w:tcW w:type="dxa" w:w="1872"/>
          </w:tcPr>
          <w:p>
            <w:pPr>
              <w:spacing w:after="40"/>
            </w:pPr>
            <w:r/>
            <w:r>
              <w:rPr>
                <w:sz w:val="17"/>
              </w:rPr>
              <w:t>MCRP20</w:t>
            </w:r>
          </w:p>
        </w:tc>
        <w:tc>
          <w:tcPr>
            <w:tcW w:type="dxa" w:w="1008"/>
          </w:tcPr>
          <w:p>
            <w:pPr>
              <w:spacing w:after="40"/>
            </w:pPr>
            <w:r/>
            <w:r>
              <w:rPr>
                <w:sz w:val="17"/>
              </w:rPr>
              <w:t>F0006</w:t>
            </w:r>
          </w:p>
        </w:tc>
        <w:tc>
          <w:tcPr>
            <w:tcW w:type="dxa" w:w="3456"/>
          </w:tcPr>
          <w:p>
            <w:pPr>
              <w:spacing w:after="40"/>
            </w:pPr>
            <w:r/>
            <w:r>
              <w:rPr>
                <w:sz w:val="17"/>
              </w:rPr>
            </w:r>
            <w:r>
              <w:rPr>
                <w:rFonts w:ascii="Consolas" w:hAnsi="Consolas"/>
                <w:sz w:val="16"/>
              </w:rPr>
              <w:t>category_code_cost_ct_020</w:t>
            </w:r>
            <w:r>
              <w:rPr>
                <w:sz w:val="17"/>
              </w:rPr>
            </w:r>
          </w:p>
        </w:tc>
        <w:tc>
          <w:tcPr>
            <w:tcW w:type="dxa" w:w="3312"/>
          </w:tcPr>
          <w:p>
            <w:pPr>
              <w:spacing w:after="40"/>
            </w:pPr>
            <w:r/>
            <w:r>
              <w:rPr>
                <w:sz w:val="17"/>
              </w:rPr>
              <w:t>Category code 20 — the Business Stream input</w:t>
            </w:r>
          </w:p>
        </w:tc>
      </w:tr>
      <w:tr>
        <w:tc>
          <w:tcPr>
            <w:tcW w:type="dxa" w:w="1872"/>
          </w:tcPr>
          <w:p>
            <w:pPr>
              <w:spacing w:after="40"/>
            </w:pPr>
            <w:r/>
            <w:r>
              <w:rPr>
                <w:sz w:val="17"/>
              </w:rPr>
              <w:t>ABAN8</w:t>
            </w:r>
          </w:p>
        </w:tc>
        <w:tc>
          <w:tcPr>
            <w:tcW w:type="dxa" w:w="1008"/>
          </w:tcPr>
          <w:p>
            <w:pPr>
              <w:spacing w:after="40"/>
            </w:pPr>
            <w:r/>
            <w:r>
              <w:rPr>
                <w:sz w:val="17"/>
              </w:rPr>
              <w:t>F0101</w:t>
            </w:r>
          </w:p>
        </w:tc>
        <w:tc>
          <w:tcPr>
            <w:tcW w:type="dxa" w:w="3456"/>
          </w:tcPr>
          <w:p>
            <w:pPr>
              <w:spacing w:after="40"/>
            </w:pPr>
            <w:r/>
            <w:r>
              <w:rPr>
                <w:sz w:val="17"/>
              </w:rPr>
            </w:r>
            <w:r>
              <w:rPr>
                <w:rFonts w:ascii="Consolas" w:hAnsi="Consolas"/>
                <w:sz w:val="16"/>
              </w:rPr>
              <w:t>address_number</w:t>
            </w:r>
            <w:r>
              <w:rPr>
                <w:sz w:val="17"/>
              </w:rPr>
            </w:r>
          </w:p>
        </w:tc>
        <w:tc>
          <w:tcPr>
            <w:tcW w:type="dxa" w:w="3312"/>
          </w:tcPr>
          <w:p>
            <w:pPr>
              <w:spacing w:after="40"/>
            </w:pPr>
            <w:r/>
            <w:r>
              <w:rPr>
                <w:sz w:val="17"/>
              </w:rPr>
              <w:t>Address number</w:t>
            </w:r>
          </w:p>
        </w:tc>
      </w:tr>
      <w:tr>
        <w:tc>
          <w:tcPr>
            <w:tcW w:type="dxa" w:w="1872"/>
          </w:tcPr>
          <w:p>
            <w:pPr>
              <w:spacing w:after="40"/>
            </w:pPr>
            <w:r/>
            <w:r>
              <w:rPr>
                <w:sz w:val="17"/>
              </w:rPr>
              <w:t>ABSIC</w:t>
            </w:r>
          </w:p>
        </w:tc>
        <w:tc>
          <w:tcPr>
            <w:tcW w:type="dxa" w:w="1008"/>
          </w:tcPr>
          <w:p>
            <w:pPr>
              <w:spacing w:after="40"/>
            </w:pPr>
            <w:r/>
            <w:r>
              <w:rPr>
                <w:sz w:val="17"/>
              </w:rPr>
              <w:t>F0101</w:t>
            </w:r>
          </w:p>
        </w:tc>
        <w:tc>
          <w:tcPr>
            <w:tcW w:type="dxa" w:w="3456"/>
          </w:tcPr>
          <w:p>
            <w:pPr>
              <w:spacing w:after="40"/>
            </w:pPr>
            <w:r/>
            <w:r>
              <w:rPr>
                <w:sz w:val="17"/>
              </w:rPr>
            </w:r>
            <w:r>
              <w:rPr>
                <w:rFonts w:ascii="Consolas" w:hAnsi="Consolas"/>
                <w:sz w:val="16"/>
              </w:rPr>
              <w:t>standard_industry_code</w:t>
            </w:r>
            <w:r>
              <w:rPr>
                <w:sz w:val="17"/>
              </w:rPr>
            </w:r>
          </w:p>
        </w:tc>
        <w:tc>
          <w:tcPr>
            <w:tcW w:type="dxa" w:w="3312"/>
          </w:tcPr>
          <w:p>
            <w:pPr>
              <w:spacing w:after="40"/>
            </w:pPr>
            <w:r/>
            <w:r>
              <w:rPr>
                <w:sz w:val="17"/>
              </w:rPr>
              <w:t>SIC code</w:t>
            </w:r>
          </w:p>
        </w:tc>
      </w:tr>
      <w:tr>
        <w:tc>
          <w:tcPr>
            <w:tcW w:type="dxa" w:w="1872"/>
          </w:tcPr>
          <w:p>
            <w:pPr>
              <w:spacing w:after="40"/>
            </w:pPr>
            <w:r/>
            <w:r>
              <w:rPr>
                <w:sz w:val="17"/>
              </w:rPr>
              <w:t>ALADDS</w:t>
            </w:r>
          </w:p>
        </w:tc>
        <w:tc>
          <w:tcPr>
            <w:tcW w:type="dxa" w:w="1008"/>
          </w:tcPr>
          <w:p>
            <w:pPr>
              <w:spacing w:after="40"/>
            </w:pPr>
            <w:r/>
            <w:r>
              <w:rPr>
                <w:sz w:val="17"/>
              </w:rPr>
              <w:t>F0116</w:t>
            </w:r>
          </w:p>
        </w:tc>
        <w:tc>
          <w:tcPr>
            <w:tcW w:type="dxa" w:w="3456"/>
          </w:tcPr>
          <w:p>
            <w:pPr>
              <w:spacing w:after="40"/>
            </w:pPr>
            <w:r/>
            <w:r>
              <w:rPr>
                <w:sz w:val="17"/>
              </w:rPr>
            </w:r>
            <w:r>
              <w:rPr>
                <w:rFonts w:ascii="Consolas" w:hAnsi="Consolas"/>
                <w:sz w:val="16"/>
              </w:rPr>
              <w:t>state</w:t>
            </w:r>
            <w:r>
              <w:rPr>
                <w:sz w:val="17"/>
              </w:rPr>
            </w:r>
          </w:p>
        </w:tc>
        <w:tc>
          <w:tcPr>
            <w:tcW w:type="dxa" w:w="3312"/>
          </w:tcPr>
          <w:p>
            <w:pPr>
              <w:spacing w:after="40"/>
            </w:pPr>
            <w:r/>
            <w:r>
              <w:rPr>
                <w:sz w:val="17"/>
              </w:rPr>
              <w:t>State / jurisdiction</w:t>
            </w:r>
          </w:p>
        </w:tc>
      </w:tr>
      <w:tr>
        <w:tc>
          <w:tcPr>
            <w:tcW w:type="dxa" w:w="1872"/>
          </w:tcPr>
          <w:p>
            <w:pPr>
              <w:spacing w:after="40"/>
            </w:pPr>
            <w:r/>
            <w:r>
              <w:rPr>
                <w:sz w:val="17"/>
              </w:rPr>
              <w:t>ALCOUN</w:t>
            </w:r>
          </w:p>
        </w:tc>
        <w:tc>
          <w:tcPr>
            <w:tcW w:type="dxa" w:w="1008"/>
          </w:tcPr>
          <w:p>
            <w:pPr>
              <w:spacing w:after="40"/>
            </w:pPr>
            <w:r/>
            <w:r>
              <w:rPr>
                <w:sz w:val="17"/>
              </w:rPr>
              <w:t>F0116</w:t>
            </w:r>
          </w:p>
        </w:tc>
        <w:tc>
          <w:tcPr>
            <w:tcW w:type="dxa" w:w="3456"/>
          </w:tcPr>
          <w:p>
            <w:pPr>
              <w:spacing w:after="40"/>
            </w:pPr>
            <w:r/>
            <w:r>
              <w:rPr>
                <w:sz w:val="17"/>
              </w:rPr>
            </w:r>
            <w:r>
              <w:rPr>
                <w:rFonts w:ascii="Consolas" w:hAnsi="Consolas"/>
                <w:sz w:val="16"/>
              </w:rPr>
              <w:t>county_address</w:t>
            </w:r>
            <w:r>
              <w:rPr>
                <w:sz w:val="17"/>
              </w:rPr>
            </w:r>
          </w:p>
        </w:tc>
        <w:tc>
          <w:tcPr>
            <w:tcW w:type="dxa" w:w="3312"/>
          </w:tcPr>
          <w:p>
            <w:pPr>
              <w:spacing w:after="40"/>
            </w:pPr>
            <w:r/>
            <w:r>
              <w:rPr>
                <w:sz w:val="17"/>
              </w:rPr>
              <w:t>County</w:t>
            </w:r>
          </w:p>
        </w:tc>
      </w:tr>
      <w:tr>
        <w:tc>
          <w:tcPr>
            <w:tcW w:type="dxa" w:w="1872"/>
          </w:tcPr>
          <w:p>
            <w:pPr>
              <w:spacing w:after="40"/>
            </w:pPr>
            <w:r/>
            <w:r>
              <w:rPr>
                <w:sz w:val="17"/>
              </w:rPr>
              <w:t>DRKY</w:t>
            </w:r>
          </w:p>
        </w:tc>
        <w:tc>
          <w:tcPr>
            <w:tcW w:type="dxa" w:w="1008"/>
          </w:tcPr>
          <w:p>
            <w:pPr>
              <w:spacing w:after="40"/>
            </w:pPr>
            <w:r/>
            <w:r>
              <w:rPr>
                <w:sz w:val="17"/>
              </w:rPr>
              <w:t>F0005</w:t>
            </w:r>
          </w:p>
        </w:tc>
        <w:tc>
          <w:tcPr>
            <w:tcW w:type="dxa" w:w="3456"/>
          </w:tcPr>
          <w:p>
            <w:pPr>
              <w:spacing w:after="40"/>
            </w:pPr>
            <w:r/>
            <w:r>
              <w:rPr>
                <w:sz w:val="17"/>
              </w:rPr>
            </w:r>
            <w:r>
              <w:rPr>
                <w:rFonts w:ascii="Consolas" w:hAnsi="Consolas"/>
                <w:sz w:val="16"/>
              </w:rPr>
              <w:t>user_defined_code</w:t>
            </w:r>
            <w:r>
              <w:rPr>
                <w:sz w:val="17"/>
              </w:rPr>
            </w:r>
          </w:p>
        </w:tc>
        <w:tc>
          <w:tcPr>
            <w:tcW w:type="dxa" w:w="3312"/>
          </w:tcPr>
          <w:p>
            <w:pPr>
              <w:spacing w:after="40"/>
            </w:pPr>
            <w:r/>
            <w:r>
              <w:rPr>
                <w:sz w:val="17"/>
              </w:rPr>
              <w:t>The UDC code value</w:t>
            </w:r>
          </w:p>
        </w:tc>
      </w:tr>
      <w:tr>
        <w:tc>
          <w:tcPr>
            <w:tcW w:type="dxa" w:w="1872"/>
          </w:tcPr>
          <w:p>
            <w:pPr>
              <w:spacing w:after="40"/>
            </w:pPr>
            <w:r/>
            <w:r>
              <w:rPr>
                <w:sz w:val="17"/>
              </w:rPr>
              <w:t>DRDL01</w:t>
            </w:r>
          </w:p>
        </w:tc>
        <w:tc>
          <w:tcPr>
            <w:tcW w:type="dxa" w:w="1008"/>
          </w:tcPr>
          <w:p>
            <w:pPr>
              <w:spacing w:after="40"/>
            </w:pPr>
            <w:r/>
            <w:r>
              <w:rPr>
                <w:sz w:val="17"/>
              </w:rPr>
              <w:t>F0005</w:t>
            </w:r>
          </w:p>
        </w:tc>
        <w:tc>
          <w:tcPr>
            <w:tcW w:type="dxa" w:w="3456"/>
          </w:tcPr>
          <w:p>
            <w:pPr>
              <w:spacing w:after="40"/>
            </w:pPr>
            <w:r/>
            <w:r>
              <w:rPr>
                <w:sz w:val="17"/>
              </w:rPr>
            </w:r>
            <w:r>
              <w:rPr>
                <w:rFonts w:ascii="Consolas" w:hAnsi="Consolas"/>
                <w:sz w:val="16"/>
              </w:rPr>
              <w:t>description_001</w:t>
            </w:r>
            <w:r>
              <w:rPr>
                <w:sz w:val="17"/>
              </w:rPr>
            </w:r>
          </w:p>
        </w:tc>
        <w:tc>
          <w:tcPr>
            <w:tcW w:type="dxa" w:w="3312"/>
          </w:tcPr>
          <w:p>
            <w:pPr>
              <w:spacing w:after="40"/>
            </w:pPr>
            <w:r/>
            <w:r>
              <w:rPr>
                <w:sz w:val="17"/>
              </w:rPr>
              <w:t>The UDC description</w:t>
            </w:r>
          </w:p>
        </w:tc>
      </w:tr>
    </w:tbl>
    <w:p>
      <w:pPr>
        <w:spacing w:after="80"/>
      </w:pPr>
    </w:p>
    <w:p>
      <w:pPr>
        <w:pStyle w:val="Heading2"/>
      </w:pPr>
      <w:r>
        <w:t>6.2  Technical terms</w:t>
      </w:r>
    </w:p>
    <w:tbl>
      <w:tblPr>
        <w:tblStyle w:val="LightGrid-Accent1"/>
        <w:tblW w:type="auto" w:w="0"/>
        <w:jc w:val="center"/>
        <w:tblLook w:firstColumn="1" w:firstRow="1" w:lastColumn="0" w:lastRow="0" w:noHBand="0" w:noVBand="1" w:val="04A0"/>
      </w:tblPr>
      <w:tblGrid>
        <w:gridCol w:w="4320"/>
        <w:gridCol w:w="4320"/>
      </w:tblGrid>
      <w:tr>
        <w:tc>
          <w:tcPr>
            <w:tcW w:type="dxa" w:w="2304"/>
          </w:tcPr>
          <w:p>
            <w:r/>
            <w:r>
              <w:rPr>
                <w:b/>
                <w:sz w:val="18"/>
              </w:rPr>
              <w:t>Term</w:t>
            </w:r>
          </w:p>
        </w:tc>
        <w:tc>
          <w:tcPr>
            <w:tcW w:type="dxa" w:w="7344"/>
          </w:tcPr>
          <w:p>
            <w:r/>
            <w:r>
              <w:rPr>
                <w:b/>
                <w:sz w:val="18"/>
              </w:rPr>
              <w:t>Meaning</w:t>
            </w:r>
          </w:p>
        </w:tc>
      </w:tr>
      <w:tr>
        <w:tc>
          <w:tcPr>
            <w:tcW w:type="dxa" w:w="2304"/>
          </w:tcPr>
          <w:p>
            <w:pPr>
              <w:spacing w:after="40"/>
            </w:pPr>
            <w:r/>
            <w:r>
              <w:rPr>
                <w:sz w:val="17"/>
              </w:rPr>
              <w:t>Action (Spark)</w:t>
            </w:r>
          </w:p>
        </w:tc>
        <w:tc>
          <w:tcPr>
            <w:tcW w:type="dxa" w:w="7344"/>
          </w:tcPr>
          <w:p>
            <w:pPr>
              <w:spacing w:after="40"/>
            </w:pPr>
            <w:r/>
            <w:r>
              <w:rPr>
                <w:sz w:val="17"/>
              </w:rPr>
              <w:t xml:space="preserve">An operation that forces execution — </w:t>
            </w:r>
            <w:r>
              <w:rPr>
                <w:rFonts w:ascii="Consolas" w:hAnsi="Consolas"/>
                <w:sz w:val="16"/>
              </w:rPr>
              <w:t>.count()</w:t>
            </w:r>
            <w:r>
              <w:rPr>
                <w:sz w:val="17"/>
              </w:rPr>
              <w:t xml:space="preserve">, </w:t>
            </w:r>
            <w:r>
              <w:rPr>
                <w:rFonts w:ascii="Consolas" w:hAnsi="Consolas"/>
                <w:sz w:val="16"/>
              </w:rPr>
              <w:t>.write</w:t>
            </w:r>
            <w:r>
              <w:rPr>
                <w:sz w:val="17"/>
              </w:rPr>
              <w:t xml:space="preserve">, </w:t>
            </w:r>
            <w:r>
              <w:rPr>
                <w:rFonts w:ascii="Consolas" w:hAnsi="Consolas"/>
                <w:sz w:val="16"/>
              </w:rPr>
              <w:t>.collect()</w:t>
            </w:r>
            <w:r>
              <w:rPr>
                <w:sz w:val="17"/>
              </w:rPr>
              <w:t xml:space="preserve">, </w:t>
            </w:r>
            <w:r>
              <w:rPr>
                <w:rFonts w:ascii="Consolas" w:hAnsi="Consolas"/>
                <w:sz w:val="16"/>
              </w:rPr>
              <w:t>.rdd.isEmpty()</w:t>
            </w:r>
            <w:r>
              <w:rPr>
                <w:sz w:val="17"/>
              </w:rPr>
              <w:t>. Everything else is lazy.</w:t>
            </w:r>
          </w:p>
        </w:tc>
      </w:tr>
      <w:tr>
        <w:tc>
          <w:tcPr>
            <w:tcW w:type="dxa" w:w="2304"/>
          </w:tcPr>
          <w:p>
            <w:pPr>
              <w:spacing w:after="40"/>
            </w:pPr>
            <w:r/>
            <w:r>
              <w:rPr>
                <w:sz w:val="17"/>
              </w:rPr>
              <w:t>CDF</w:t>
            </w:r>
          </w:p>
        </w:tc>
        <w:tc>
          <w:tcPr>
            <w:tcW w:type="dxa" w:w="7344"/>
          </w:tcPr>
          <w:p>
            <w:pPr>
              <w:spacing w:after="40"/>
            </w:pPr>
            <w:r/>
            <w:r>
              <w:rPr>
                <w:sz w:val="17"/>
              </w:rPr>
              <w:t>Change Data Feed. Delta's log of inserts, updates and deletes, readable as a stream.</w:t>
            </w:r>
          </w:p>
        </w:tc>
      </w:tr>
      <w:tr>
        <w:tc>
          <w:tcPr>
            <w:tcW w:type="dxa" w:w="2304"/>
          </w:tcPr>
          <w:p>
            <w:pPr>
              <w:spacing w:after="40"/>
            </w:pPr>
            <w:r/>
            <w:r>
              <w:rPr>
                <w:sz w:val="17"/>
              </w:rPr>
              <w:t>Checkpoint</w:t>
            </w:r>
          </w:p>
        </w:tc>
        <w:tc>
          <w:tcPr>
            <w:tcW w:type="dxa" w:w="7344"/>
          </w:tcPr>
          <w:p>
            <w:pPr>
              <w:spacing w:after="40"/>
            </w:pPr>
            <w:r/>
            <w:r>
              <w:rPr>
                <w:sz w:val="17"/>
              </w:rPr>
              <w:t xml:space="preserve">A stream's bookmark on storage. Requires a committed </w:t>
            </w:r>
            <w:r>
              <w:rPr>
                <w:rFonts w:ascii="Consolas" w:hAnsi="Consolas"/>
                <w:sz w:val="16"/>
              </w:rPr>
              <w:t>offsets/</w:t>
            </w:r>
            <w:r>
              <w:rPr>
                <w:sz w:val="17"/>
              </w:rPr>
              <w:t xml:space="preserve"> entry to be usable.</w:t>
            </w:r>
          </w:p>
        </w:tc>
      </w:tr>
      <w:tr>
        <w:tc>
          <w:tcPr>
            <w:tcW w:type="dxa" w:w="2304"/>
          </w:tcPr>
          <w:p>
            <w:pPr>
              <w:spacing w:after="40"/>
            </w:pPr>
            <w:r/>
            <w:r>
              <w:rPr>
                <w:sz w:val="17"/>
              </w:rPr>
              <w:t>Degenerate dimension</w:t>
            </w:r>
          </w:p>
        </w:tc>
        <w:tc>
          <w:tcPr>
            <w:tcW w:type="dxa" w:w="7344"/>
          </w:tcPr>
          <w:p>
            <w:pPr>
              <w:spacing w:after="40"/>
            </w:pPr>
            <w:r/>
            <w:r>
              <w:rPr>
                <w:sz w:val="17"/>
              </w:rPr>
              <w:t xml:space="preserve">A descriptive attribute stored on the fact because it has no dimension table of its own — e.g. </w:t>
            </w:r>
            <w:r>
              <w:rPr>
                <w:rFonts w:ascii="Consolas" w:hAnsi="Consolas"/>
                <w:sz w:val="16"/>
              </w:rPr>
              <w:t>county</w:t>
            </w:r>
            <w:r>
              <w:rPr>
                <w:sz w:val="17"/>
              </w:rPr>
              <w:t xml:space="preserve">, </w:t>
            </w:r>
            <w:r>
              <w:rPr>
                <w:rFonts w:ascii="Consolas" w:hAnsi="Consolas"/>
                <w:sz w:val="16"/>
              </w:rPr>
              <w:t>business_stream</w:t>
            </w:r>
            <w:r>
              <w:rPr>
                <w:sz w:val="17"/>
              </w:rPr>
              <w:t>.</w:t>
            </w:r>
          </w:p>
        </w:tc>
      </w:tr>
      <w:tr>
        <w:tc>
          <w:tcPr>
            <w:tcW w:type="dxa" w:w="2304"/>
          </w:tcPr>
          <w:p>
            <w:pPr>
              <w:spacing w:after="40"/>
            </w:pPr>
            <w:r/>
            <w:r>
              <w:rPr>
                <w:sz w:val="17"/>
              </w:rPr>
              <w:t>Direct Lake</w:t>
            </w:r>
          </w:p>
        </w:tc>
        <w:tc>
          <w:tcPr>
            <w:tcW w:type="dxa" w:w="7344"/>
          </w:tcPr>
          <w:p>
            <w:pPr>
              <w:spacing w:after="40"/>
            </w:pPr>
            <w:r/>
            <w:r>
              <w:rPr>
                <w:sz w:val="17"/>
              </w:rPr>
              <w:t xml:space="preserve">The Power BI mode that reads Delta files directly. Fast, but forbids DAX calculated columns — hence </w:t>
            </w:r>
            <w:r>
              <w:rPr>
                <w:rFonts w:ascii="Consolas" w:hAnsi="Consolas"/>
                <w:sz w:val="16"/>
              </w:rPr>
              <w:t>business_unit_display</w:t>
            </w:r>
            <w:r>
              <w:rPr>
                <w:sz w:val="17"/>
              </w:rPr>
              <w:t>.</w:t>
            </w:r>
          </w:p>
        </w:tc>
      </w:tr>
      <w:tr>
        <w:tc>
          <w:tcPr>
            <w:tcW w:type="dxa" w:w="2304"/>
          </w:tcPr>
          <w:p>
            <w:pPr>
              <w:spacing w:after="40"/>
            </w:pPr>
            <w:r/>
            <w:r>
              <w:rPr>
                <w:sz w:val="17"/>
              </w:rPr>
              <w:t>Fan-out</w:t>
            </w:r>
          </w:p>
        </w:tc>
        <w:tc>
          <w:tcPr>
            <w:tcW w:type="dxa" w:w="7344"/>
          </w:tcPr>
          <w:p>
            <w:pPr>
              <w:spacing w:after="40"/>
            </w:pPr>
            <w:r/>
            <w:r>
              <w:rPr>
                <w:sz w:val="17"/>
              </w:rPr>
              <w:t>Accidental row multiplication caused by joining a table with several rows per key. Silently inflates totals. Prevented by pre-collapsing.</w:t>
            </w:r>
          </w:p>
        </w:tc>
      </w:tr>
      <w:tr>
        <w:tc>
          <w:tcPr>
            <w:tcW w:type="dxa" w:w="2304"/>
          </w:tcPr>
          <w:p>
            <w:pPr>
              <w:spacing w:after="40"/>
            </w:pPr>
            <w:r/>
            <w:r>
              <w:rPr>
                <w:sz w:val="17"/>
              </w:rPr>
              <w:t>Grain</w:t>
            </w:r>
          </w:p>
        </w:tc>
        <w:tc>
          <w:tcPr>
            <w:tcW w:type="dxa" w:w="7344"/>
          </w:tcPr>
          <w:p>
            <w:pPr>
              <w:spacing w:after="40"/>
            </w:pPr>
            <w:r/>
            <w:r>
              <w:rPr>
                <w:sz w:val="17"/>
              </w:rPr>
              <w:t xml:space="preserve">What one row means. The fact's grain is the 18 columns of </w:t>
            </w:r>
            <w:r>
              <w:rPr>
                <w:rFonts w:ascii="Consolas" w:hAnsi="Consolas"/>
                <w:sz w:val="16"/>
              </w:rPr>
              <w:t>FACT_GROUP_BY_COLS</w:t>
            </w:r>
            <w:r>
              <w:rPr>
                <w:sz w:val="17"/>
              </w:rPr>
              <w:t>.</w:t>
            </w:r>
          </w:p>
        </w:tc>
      </w:tr>
      <w:tr>
        <w:tc>
          <w:tcPr>
            <w:tcW w:type="dxa" w:w="2304"/>
          </w:tcPr>
          <w:p>
            <w:pPr>
              <w:spacing w:after="40"/>
            </w:pPr>
            <w:r/>
            <w:r>
              <w:rPr>
                <w:sz w:val="17"/>
              </w:rPr>
            </w:r>
            <w:r>
              <w:rPr>
                <w:rFonts w:ascii="Consolas" w:hAnsi="Consolas"/>
                <w:sz w:val="16"/>
              </w:rPr>
              <w:t>foreachBatch</w:t>
            </w:r>
            <w:r>
              <w:rPr>
                <w:sz w:val="17"/>
              </w:rPr>
            </w:r>
          </w:p>
        </w:tc>
        <w:tc>
          <w:tcPr>
            <w:tcW w:type="dxa" w:w="7344"/>
          </w:tcPr>
          <w:p>
            <w:pPr>
              <w:spacing w:after="40"/>
            </w:pPr>
            <w:r/>
            <w:r>
              <w:rPr>
                <w:sz w:val="17"/>
              </w:rPr>
              <w:t>The streaming hook that hands you each micro-batch as an ordinary DataFrame.</w:t>
            </w:r>
          </w:p>
        </w:tc>
      </w:tr>
      <w:tr>
        <w:tc>
          <w:tcPr>
            <w:tcW w:type="dxa" w:w="2304"/>
          </w:tcPr>
          <w:p>
            <w:pPr>
              <w:spacing w:after="40"/>
            </w:pPr>
            <w:r/>
            <w:r>
              <w:rPr>
                <w:sz w:val="17"/>
              </w:rPr>
              <w:t>Full load / seed</w:t>
            </w:r>
          </w:p>
        </w:tc>
        <w:tc>
          <w:tcPr>
            <w:tcW w:type="dxa" w:w="7344"/>
          </w:tcPr>
          <w:p>
            <w:pPr>
              <w:spacing w:after="40"/>
            </w:pPr>
            <w:r/>
            <w:r>
              <w:rPr>
                <w:sz w:val="17"/>
              </w:rPr>
              <w:t>Dropping and rebuilding a table from the complete Silver snapshot.</w:t>
            </w:r>
          </w:p>
        </w:tc>
      </w:tr>
      <w:tr>
        <w:tc>
          <w:tcPr>
            <w:tcW w:type="dxa" w:w="2304"/>
          </w:tcPr>
          <w:p>
            <w:pPr>
              <w:spacing w:after="40"/>
            </w:pPr>
            <w:r/>
            <w:r>
              <w:rPr>
                <w:sz w:val="17"/>
              </w:rPr>
              <w:t>Left semi join</w:t>
            </w:r>
          </w:p>
        </w:tc>
        <w:tc>
          <w:tcPr>
            <w:tcW w:type="dxa" w:w="7344"/>
          </w:tcPr>
          <w:p>
            <w:pPr>
              <w:spacing w:after="40"/>
            </w:pPr>
            <w:r/>
            <w:r>
              <w:rPr>
                <w:sz w:val="17"/>
              </w:rPr>
              <w:t>Keeps left rows that have a match on the right, adds no right columns, cannot duplicate. A filter written as a join.</w:t>
            </w:r>
          </w:p>
        </w:tc>
      </w:tr>
      <w:tr>
        <w:tc>
          <w:tcPr>
            <w:tcW w:type="dxa" w:w="2304"/>
          </w:tcPr>
          <w:p>
            <w:pPr>
              <w:spacing w:after="40"/>
            </w:pPr>
            <w:r/>
            <w:r>
              <w:rPr>
                <w:sz w:val="17"/>
              </w:rPr>
            </w:r>
            <w:r>
              <w:rPr>
                <w:rFonts w:ascii="Consolas" w:hAnsi="Consolas"/>
                <w:sz w:val="16"/>
              </w:rPr>
              <w:t>init_ver</w:t>
            </w:r>
            <w:r>
              <w:rPr>
                <w:sz w:val="17"/>
              </w:rPr>
            </w:r>
          </w:p>
        </w:tc>
        <w:tc>
          <w:tcPr>
            <w:tcW w:type="dxa" w:w="7344"/>
          </w:tcPr>
          <w:p>
            <w:pPr>
              <w:spacing w:after="40"/>
            </w:pPr>
            <w:r/>
            <w:r>
              <w:rPr>
                <w:sz w:val="17"/>
              </w:rPr>
              <w:t>The Delta version of a source at seed time. Changes at or below it are already in Gold and get skipped.</w:t>
            </w:r>
          </w:p>
        </w:tc>
      </w:tr>
      <w:tr>
        <w:tc>
          <w:tcPr>
            <w:tcW w:type="dxa" w:w="2304"/>
          </w:tcPr>
          <w:p>
            <w:pPr>
              <w:spacing w:after="40"/>
            </w:pPr>
            <w:r/>
            <w:r>
              <w:rPr>
                <w:sz w:val="17"/>
              </w:rPr>
              <w:t>Recompute-by-scope</w:t>
            </w:r>
          </w:p>
        </w:tc>
        <w:tc>
          <w:tcPr>
            <w:tcW w:type="dxa" w:w="7344"/>
          </w:tcPr>
          <w:p>
            <w:pPr>
              <w:spacing w:after="40"/>
            </w:pPr>
            <w:r/>
            <w:r>
              <w:rPr>
                <w:sz w:val="17"/>
              </w:rPr>
              <w:t>The fact's CDC technique: delete a scope's rows, rebuild them from current Silver, append.</w:t>
            </w:r>
          </w:p>
        </w:tc>
      </w:tr>
      <w:tr>
        <w:tc>
          <w:tcPr>
            <w:tcW w:type="dxa" w:w="2304"/>
          </w:tcPr>
          <w:p>
            <w:pPr>
              <w:spacing w:after="40"/>
            </w:pPr>
            <w:r/>
            <w:r>
              <w:rPr>
                <w:sz w:val="17"/>
              </w:rPr>
              <w:t>Soft delete</w:t>
            </w:r>
          </w:p>
        </w:tc>
        <w:tc>
          <w:tcPr>
            <w:tcW w:type="dxa" w:w="7344"/>
          </w:tcPr>
          <w:p>
            <w:pPr>
              <w:spacing w:after="40"/>
            </w:pPr>
            <w:r/>
            <w:r>
              <w:rPr>
                <w:sz w:val="17"/>
              </w:rPr>
              <w:t xml:space="preserve">Silver marks deletions with </w:t>
            </w:r>
            <w:r>
              <w:rPr>
                <w:rFonts w:ascii="Consolas" w:hAnsi="Consolas"/>
                <w:sz w:val="16"/>
              </w:rPr>
              <w:t>is_delete = 1</w:t>
            </w:r>
            <w:r>
              <w:rPr>
                <w:sz w:val="17"/>
              </w:rPr>
              <w:t xml:space="preserve"> instead of removing the row. </w:t>
            </w:r>
            <w:r>
              <w:rPr>
                <w:rFonts w:ascii="Consolas" w:hAnsi="Consolas"/>
                <w:sz w:val="16"/>
              </w:rPr>
              <w:t>load_silver_table</w:t>
            </w:r>
            <w:r>
              <w:rPr>
                <w:sz w:val="17"/>
              </w:rPr>
              <w:t xml:space="preserve"> filters them out.</w:t>
            </w:r>
          </w:p>
        </w:tc>
      </w:tr>
      <w:tr>
        <w:tc>
          <w:tcPr>
            <w:tcW w:type="dxa" w:w="2304"/>
          </w:tcPr>
          <w:p>
            <w:pPr>
              <w:spacing w:after="40"/>
            </w:pPr>
            <w:r/>
            <w:r>
              <w:rPr>
                <w:sz w:val="17"/>
              </w:rPr>
              <w:t>Surrogate key</w:t>
            </w:r>
          </w:p>
        </w:tc>
        <w:tc>
          <w:tcPr>
            <w:tcW w:type="dxa" w:w="7344"/>
          </w:tcPr>
          <w:p>
            <w:pPr>
              <w:spacing w:after="40"/>
            </w:pPr>
            <w:r/>
            <w:r>
              <w:rPr>
                <w:sz w:val="17"/>
              </w:rPr>
              <w:t xml:space="preserve">A hash standing in for a multi-column natural key — </w:t>
            </w:r>
            <w:r>
              <w:rPr>
                <w:rFonts w:ascii="Consolas" w:hAnsi="Consolas"/>
                <w:sz w:val="16"/>
              </w:rPr>
              <w:t>sk()</w:t>
            </w:r>
            <w:r>
              <w:rPr>
                <w:sz w:val="17"/>
              </w:rPr>
              <w:t xml:space="preserve"> builds these.</w:t>
            </w:r>
          </w:p>
        </w:tc>
      </w:tr>
      <w:tr>
        <w:tc>
          <w:tcPr>
            <w:tcW w:type="dxa" w:w="2304"/>
          </w:tcPr>
          <w:p>
            <w:pPr>
              <w:spacing w:after="40"/>
            </w:pPr>
            <w:r/>
            <w:r>
              <w:rPr>
                <w:sz w:val="17"/>
              </w:rPr>
              <w:t>UDC</w:t>
            </w:r>
          </w:p>
        </w:tc>
        <w:tc>
          <w:tcPr>
            <w:tcW w:type="dxa" w:w="7344"/>
          </w:tcPr>
          <w:p>
            <w:pPr>
              <w:spacing w:after="40"/>
            </w:pPr>
            <w:r/>
            <w:r>
              <w:rPr>
                <w:sz w:val="17"/>
              </w:rPr>
              <w:t>User-defined code. JDE's universal lookup, keyed by system + type + code.</w:t>
            </w:r>
          </w:p>
        </w:tc>
      </w:tr>
    </w:tbl>
    <w:p>
      <w:pPr>
        <w:spacing w:after="80"/>
      </w:pPr>
    </w:p>
    <w:p>
      <w:r>
        <w:br w:type="page"/>
      </w:r>
    </w:p>
    <w:p>
      <w:pPr>
        <w:pStyle w:val="Heading2"/>
      </w:pPr>
      <w:r>
        <w:t>Document provenance</w:t>
      </w:r>
    </w:p>
    <w:p>
      <w:r>
        <w:rPr>
          <w:b w:val="0"/>
          <w:i w:val="0"/>
          <w:sz w:val="21"/>
        </w:rPr>
        <w:t>Every code listing in this document was sliced programmatically from the source files by line number at generation time — the listings are the real code, not a transcription. If the notebooks change, regenerate rather than hand-edit.</w:t>
      </w:r>
    </w:p>
    <w:tbl>
      <w:tblPr>
        <w:tblStyle w:val="LightGrid-Accent1"/>
        <w:tblW w:type="auto" w:w="0"/>
        <w:jc w:val="center"/>
        <w:tblLook w:firstColumn="1" w:firstRow="1" w:lastColumn="0" w:lastRow="0" w:noHBand="0" w:noVBand="1" w:val="04A0"/>
      </w:tblPr>
      <w:tblGrid>
        <w:gridCol w:w="4320"/>
        <w:gridCol w:w="4320"/>
      </w:tblGrid>
      <w:tr>
        <w:tc>
          <w:tcPr>
            <w:tcW w:type="dxa" w:w="6624"/>
          </w:tcPr>
          <w:p>
            <w:r/>
            <w:r>
              <w:rPr>
                <w:b/>
                <w:sz w:val="18"/>
              </w:rPr>
              <w:t>Source file</w:t>
            </w:r>
          </w:p>
        </w:tc>
        <w:tc>
          <w:tcPr>
            <w:tcW w:type="dxa" w:w="1152"/>
          </w:tcPr>
          <w:p>
            <w:r/>
            <w:r>
              <w:rPr>
                <w:b/>
                <w:sz w:val="18"/>
              </w:rPr>
              <w:t>Lines</w:t>
            </w:r>
          </w:p>
        </w:tc>
      </w:tr>
      <w:tr>
        <w:tc>
          <w:tcPr>
            <w:tcW w:type="dxa" w:w="6624"/>
          </w:tcPr>
          <w:p>
            <w:pPr>
              <w:spacing w:after="40"/>
            </w:pPr>
            <w:r/>
            <w:r>
              <w:rPr>
                <w:sz w:val="17"/>
              </w:rPr>
            </w:r>
            <w:r>
              <w:rPr>
                <w:rFonts w:ascii="Consolas" w:hAnsi="Consolas"/>
                <w:sz w:val="16"/>
              </w:rPr>
              <w:t>eso4/nb/nb_eso4_gold_fact_sales_tax_reconciliation.py</w:t>
            </w:r>
            <w:r>
              <w:rPr>
                <w:sz w:val="17"/>
              </w:rPr>
            </w:r>
          </w:p>
        </w:tc>
        <w:tc>
          <w:tcPr>
            <w:tcW w:type="dxa" w:w="1152"/>
          </w:tcPr>
          <w:p>
            <w:pPr>
              <w:spacing w:after="40"/>
            </w:pPr>
            <w:r/>
            <w:r>
              <w:rPr>
                <w:sz w:val="17"/>
              </w:rPr>
              <w:t>474</w:t>
            </w:r>
          </w:p>
        </w:tc>
      </w:tr>
      <w:tr>
        <w:tc>
          <w:tcPr>
            <w:tcW w:type="dxa" w:w="6624"/>
          </w:tcPr>
          <w:p>
            <w:pPr>
              <w:spacing w:after="40"/>
            </w:pPr>
            <w:r/>
            <w:r>
              <w:rPr>
                <w:sz w:val="17"/>
              </w:rPr>
            </w:r>
            <w:r>
              <w:rPr>
                <w:rFonts w:ascii="Consolas" w:hAnsi="Consolas"/>
                <w:sz w:val="16"/>
              </w:rPr>
              <w:t>eso4/nb/nb_eso4_gold_dim_business_unit.py</w:t>
            </w:r>
            <w:r>
              <w:rPr>
                <w:sz w:val="17"/>
              </w:rPr>
            </w:r>
          </w:p>
        </w:tc>
        <w:tc>
          <w:tcPr>
            <w:tcW w:type="dxa" w:w="1152"/>
          </w:tcPr>
          <w:p>
            <w:pPr>
              <w:spacing w:after="40"/>
            </w:pPr>
            <w:r/>
            <w:r>
              <w:rPr>
                <w:sz w:val="17"/>
              </w:rPr>
              <w:t>227</w:t>
            </w:r>
          </w:p>
        </w:tc>
      </w:tr>
      <w:tr>
        <w:tc>
          <w:tcPr>
            <w:tcW w:type="dxa" w:w="6624"/>
          </w:tcPr>
          <w:p>
            <w:pPr>
              <w:spacing w:after="40"/>
            </w:pPr>
            <w:r/>
            <w:r>
              <w:rPr>
                <w:sz w:val="17"/>
              </w:rPr>
            </w:r>
            <w:r>
              <w:rPr>
                <w:rFonts w:ascii="Consolas" w:hAnsi="Consolas"/>
                <w:sz w:val="16"/>
              </w:rPr>
              <w:t>eso4/nb/nb_eso4_gold_dim_udc.py</w:t>
            </w:r>
            <w:r>
              <w:rPr>
                <w:sz w:val="17"/>
              </w:rPr>
            </w:r>
          </w:p>
        </w:tc>
        <w:tc>
          <w:tcPr>
            <w:tcW w:type="dxa" w:w="1152"/>
          </w:tcPr>
          <w:p>
            <w:pPr>
              <w:spacing w:after="40"/>
            </w:pPr>
            <w:r/>
            <w:r>
              <w:rPr>
                <w:sz w:val="17"/>
              </w:rPr>
              <w:t>251</w:t>
            </w:r>
          </w:p>
        </w:tc>
      </w:tr>
    </w:tbl>
    <w:p>
      <w:pPr>
        <w:spacing w:after="80"/>
      </w:pPr>
    </w:p>
    <w:p>
      <w:r>
        <w:rPr>
          <w:b w:val="0"/>
          <w:i w:val="0"/>
          <w:sz w:val="21"/>
        </w:rPr>
        <w:t>Companion documents: eso4/docs/ESO4_gold_layer_design.md (design decisions and open items), eso4/docs/ESO4_hubble_field_mapping.md (column-by-column source-to-target), eso4/docs/ESO4_semantic_model_relationships_measures.md (the Power BI model), eso4/converted_tables_21.json (the authoritative JDE-alias-to-Silver-column 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4546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