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ESO4 — Sales Tax Reconciliation</w:t>
      </w:r>
    </w:p>
    <w:p>
      <w:pPr>
        <w:spacing w:before="0" w:after="280"/>
      </w:pPr>
      <w:r>
        <w:rPr>
          <w:color w:val="1F4E79"/>
          <w:sz w:val="26"/>
        </w:rPr>
        <w:t>A simple reference for implementation &amp; validation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4 (Sales Tax / Avalara)</w:t>
      </w:r>
    </w:p>
    <w:p>
      <w:pPr>
        <w:spacing w:before="0" w:after="40"/>
      </w:pPr>
      <w:r>
        <w:rPr>
          <w:color w:val="595F69"/>
          <w:sz w:val="18"/>
        </w:rPr>
        <w:t>One fact: lh_jde_gold.rpt.fact_sales_tax_reconciliation  ·  star schema (6 dims)</w:t>
      </w:r>
    </w:p>
    <w:p>
      <w:pPr>
        <w:spacing w:before="0" w:after="40"/>
      </w:pPr>
      <w:r>
        <w:rPr>
          <w:color w:val="595F69"/>
          <w:sz w:val="18"/>
        </w:rPr>
        <w:t>Sources: eso4_core_hubble_query.sql + TX002 (Reconciliation Version) — same report, different date window</w:t>
      </w:r>
    </w:p>
    <w:p>
      <w:pPr>
        <w:spacing w:before="0" w:after="40"/>
      </w:pPr>
      <w:r>
        <w:rPr>
          <w:color w:val="595F69"/>
          <w:sz w:val="18"/>
        </w:rPr>
        <w:t>Verified against the source SQL — 2026-07-21</w:t>
      </w:r>
    </w:p>
    <w:p/>
    <w:p>
      <w:pPr>
        <w:spacing w:before="40" w:after="120" w:line="276" w:lineRule="auto"/>
      </w:pPr>
      <w:r>
        <w:t xml:space="preserve">ESO4 is a </w:t>
      </w:r>
      <w:r>
        <w:rPr>
          <w:b/>
        </w:rPr>
        <w:t>single report</w:t>
      </w:r>
      <w:r>
        <w:t xml:space="preserve"> — a sales-tax reconciliation that ties each sales-order line (F4211) to its A/R customer-ledger tax amounts (F03B11) and classifies the line's business stream. The two SQL files (</w:t>
      </w:r>
      <w:r>
        <w:rPr>
          <w:rFonts w:ascii="Consolas" w:hAnsi="Consolas"/>
          <w:color w:val="9C272B"/>
          <w:sz w:val="17"/>
        </w:rPr>
        <w:t>core</w:t>
      </w:r>
      <w:r>
        <w:t xml:space="preserve"> and </w:t>
      </w:r>
      <w:r>
        <w:rPr>
          <w:rFonts w:ascii="Consolas" w:hAnsi="Consolas"/>
          <w:color w:val="9C272B"/>
          <w:sz w:val="17"/>
        </w:rPr>
        <w:t>TX002 Reconciliation Version</w:t>
      </w:r>
      <w:r>
        <w:t xml:space="preserve">) are the </w:t>
      </w:r>
      <w:r>
        <w:rPr>
          <w:b/>
        </w:rPr>
        <w:t>same query</w:t>
      </w:r>
      <w:r>
        <w:t xml:space="preserve"> — identical tables, joins, columns and measures; only the </w:t>
      </w:r>
      <w:r>
        <w:rPr>
          <w:b/>
        </w:rPr>
        <w:t>GL-date window</w:t>
      </w:r>
      <w:r>
        <w:t xml:space="preserve"> (and an internal hash salt) differ. Filtering is done in Power BI; the Gold notebook applies no report filters. The fact stores FK </w:t>
      </w:r>
      <w:r>
        <w:rPr>
          <w:b/>
        </w:rPr>
        <w:t>codes</w:t>
      </w:r>
      <w:r>
        <w:t>; descriptions resolve through dimensions (star schema).</w:t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1 · Sales Tax Reconciliation</w:t>
      </w:r>
    </w:p>
    <w:p>
      <w:pPr>
        <w:spacing w:before="220" w:after="60"/>
      </w:pPr>
      <w:r>
        <w:rPr>
          <w:b/>
          <w:color w:val="0F6B6B"/>
          <w:sz w:val="21"/>
        </w:rPr>
        <w:t>Description</w:t>
      </w:r>
    </w:p>
    <w:p>
      <w:pPr>
        <w:spacing w:before="60" w:after="100" w:line="276" w:lineRule="auto"/>
      </w:pPr>
      <w:r>
        <w:t xml:space="preserve">One row per Hubble GROUP-BY tuple (an 18-key display grain): a sales-order line joined to its A/R invoice tax amounts, enriched with the ship-to's SIC code + jurisdiction/county, the plant's business unit, and a derived </w:t>
      </w:r>
      <w:r>
        <w:rPr>
          <w:b/>
        </w:rPr>
        <w:t>business stream</w:t>
      </w:r>
      <w:r>
        <w:t xml:space="preserve"> (O&amp;G vs ISP). The four tax amounts (taxable / non-taxable / tax / gross) are summed; everything else is a grouping attribute. Used to reconcile JDE tax against Avalara.</w:t>
      </w:r>
    </w:p>
    <w:p>
      <w:pPr>
        <w:spacing w:before="220" w:after="60"/>
      </w:pPr>
      <w:r>
        <w:rPr>
          <w:b/>
          <w:color w:val="0F6B6B"/>
          <w:sz w:val="21"/>
        </w:rPr>
        <w:t>Page-level filters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 / model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SDDGL BETWEEN &lt;range&gt;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GL-date window — </w:t>
            </w:r>
            <w:r>
              <w:rPr>
                <w:b/>
                <w:sz w:val="16"/>
              </w:rPr>
              <w:t>the only filter</w:t>
            </w:r>
            <w:r>
              <w:rPr>
                <w:sz w:val="16"/>
              </w:rPr>
              <w:t>. core = May 2026 (126121-126151); TX002 = Feb 2026 (126032-126059)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(none other)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 company, doc-type, or status filter in Hubble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optionally slice </w:t>
            </w:r>
            <w:r>
              <w:rPr>
                <w:rFonts w:ascii="Consolas" w:hAnsi="Consolas"/>
                <w:sz w:val="15"/>
              </w:rPr>
              <w:t>document_company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business_stream</w:t>
            </w:r>
            <w:r>
              <w:rPr>
                <w:sz w:val="16"/>
              </w:rPr>
              <w:t xml:space="preserve"> as needed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Query filters (WHERE / conditional)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3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Predicate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3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63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F4211.SDDGL BETWEEN 126121 AND 126151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WHERE</w:t>
            </w:r>
          </w:p>
        </w:tc>
        <w:tc>
          <w:tcPr>
            <w:tcW w:type="dxa" w:w="73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ONLY row filter — GL date (→ </w:t>
            </w:r>
            <w:r>
              <w:rPr>
                <w:rFonts w:ascii="Consolas" w:hAnsi="Consolas"/>
                <w:sz w:val="15"/>
              </w:rPr>
              <w:t>gl_date</w:t>
            </w:r>
            <w:r>
              <w:rPr>
                <w:sz w:val="16"/>
              </w:rPr>
              <w:t xml:space="preserve"> slicer)</w:t>
            </w:r>
          </w:p>
        </w:tc>
      </w:tr>
      <w:tr>
        <w:tc>
          <w:tcPr>
            <w:tcW w:type="dxa" w:w="63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business_stream CASE (ABSIC × MCRP20)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CASE</w:t>
            </w:r>
          </w:p>
        </w:tc>
        <w:tc>
          <w:tcPr>
            <w:tcW w:type="dxa" w:w="73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classifies O&amp;G vs ISP — a value, not a row filter (see business logic)</w:t>
            </w:r>
          </w:p>
        </w:tc>
      </w:tr>
      <w:tr>
        <w:tc>
          <w:tcPr>
            <w:tcW w:type="dxa" w:w="63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'A'..'P' OR 'R'..'ZZZ'</w:t>
            </w:r>
          </w:p>
        </w:tc>
        <w:tc>
          <w:tcPr>
            <w:tcW w:type="dxa" w:w="187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join</w:t>
            </w:r>
          </w:p>
        </w:tc>
        <w:tc>
          <w:tcPr>
            <w:tcW w:type="dxa" w:w="73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address-source band on the F0101 sub-select (value selector; LEFT join → no rows dropped)</w:t>
            </w:r>
          </w:p>
        </w:tc>
      </w:tr>
      <w:tr>
        <w:tc>
          <w:tcPr>
            <w:tcW w:type="dxa" w:w="63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NVL(ShiftFactor, 0.01)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expr</w:t>
            </w:r>
          </w:p>
        </w:tc>
        <w:tc>
          <w:tcPr>
            <w:tcW w:type="dxa" w:w="73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company de-scale factor → constant 1.0 in Gold (Silver pre-decoded)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Source tables &amp; join conditions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0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0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Join condition / role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base</w:t>
            </w:r>
          </w:p>
        </w:tc>
        <w:tc>
          <w:tcPr>
            <w:tcW w:type="dxa" w:w="110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sales-order detail — the row source (streamed, CDF)</w:t>
            </w:r>
          </w:p>
        </w:tc>
      </w:tr>
      <w:tr>
        <w:tc>
          <w:tcPr>
            <w:tcW w:type="dxa" w:w="30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INNER</w:t>
            </w:r>
          </w:p>
        </w:tc>
        <w:tc>
          <w:tcPr>
            <w:tcW w:type="dxa" w:w="110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SDDOC=RPODOC · SDDCT=RPODCT · SDKCO=RPOKCO · SDLNID=RPLNID</w:t>
            </w:r>
            <w:r>
              <w:rPr>
                <w:sz w:val="16"/>
              </w:rPr>
              <w:t xml:space="preserve"> — the A/R tax amounts (streamed)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⋈ F0116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0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SDSHAN=ABAN8</w:t>
            </w:r>
            <w:r>
              <w:rPr>
                <w:sz w:val="16"/>
              </w:rPr>
              <w:t xml:space="preserve">; F0101 band-filtered, INNER to F0116 on </w:t>
            </w:r>
            <w:r>
              <w:rPr>
                <w:rFonts w:ascii="Consolas" w:hAnsi="Consolas"/>
                <w:sz w:val="15"/>
              </w:rPr>
              <w:t>ABAN8=ALAN8</w:t>
            </w:r>
            <w:r>
              <w:rPr>
                <w:sz w:val="16"/>
              </w:rPr>
              <w:t xml:space="preserve"> → SIC code + jurisdiction/county</w:t>
            </w:r>
          </w:p>
        </w:tc>
      </w:tr>
      <w:tr>
        <w:tc>
          <w:tcPr>
            <w:tcW w:type="dxa" w:w="30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F0006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0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SDMCU=MCMCU</w:t>
            </w:r>
            <w:r>
              <w:rPr>
                <w:sz w:val="16"/>
              </w:rPr>
              <w:t xml:space="preserve"> → MCRP20 (business-stream input)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 shift temp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</w:t>
            </w:r>
          </w:p>
        </w:tc>
        <w:tc>
          <w:tcPr>
            <w:tcW w:type="dxa" w:w="110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RPCO=CO</w:t>
            </w:r>
            <w:r>
              <w:rPr>
                <w:sz w:val="16"/>
              </w:rPr>
              <w:t xml:space="preserve"> → ShiftFactor (constant 1.0 in Gold)</w:t>
            </w:r>
          </w:p>
        </w:tc>
      </w:tr>
      <w:tr>
        <w:tc>
          <w:tcPr>
            <w:tcW w:type="dxa" w:w="30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 dims (star) —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</w:r>
          </w:p>
        </w:tc>
        <w:tc>
          <w:tcPr>
            <w:tcW w:type="dxa" w:w="110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dim_business_unit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rel</w:t>
            </w:r>
          </w:p>
        </w:tc>
        <w:tc>
          <w:tcPr>
            <w:tcW w:type="dxa" w:w="1108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plant → MCMCU</w:t>
            </w:r>
            <w:r>
              <w:rPr>
                <w:sz w:val="16"/>
              </w:rPr>
              <w:t xml:space="preserve"> → plant_name, business_stream_code</w:t>
            </w:r>
          </w:p>
        </w:tc>
      </w:tr>
      <w:tr>
        <w:tc>
          <w:tcPr>
            <w:tcW w:type="dxa" w:w="30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dim_sic / dim_state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rel</w:t>
            </w:r>
          </w:p>
        </w:tc>
        <w:tc>
          <w:tcPr>
            <w:tcW w:type="dxa" w:w="110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sic_code / jurisdiction</w:t>
            </w:r>
            <w:r>
              <w:rPr>
                <w:sz w:val="16"/>
              </w:rPr>
              <w:t xml:space="preserve"> → sic_description / state_name (F0005 UDC 01/SC, 00/S)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dim_address_ship_to / sold_to / parent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rel</w:t>
            </w:r>
          </w:p>
        </w:tc>
        <w:tc>
          <w:tcPr>
            <w:tcW w:type="dxa" w:w="110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reused rpt.dim_address_book role views → address names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Measures / calculated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41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 / field</w:t>
            </w:r>
          </w:p>
        </w:tc>
        <w:tc>
          <w:tcPr>
            <w:tcW w:type="dxa" w:w="113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417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Taxable / Non-Taxable / Tax / Gross Amount</w:t>
            </w:r>
          </w:p>
        </w:tc>
        <w:tc>
          <w:tcPr>
            <w:tcW w:type="dxa" w:w="11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SUM of taxable_amount / non_taxable_amount / tax_amount / gross_amount (RPATXA / RPATXN / RPSTAM / RPAG × ShiftFactor)</w:t>
            </w:r>
          </w:p>
        </w:tc>
      </w:tr>
      <w:tr>
        <w:tc>
          <w:tcPr>
            <w:tcW w:type="dxa" w:w="41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Effective Tax Rate</w:t>
            </w:r>
          </w:p>
        </w:tc>
        <w:tc>
          <w:tcPr>
            <w:tcW w:type="dxa" w:w="11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DIVIDE([Tax Amount], [Taxable Amount]) — tax as a % of the taxable base</w:t>
            </w:r>
          </w:p>
        </w:tc>
      </w:tr>
      <w:tr>
        <w:tc>
          <w:tcPr>
            <w:tcW w:type="dxa" w:w="417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Invoice Count</w:t>
            </w:r>
          </w:p>
        </w:tc>
        <w:tc>
          <w:tcPr>
            <w:tcW w:type="dxa" w:w="11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DISTINCTCOUNT(</w:t>
            </w:r>
            <w:r>
              <w:rPr>
                <w:rFonts w:ascii="Consolas" w:hAnsi="Consolas"/>
                <w:sz w:val="15"/>
              </w:rPr>
              <w:t>avalara_code</w:t>
            </w:r>
            <w:r>
              <w:rPr>
                <w:sz w:val="16"/>
              </w:rPr>
              <w:t>) — distinct invoices</w:t>
            </w:r>
          </w:p>
        </w:tc>
      </w:tr>
      <w:tr>
        <w:tc>
          <w:tcPr>
            <w:tcW w:type="dxa" w:w="41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 Lines</w:t>
            </w:r>
          </w:p>
        </w:tc>
        <w:tc>
          <w:tcPr>
            <w:tcW w:type="dxa" w:w="11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— number of reconciliation rows</w:t>
            </w:r>
          </w:p>
        </w:tc>
      </w:tr>
      <w:tr>
        <w:tc>
          <w:tcPr>
            <w:tcW w:type="dxa" w:w="417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business_stream (calc)</w:t>
            </w:r>
          </w:p>
        </w:tc>
        <w:tc>
          <w:tcPr>
            <w:tcW w:type="dxa" w:w="11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CASE on </w:t>
            </w:r>
            <w:r>
              <w:rPr>
                <w:rFonts w:ascii="Consolas" w:hAnsi="Consolas"/>
                <w:sz w:val="15"/>
              </w:rPr>
              <w:t>ABSIC × MCRP20</w:t>
            </w:r>
            <w:r>
              <w:rPr>
                <w:sz w:val="16"/>
              </w:rPr>
              <w:t xml:space="preserve"> → 'O&amp;G' / 'ISP' (physical column)</w:t>
            </w:r>
          </w:p>
        </w:tc>
      </w:tr>
      <w:tr>
        <w:tc>
          <w:tcPr>
            <w:tcW w:type="dxa" w:w="41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avalara_code (calc)</w:t>
            </w:r>
          </w:p>
        </w:tc>
        <w:tc>
          <w:tcPr>
            <w:tcW w:type="dxa" w:w="113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concat(invoice_number, document_type, document_company) — e.g. </w:t>
            </w:r>
            <w:r>
              <w:rPr>
                <w:rFonts w:ascii="Consolas" w:hAnsi="Consolas"/>
                <w:sz w:val="15"/>
              </w:rPr>
              <w:t>11843107RI00400</w:t>
            </w:r>
          </w:p>
        </w:tc>
      </w:tr>
      <w:tr>
        <w:tc>
          <w:tcPr>
            <w:tcW w:type="dxa" w:w="417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tax_status (calc)</w:t>
            </w:r>
          </w:p>
        </w:tc>
        <w:tc>
          <w:tcPr>
            <w:tcW w:type="dxa" w:w="113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Taxable / Non-Taxable flag, materialised from the summed tax_amount</w:t>
            </w:r>
          </w:p>
        </w:tc>
      </w:tr>
    </w:tbl>
    <w:p>
      <w:pPr>
        <w:spacing w:before="0" w:after="120"/>
      </w:pPr>
    </w:p>
    <w:p>
      <w:pPr>
        <w:spacing w:before="220" w:after="60"/>
      </w:pPr>
      <w:r>
        <w:rPr>
          <w:b/>
          <w:color w:val="0F6B6B"/>
          <w:sz w:val="21"/>
        </w:rPr>
        <w:t>Columns displayed (docx §6 — 25; #6 absent in source)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Heading (docx)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source</w:t>
            </w:r>
          </w:p>
        </w:tc>
        <w:tc>
          <w:tcPr>
            <w:tcW w:type="dxa" w:w="777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Gold model column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Document Company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SDKCO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document_company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Plant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SDMCU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plant (FK → dim_business_unit)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Plant Name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F0006 MCDL01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dim_business_unit[plant_name]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Business Stream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calculation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business_stream (O&amp;G / ISP)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 Explanation Code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SDEXR1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tax_explanation_code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 Area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RPTXA1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tax_area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 Date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SDDGL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gl_date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Service / Tax Date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RPDSVJ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service_tax_date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Taxable Amount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RPATXA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[Taxable Amount]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Non-Taxable Amount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RPATXN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[Non-Taxable Amount]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Tax Amount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RPSTAM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[Tax Amount]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Gross Amount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F03B11 RPAG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measure [Gross Amount]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Document Type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SDDCT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document_type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Invoice Number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SDDOC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invoice_number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Avalara Code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calculation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avalara_code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Jurisdiction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F0116 ALADDS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jurisdiction (FK → dim_state[state_name])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County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F0116 ALCOUN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county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Ship To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SDSHAN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ship_to (FK → dim_address_ship_to)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Sold To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SDAN8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sold_to (FK → dim_address_sold_to)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Parent Number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SDPA8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parent_number (FK → dim_address_parent)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Order Number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SDDOCO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order_number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Order Type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SDDCTO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order_type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SIC Code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ABSIC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 sic_code (FK → dim_sic)</w:t>
            </w:r>
          </w:p>
        </w:tc>
      </w:tr>
      <w:tr>
        <w:tc>
          <w:tcPr>
            <w:tcW w:type="dxa" w:w="5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SIC Description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F0005 DRDL01</w:t>
            </w:r>
          </w:p>
        </w:tc>
        <w:tc>
          <w:tcPr>
            <w:tcW w:type="dxa" w:w="777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dim_sic[sic_description]</w:t>
            </w:r>
          </w:p>
        </w:tc>
      </w:tr>
      <w:tr>
        <w:tc>
          <w:tcPr>
            <w:tcW w:type="dxa" w:w="57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Business Stream (raw)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F0006 MCRP20</w:t>
            </w:r>
          </w:p>
        </w:tc>
        <w:tc>
          <w:tcPr>
            <w:tcW w:type="dxa" w:w="777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dim_business_unit[business_stream_code]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Notes for validation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One report, two date windows. </w:t>
      </w:r>
      <w:r>
        <w:t xml:space="preserve">The core and TX002 SQL are the same query; validate one and the other follows. Slice </w:t>
      </w:r>
      <w:r>
        <w:rPr>
          <w:rFonts w:ascii="Consolas" w:hAnsi="Consolas"/>
          <w:color w:val="9C272B"/>
          <w:sz w:val="17"/>
        </w:rPr>
        <w:t>gl_date</w:t>
      </w:r>
      <w:r>
        <w:t xml:space="preserve"> to reproduce either window.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Star schema. </w:t>
      </w:r>
      <w:r>
        <w:t>The fact holds FK codes only. Plant Name, SIC Description, State name and the address names resolve through dimensions — the report must display the dim columns, not the fact FK.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Amounts pre-decoded. </w:t>
      </w:r>
      <w:r>
        <w:t>Silver already applied JDE implied decimals, so the Hubble ShiftFactor de-scale becomes a constant 1.0 — read the four amounts as-is.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Grain = the 18-key GROUP BY tuple. </w:t>
      </w:r>
      <w:r>
        <w:t>F03B11 pay items (RPDOC/RPDCT/RPKCO/RPSFX) sit in the inner DISTINCT only and collapse into one summed row per display tuple, exactly as Hubble does.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 xml:space="preserve">Open / verify. </w:t>
      </w:r>
      <w:r>
        <w:t>(1) Nothing reconciled against Hubble yet (Gate 2 blocked); (2) the #19/#20 ship-to / sold-to label swap (design §5); (3) avalara_code and the F0005 UDC system/types (01/SC, 00/S) are inferred; (4) run the 3 notebooks (dims first), then flip OVERWRITE→False.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Appendix · Measure DAX (all 7, from the semantic model)</w:t>
      </w:r>
    </w:p>
    <w:p>
      <w:pPr>
        <w:spacing w:before="60" w:after="120" w:line="276" w:lineRule="auto"/>
      </w:pPr>
      <w:r>
        <w:t xml:space="preserve">Every measure in </w:t>
      </w:r>
      <w:r>
        <w:rPr>
          <w:rFonts w:ascii="Consolas" w:hAnsi="Consolas"/>
          <w:color w:val="9C272B"/>
          <w:sz w:val="17"/>
        </w:rPr>
        <w:t>fact_sales_tax_reconciliation.tmdl</w:t>
      </w:r>
      <w:r>
        <w:t>, read directly from the model at generation time so it cannot drift. Grouped by display folder.</w:t>
      </w:r>
    </w:p>
    <w:p>
      <w:pPr>
        <w:spacing w:before="280" w:after="100"/>
      </w:pPr>
      <w:r>
        <w:rPr>
          <w:b/>
          <w:color w:val="1F4E79"/>
          <w:sz w:val="26"/>
        </w:rPr>
        <w:t>Tax  (5)</w:t>
      </w:r>
    </w:p>
    <w:p>
      <w:pPr>
        <w:spacing w:before="160" w:after="20" w:line="276" w:lineRule="auto"/>
      </w:pPr>
      <w:r>
        <w:rPr>
          <w:b/>
        </w:rPr>
        <w:t>Taxable Amount</w:t>
      </w:r>
    </w:p>
    <w:p>
      <w:pPr>
        <w:spacing w:before="0" w:after="40" w:line="276" w:lineRule="auto"/>
      </w:pPr>
      <w:r>
        <w:rPr>
          <w:i/>
        </w:rPr>
        <w:t>Sum of taxable_amount (the amount subject to tax)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SUM(fact_sales_tax_reconciliation[taxable_amount])</w:t>
      </w:r>
    </w:p>
    <w:p>
      <w:pPr>
        <w:spacing w:before="160" w:after="20" w:line="276" w:lineRule="auto"/>
      </w:pPr>
      <w:r>
        <w:rPr>
          <w:b/>
        </w:rPr>
        <w:t>Non-Taxable Amount</w:t>
      </w:r>
    </w:p>
    <w:p>
      <w:pPr>
        <w:spacing w:before="0" w:after="40" w:line="276" w:lineRule="auto"/>
      </w:pPr>
      <w:r>
        <w:rPr>
          <w:i/>
        </w:rPr>
        <w:t>Sum of non_taxable_amount (the exempt amount)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SUM(fact_sales_tax_reconciliation[non_taxable_amount])</w:t>
      </w:r>
    </w:p>
    <w:p>
      <w:pPr>
        <w:spacing w:before="160" w:after="20" w:line="276" w:lineRule="auto"/>
      </w:pPr>
      <w:r>
        <w:rPr>
          <w:b/>
        </w:rPr>
        <w:t>Tax Amount</w:t>
      </w:r>
    </w:p>
    <w:p>
      <w:pPr>
        <w:spacing w:before="0" w:after="40" w:line="276" w:lineRule="auto"/>
      </w:pPr>
      <w:r>
        <w:rPr>
          <w:i/>
        </w:rPr>
        <w:t>Sum of tax_amount (the tax charged)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SUM(fact_sales_tax_reconciliation[tax_amount])</w:t>
      </w:r>
    </w:p>
    <w:p>
      <w:pPr>
        <w:spacing w:before="160" w:after="20" w:line="276" w:lineRule="auto"/>
      </w:pPr>
      <w:r>
        <w:rPr>
          <w:b/>
        </w:rPr>
        <w:t>Gross Amount</w:t>
      </w:r>
    </w:p>
    <w:p>
      <w:pPr>
        <w:spacing w:before="0" w:after="40" w:line="276" w:lineRule="auto"/>
      </w:pPr>
      <w:r>
        <w:rPr>
          <w:i/>
        </w:rPr>
        <w:t>Sum of gross_amount (the invoice gross) across the current selection.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SUM(fact_sales_tax_reconciliation[gross_amount])</w:t>
      </w:r>
    </w:p>
    <w:p>
      <w:pPr>
        <w:spacing w:before="160" w:after="20" w:line="276" w:lineRule="auto"/>
      </w:pPr>
      <w:r>
        <w:rPr>
          <w:b/>
        </w:rPr>
        <w:t>Effective Tax Rate</w:t>
      </w:r>
    </w:p>
    <w:p>
      <w:pPr>
        <w:spacing w:before="0" w:after="40" w:line="276" w:lineRule="auto"/>
      </w:pPr>
      <w:r>
        <w:rPr>
          <w:i/>
        </w:rPr>
        <w:t>[Tax Amount] divided by [Taxable Amount] — the effective tax rate (tax as a % of the taxable base).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DIVIDE([Tax Amount], [Taxable Amount])</w:t>
      </w:r>
    </w:p>
    <w:p>
      <w:pPr>
        <w:spacing w:before="280" w:after="100"/>
      </w:pPr>
      <w:r>
        <w:rPr>
          <w:b/>
          <w:color w:val="1F4E79"/>
          <w:sz w:val="26"/>
        </w:rPr>
        <w:t>Counts  (2)</w:t>
      </w:r>
    </w:p>
    <w:p>
      <w:pPr>
        <w:spacing w:before="160" w:after="20" w:line="276" w:lineRule="auto"/>
      </w:pPr>
      <w:r>
        <w:rPr>
          <w:b/>
        </w:rPr>
        <w:t>Invoice Count</w:t>
      </w:r>
    </w:p>
    <w:p>
      <w:pPr>
        <w:spacing w:before="0" w:after="40" w:line="276" w:lineRule="auto"/>
      </w:pPr>
      <w:r>
        <w:rPr>
          <w:i/>
        </w:rPr>
        <w:t>Distinct count of avalara_code — the number of invoices.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DISTINCTCOUNT(fact_sales_tax_reconciliation[avalara_code])</w:t>
      </w:r>
    </w:p>
    <w:p>
      <w:pPr>
        <w:spacing w:before="160" w:after="20" w:line="276" w:lineRule="auto"/>
      </w:pPr>
      <w:r>
        <w:rPr>
          <w:b/>
        </w:rPr>
        <w:t>Tax Lines</w:t>
      </w:r>
    </w:p>
    <w:p>
      <w:pPr>
        <w:spacing w:before="0" w:after="40" w:line="276" w:lineRule="auto"/>
      </w:pPr>
      <w:r>
        <w:rPr>
          <w:i/>
        </w:rPr>
        <w:t>Count of fact rows — one per reconciliation (tax) line.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COUNTROWS(fact_sales_tax_reconciliation)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