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8102E"/>
          <w:sz w:val="18"/>
          <w:szCs w:val="18"/>
        </w:rPr>
        <w:t xml:space="preserve">CMSC 838B  ·  STUDENT LECTURE  ·  FALL 2026</w:t>
      </w:r>
    </w:p>
    <w:p>
      <w:pPr>
        <w:pStyle w:val="Title"/>
      </w:pPr>
      <w:r>
        <w:t xml:space="preserve">Neural SDEs: Reading and Prep Guide</w:t>
      </w:r>
    </w:p>
    <w:p>
      <w:pPr>
        <w:spacing w:after="120"/>
      </w:pPr>
      <w:r>
        <w:rPr>
          <w:color w:val="6B7280"/>
        </w:rPr>
        <w:t xml:space="preserve">Lecture: </w:t>
      </w:r>
      <w:r>
        <w:rPr>
          <w:b/>
          <w:bCs/>
        </w:rPr>
        <w:t xml:space="preserve">Backprop Through Continuous Time: Neural SDEs: Modeling, Gradients, and Training</w:t>
      </w:r>
      <w:r>
        <w:rPr>
          <w:color w:val="6B7280"/>
        </w:rPr>
        <w:t xml:space="preserve">   ·   Running example: avocado shelf life   ·   Nishad Wajge</w:t>
      </w:r>
    </w:p>
    <w:p>
      <w:pPr>
        <w:spacing w:after="120"/>
      </w:pPr>
      <w:r>
        <w:t xml:space="preserve">Part 1 is the reading list for the class, ready to post with the slides. Part 2 is your prep plan, ordered to match the deck. Part 3 explains every equation on the slides in plain words. Part 4 is the questions you should be able to answer cold. Part 5 lists what's still a placeholder.</w:t>
      </w:r>
    </w:p>
    <w:p>
      <w:pPr>
        <w:pStyle w:val="Heading1"/>
      </w:pPr>
      <w:r>
        <w:t xml:space="preserve">Course requirements for the lecture</w:t>
      </w:r>
    </w:p>
    <w:p>
      <w:pPr>
        <w:spacing w:after="120"/>
      </w:pPr>
      <w:r>
        <w:t xml:space="preserve">From the course's Class Presentation page and its posting instructions. Grading: </w:t>
      </w:r>
      <w:r>
        <w:rPr>
          <w:b/>
          <w:bCs/>
        </w:rPr>
        <w:t xml:space="preserve">advance preparation 40%</w:t>
      </w:r>
      <w:r>
        <w:t xml:space="preserve">, </w:t>
      </w:r>
      <w:r>
        <w:rPr>
          <w:b/>
          <w:bCs/>
        </w:rPr>
        <w:t xml:space="preserve">analysis and discussion of the materials 40%</w:t>
      </w:r>
      <w:r>
        <w:t xml:space="preserve">, </w:t>
      </w:r>
      <w:r>
        <w:rPr>
          <w:b/>
          <w:bCs/>
        </w:rPr>
        <w:t xml:space="preserve">style and clarity 20%</w:t>
      </w:r>
      <w:r>
        <w:t xml:space="preserve">. Length isn't stated; last year's schedule fit two or three talks per 75-minute class. The deck runs about 24 minutes plus 5 of discussion, and slides 14 and 17 can be skipped to fit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tblHeader/>
        </w:trPr>
        <w:tc>
          <w:tcPr>
            <w:tcW w:type="dxa" w:w="30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Step</w:t>
            </w:r>
          </w:p>
        </w:tc>
        <w:tc>
          <w:tcPr>
            <w:tcW w:type="dxa" w:w="22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When</w:t>
            </w:r>
          </w:p>
        </w:tc>
        <w:tc>
          <w:tcPr>
            <w:tcW w:type="dxa" w:w="416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Notes</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rPr>
              <w:t xml:space="preserve">Topic + reading list to Prof. Lin</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Was due Oct 9</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If not already sent, send Part 1 now.</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1:1 meeting with Prof. Lin</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Before the talk</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She goes through the materials with you in detail.</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Draft slides + initial treatment</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week before your slot</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Send the .pptx, placeholders and all; say the results slide is in progress.</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Hand out readings not online</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lecture before</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Not needed: every reading below is online.</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Post slides, readings, discussion questions</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24 hours before</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Slides as PowerPoint, readings as PDF, in a public_html subfolder. Email her the exact location.</w:t>
            </w:r>
          </w:p>
        </w:tc>
      </w:tr>
    </w:tbl>
    <w:p>
      <w:pPr>
        <w:spacing w:after="120"/>
      </w:pPr>
    </w:p>
    <w:p>
      <w:pPr>
        <w:pStyle w:val="Heading1"/>
      </w:pPr>
      <w:r>
        <w:t xml:space="preserve">Part 1. Reading list for the class</w:t>
      </w:r>
    </w:p>
    <w:p>
      <w:pPr>
        <w:spacing w:after="160"/>
      </w:pPr>
      <w:r>
        <w:rPr>
          <w:i/>
          <w:iCs/>
          <w:color w:val="6B7280"/>
          <w:sz w:val="20"/>
          <w:szCs w:val="20"/>
        </w:rPr>
        <w:t xml:space="preserve">Post this with the slides. Estimated load: about 2 hours for the required pair.</w:t>
      </w:r>
    </w:p>
    <w:p>
      <w:pPr>
        <w:pStyle w:val="Heading2"/>
        <w:keepNext/>
      </w:pPr>
      <w:r>
        <w:t xml:space="preserve">Required</w:t>
      </w:r>
    </w:p>
    <w:p>
      <w:pPr>
        <w:pStyle w:val="ListParagraph"/>
        <w:keepNext/>
        <w:keepLines/>
        <w:numPr>
          <w:ilvl w:val="0"/>
          <w:numId w:val="2"/>
        </w:numPr>
        <w:spacing w:after="20"/>
      </w:pPr>
      <w:hyperlink w:history="1" r:id="rIdmovrdfehzeev-svxpl9ns">
        <w:r>
          <w:rPr>
            <w:rStyle w:val="Hyperlink"/>
          </w:rPr>
          <w:t xml:space="preserve">Neural Ordinary Differential Equations</w:t>
        </w:r>
      </w:hyperlink>
      <w:r>
        <w:rPr>
          <w:color w:val="6B7280"/>
        </w:rPr>
        <w:t xml:space="preserve">  ·  Chen, Rubanova, Bettencourt, Duvenaud · NeurIPS 2018</w:t>
      </w:r>
    </w:p>
    <w:p>
      <w:pPr>
        <w:spacing w:after="120"/>
        <w:ind w:left="720"/>
      </w:pPr>
      <w:r>
        <w:rPr>
          <w:sz w:val="21"/>
          <w:szCs w:val="21"/>
        </w:rPr>
        <w:t xml:space="preserve">Read Sections 1–3: the ResNet-to-ODE idea and the adjoint method. Skim the rest.</w:t>
      </w:r>
    </w:p>
    <w:p>
      <w:pPr>
        <w:pStyle w:val="ListParagraph"/>
        <w:keepNext/>
        <w:keepLines/>
        <w:numPr>
          <w:ilvl w:val="0"/>
          <w:numId w:val="2"/>
        </w:numPr>
        <w:spacing w:after="20"/>
      </w:pPr>
      <w:hyperlink w:history="1" r:id="rIdejihstkdgyabelbl8fbhs">
        <w:r>
          <w:rPr>
            <w:rStyle w:val="Hyperlink"/>
          </w:rPr>
          <w:t xml:space="preserve">Scalable Gradients for Stochastic Differential Equations</w:t>
        </w:r>
      </w:hyperlink>
      <w:r>
        <w:rPr>
          <w:color w:val="6B7280"/>
        </w:rPr>
        <w:t xml:space="preserve">  ·  Li, Wong, Chen, Duvenaud · AISTATS 2020</w:t>
      </w:r>
    </w:p>
    <w:p>
      <w:pPr>
        <w:spacing w:after="120"/>
        <w:ind w:left="720"/>
      </w:pPr>
      <w:r>
        <w:rPr>
          <w:sz w:val="21"/>
          <w:szCs w:val="21"/>
        </w:rPr>
        <w:t xml:space="preserve">Read the stochastic adjoint, the virtual Brownian tree, and the latent SDE (ELBO via Girsanov). These are slides 11 and 13.</w:t>
      </w:r>
    </w:p>
    <w:p>
      <w:pPr>
        <w:pStyle w:val="Heading2"/>
        <w:keepNext/>
      </w:pPr>
      <w:r>
        <w:t xml:space="preserve">Optional</w:t>
      </w:r>
    </w:p>
    <w:p>
      <w:pPr>
        <w:pStyle w:val="ListParagraph"/>
        <w:keepNext/>
        <w:keepLines/>
        <w:numPr>
          <w:ilvl w:val="0"/>
          <w:numId w:val="2"/>
        </w:numPr>
        <w:spacing w:after="20"/>
      </w:pPr>
      <w:hyperlink w:history="1" r:id="rIdrc3vffbui87xufyh-sj5b">
        <w:r>
          <w:rPr>
            <w:rStyle w:val="Hyperlink"/>
          </w:rPr>
          <w:t xml:space="preserve">Monte Carlo Gradient Estimation in Machine Learning</w:t>
        </w:r>
      </w:hyperlink>
      <w:r>
        <w:rPr>
          <w:color w:val="6B7280"/>
        </w:rPr>
        <w:t xml:space="preserve">  ·  Mohamed, Rosca, Figurnov, Mnih · JMLR 2020</w:t>
      </w:r>
    </w:p>
    <w:p>
      <w:pPr>
        <w:spacing w:after="120"/>
        <w:ind w:left="720"/>
      </w:pPr>
      <w:r>
        <w:rPr>
          <w:sz w:val="21"/>
          <w:szCs w:val="21"/>
        </w:rPr>
        <w:t xml:space="preserve">Sections on pathwise and score-function estimators. Background for slide 10.</w:t>
      </w:r>
    </w:p>
    <w:p>
      <w:pPr>
        <w:pStyle w:val="ListParagraph"/>
        <w:keepNext/>
        <w:keepLines/>
        <w:numPr>
          <w:ilvl w:val="0"/>
          <w:numId w:val="2"/>
        </w:numPr>
        <w:spacing w:after="20"/>
      </w:pPr>
      <w:hyperlink w:history="1" r:id="rIdta7o4s-wz_5xp9l8p-05t">
        <w:r>
          <w:rPr>
            <w:rStyle w:val="Hyperlink"/>
          </w:rPr>
          <w:t xml:space="preserve">Score-Based Generative Modeling through Stochastic Differential Equations</w:t>
        </w:r>
      </w:hyperlink>
      <w:r>
        <w:rPr>
          <w:color w:val="6B7280"/>
        </w:rPr>
        <w:t xml:space="preserve">  ·  Song et al. · ICLR 2021</w:t>
      </w:r>
    </w:p>
    <w:p>
      <w:pPr>
        <w:spacing w:after="120"/>
        <w:ind w:left="720"/>
      </w:pPr>
      <w:r>
        <w:rPr>
          <w:sz w:val="21"/>
          <w:szCs w:val="21"/>
        </w:rPr>
        <w:t xml:space="preserve">The SDE framework and the probability-flow ODE. Slide 15.</w:t>
      </w:r>
    </w:p>
    <w:p>
      <w:pPr>
        <w:pStyle w:val="ListParagraph"/>
        <w:keepNext/>
        <w:keepLines/>
        <w:numPr>
          <w:ilvl w:val="0"/>
          <w:numId w:val="2"/>
        </w:numPr>
        <w:spacing w:after="20"/>
      </w:pPr>
      <w:hyperlink w:history="1" r:id="rIda98z4ihsfkr6w7uovnmt2">
        <w:r>
          <w:rPr>
            <w:rStyle w:val="Hyperlink"/>
          </w:rPr>
          <w:t xml:space="preserve">Efficient and Accurate Gradients for Neural SDEs</w:t>
        </w:r>
      </w:hyperlink>
      <w:r>
        <w:rPr>
          <w:color w:val="6B7280"/>
        </w:rPr>
        <w:t xml:space="preserve">  ·  Kidger, Foster, Li, Lyons · NeurIPS 2021</w:t>
      </w:r>
    </w:p>
    <w:p>
      <w:pPr>
        <w:spacing w:after="120"/>
        <w:ind w:left="720"/>
      </w:pPr>
      <w:r>
        <w:rPr>
          <w:sz w:val="21"/>
          <w:szCs w:val="21"/>
        </w:rPr>
        <w:t xml:space="preserve">Reversible Heun and the Brownian Interval.</w:t>
      </w:r>
    </w:p>
    <w:p>
      <w:pPr>
        <w:pStyle w:val="Heading2"/>
        <w:keepNext/>
      </w:pPr>
      <w:r>
        <w:t xml:space="preserve">Running-example data</w:t>
      </w:r>
    </w:p>
    <w:p>
      <w:pPr>
        <w:pStyle w:val="ListParagraph"/>
        <w:keepNext/>
        <w:keepLines/>
        <w:numPr>
          <w:ilvl w:val="0"/>
          <w:numId w:val="2"/>
        </w:numPr>
        <w:spacing w:after="20"/>
      </w:pPr>
      <w:hyperlink w:history="1" r:id="rId9tvc3-cjjlddt_gm-modn">
        <w:r>
          <w:rPr>
            <w:rStyle w:val="Hyperlink"/>
          </w:rPr>
          <w:t xml:space="preserve">'Hass' Avocado Ripening Photographic Dataset</w:t>
        </w:r>
      </w:hyperlink>
      <w:r>
        <w:rPr>
          <w:color w:val="6B7280"/>
        </w:rPr>
        <w:t xml:space="preserve">  ·  Mendeley Data · 2024 · doi:10.17632/3xd9n945v8</w:t>
      </w:r>
    </w:p>
    <w:p>
      <w:pPr>
        <w:spacing w:after="120"/>
        <w:ind w:left="720"/>
      </w:pPr>
      <w:r>
        <w:rPr>
          <w:sz w:val="21"/>
          <w:szCs w:val="21"/>
        </w:rPr>
        <w:t xml:space="preserve">478 avocados photographed daily (14,710 images, two sides each), stored at 10 °C, 20 °C or ambient, labeled with a 5-stage ripening index; stage 4 is end of shelf life. Check the license on the page before posting images.</w:t>
      </w:r>
    </w:p>
    <w:p>
      <w:pPr>
        <w:pStyle w:val="Heading2"/>
        <w:keepNext/>
      </w:pPr>
      <w:r>
        <w:t xml:space="preserve">Discussion questions</w:t>
      </w:r>
    </w:p>
    <w:p>
      <w:pPr>
        <w:pStyle w:val="ListParagraph"/>
        <w:numPr>
          <w:ilvl w:val="0"/>
          <w:numId w:val="3"/>
        </w:numPr>
        <w:spacing w:after="80"/>
      </w:pPr>
      <w:r>
        <w:t xml:space="preserve">Shelf life is a first-passage time. Smooth surrogate, Brownian-bridge correction, or score function: which would you train with, and why?</w:t>
      </w:r>
    </w:p>
    <w:p>
      <w:pPr>
        <w:pStyle w:val="ListParagraph"/>
        <w:numPr>
          <w:ilvl w:val="0"/>
          <w:numId w:val="3"/>
        </w:numPr>
        <w:spacing w:after="80"/>
      </w:pPr>
      <w:r>
        <w:t xml:space="preserve">Diffusion models fix σ; our model learns it. When is learning the noise worth the identifiability trouble?</w:t>
      </w:r>
    </w:p>
    <w:p>
      <w:pPr>
        <w:pStyle w:val="ListParagraph"/>
        <w:numPr>
          <w:ilvl w:val="0"/>
          <w:numId w:val="3"/>
        </w:numPr>
        <w:spacing w:after="80"/>
      </w:pPr>
      <w:r>
        <w:t xml:space="preserve">Which differentiable simulator from this course would you make stochastic, and what would happen to its gradients?</w:t>
      </w:r>
    </w:p>
    <w:p>
      <w:pPr>
        <w:pStyle w:val="Heading1"/>
      </w:pPr>
      <w:r>
        <w:t xml:space="preserve">Part 2. Your prep plan</w:t>
      </w:r>
    </w:p>
    <w:p>
      <w:pPr>
        <w:spacing w:after="120"/>
      </w:pPr>
      <w:r>
        <w:t xml:space="preserve">About 22 hours over two weeks, in deck order. Where a stage lists a video, watch it before the paper.</w:t>
      </w:r>
    </w:p>
    <w:p>
      <w:pPr>
        <w:pStyle w:val="Heading2"/>
        <w:keepNext/>
      </w:pPr>
      <w:r>
        <w:t xml:space="preserve">Stage 1. Neural ODEs and the adjoint</w:t>
      </w:r>
      <w:r>
        <w:rPr>
          <w:b w:val="false"/>
          <w:bCs w:val="false"/>
          <w:color w:val="6B7280"/>
          <w:sz w:val="20"/>
          <w:szCs w:val="20"/>
        </w:rPr>
        <w:t xml:space="preserve">   ~4 hr  ·  slides 5–7, A1</w:t>
      </w:r>
    </w:p>
    <w:p>
      <w:pPr>
        <w:pStyle w:val="ListParagraph"/>
        <w:keepNext/>
        <w:keepLines/>
        <w:numPr>
          <w:ilvl w:val="0"/>
          <w:numId w:val="2"/>
        </w:numPr>
        <w:spacing w:after="20"/>
      </w:pPr>
      <w:hyperlink w:history="1" r:id="rId_nemc_qpypud0idaahjai">
        <w:r>
          <w:rPr>
            <w:rStyle w:val="Hyperlink"/>
          </w:rPr>
          <w:t xml:space="preserve">Deep Implicit Layers: Neural ODE chapter, with JAX code</w:t>
        </w:r>
      </w:hyperlink>
      <w:r>
        <w:rPr>
          <w:color w:val="6B7280"/>
        </w:rPr>
        <w:t xml:space="preserve">  ·  Kolter, Duvenaud, Johnson · NeurIPS 2020 tutorial</w:t>
      </w:r>
    </w:p>
    <w:p>
      <w:pPr>
        <w:spacing w:after="120"/>
        <w:ind w:left="720"/>
      </w:pPr>
      <w:r>
        <w:rPr>
          <w:sz w:val="21"/>
          <w:szCs w:val="21"/>
        </w:rPr>
        <w:t xml:space="preserve">Best hands-on intro to the adjoint for people who know autodiff. </w:t>
      </w:r>
      <w:hyperlink w:history="1" r:id="rIdmylirpooo8zkix5gfyzs3">
        <w:r>
          <w:rPr>
            <w:rStyle w:val="Hyperlink"/>
          </w:rPr>
          <w:t xml:space="preserve">Tutorial video</w:t>
        </w:r>
      </w:hyperlink>
      <w:r>
        <w:rPr>
          <w:sz w:val="21"/>
          <w:szCs w:val="21"/>
        </w:rPr>
        <w:t xml:space="preserve">.</w:t>
      </w:r>
    </w:p>
    <w:p>
      <w:pPr>
        <w:pStyle w:val="ListParagraph"/>
        <w:keepNext/>
        <w:keepLines/>
        <w:numPr>
          <w:ilvl w:val="0"/>
          <w:numId w:val="2"/>
        </w:numPr>
        <w:spacing w:after="20"/>
      </w:pPr>
      <w:hyperlink w:history="1" r:id="rIdgcnoitspj-gcscinewhys">
        <w:r>
          <w:rPr>
            <w:rStyle w:val="Hyperlink"/>
          </w:rPr>
          <w:t xml:space="preserve">Video: Neural Ordinary Differential Equations</w:t>
        </w:r>
      </w:hyperlink>
      <w:r>
        <w:rPr>
          <w:color w:val="6B7280"/>
        </w:rPr>
        <w:t xml:space="preserve">  ·  David Duvenaud · Fields Institute</w:t>
      </w:r>
    </w:p>
    <w:p>
      <w:pPr>
        <w:spacing w:after="120"/>
        <w:ind w:left="720"/>
      </w:pPr>
      <w:r>
        <w:rPr>
          <w:sz w:val="21"/>
          <w:szCs w:val="21"/>
        </w:rPr>
        <w:t xml:space="preserve">The author on the paper, including what didn't work.</w:t>
      </w:r>
    </w:p>
    <w:p>
      <w:pPr>
        <w:pStyle w:val="ListParagraph"/>
        <w:keepNext/>
        <w:keepLines/>
        <w:numPr>
          <w:ilvl w:val="0"/>
          <w:numId w:val="2"/>
        </w:numPr>
        <w:spacing w:after="20"/>
      </w:pPr>
      <w:hyperlink w:history="1" r:id="rIdztnbmcaazhnt97nutcb8n">
        <w:r>
          <w:rPr>
            <w:rStyle w:val="Hyperlink"/>
          </w:rPr>
          <w:t xml:space="preserve">Neural Ordinary Differential Equations</w:t>
        </w:r>
      </w:hyperlink>
      <w:r>
        <w:rPr>
          <w:color w:val="6B7280"/>
        </w:rPr>
        <w:t xml:space="preserve">  ·  Chen et al. · NeurIPS 2018</w:t>
      </w:r>
    </w:p>
    <w:p>
      <w:pPr>
        <w:spacing w:after="120"/>
        <w:ind w:left="720"/>
      </w:pPr>
      <w:r>
        <w:rPr>
          <w:sz w:val="21"/>
          <w:szCs w:val="21"/>
        </w:rPr>
        <w:t xml:space="preserve">Class reading. Read the adjoint appendix too: it's the derivation on backup A1.</w:t>
      </w:r>
    </w:p>
    <w:p>
      <w:pPr>
        <w:pStyle w:val="ListParagraph"/>
        <w:keepNext/>
        <w:keepLines/>
        <w:numPr>
          <w:ilvl w:val="0"/>
          <w:numId w:val="2"/>
        </w:numPr>
        <w:spacing w:after="20"/>
      </w:pPr>
      <w:hyperlink w:history="1" r:id="rIdu3irsjqm6ctifjib2vl5i">
        <w:r>
          <w:rPr>
            <w:rStyle w:val="Hyperlink"/>
          </w:rPr>
          <w:t xml:space="preserve">Latent ODEs for Irregularly-Sampled Time Series</w:t>
        </w:r>
      </w:hyperlink>
      <w:r>
        <w:rPr>
          <w:color w:val="6B7280"/>
        </w:rPr>
        <w:t xml:space="preserve">  ·  Rubanova, Chen, Duvenaud · NeurIPS 2019</w:t>
      </w:r>
    </w:p>
    <w:p>
      <w:pPr>
        <w:spacing w:after="120"/>
        <w:ind w:left="720"/>
      </w:pPr>
      <w:r>
        <w:rPr>
          <w:sz w:val="21"/>
          <w:szCs w:val="21"/>
        </w:rPr>
        <w:t xml:space="preserve">The deterministic version of the avocado model (slide 5) and the clinical-data baseline.</w:t>
      </w:r>
    </w:p>
    <w:p>
      <w:pPr>
        <w:pStyle w:val="ListParagraph"/>
        <w:keepNext/>
        <w:keepLines/>
        <w:numPr>
          <w:ilvl w:val="0"/>
          <w:numId w:val="2"/>
        </w:numPr>
        <w:spacing w:after="20"/>
      </w:pPr>
      <w:hyperlink w:history="1" r:id="rId_gngvtrp6yjedlsnbp8lm">
        <w:r>
          <w:rPr>
            <w:rStyle w:val="Hyperlink"/>
          </w:rPr>
          <w:t xml:space="preserve">ANODE</w:t>
        </w:r>
      </w:hyperlink>
      <w:r>
        <w:rPr>
          <w:color w:val="6B7280"/>
        </w:rPr>
        <w:t xml:space="preserve">  ·  Gholami, Keutzer, Biros · IJCAI 2019</w:t>
      </w:r>
    </w:p>
    <w:p>
      <w:pPr>
        <w:spacing w:after="120"/>
        <w:ind w:left="720"/>
      </w:pPr>
      <w:r>
        <w:rPr>
          <w:sz w:val="21"/>
          <w:szCs w:val="21"/>
        </w:rPr>
        <w:t xml:space="preserve">When the adjoint gives wrong gradients (slide 18, point 1).</w:t>
      </w:r>
    </w:p>
    <w:p>
      <w:pPr>
        <w:pStyle w:val="Heading2"/>
        <w:keepNext/>
      </w:pPr>
      <w:r>
        <w:t xml:space="preserve">Stage 2. Stochastic calculus</w:t>
      </w:r>
      <w:r>
        <w:rPr>
          <w:b w:val="false"/>
          <w:bCs w:val="false"/>
          <w:color w:val="6B7280"/>
          <w:sz w:val="20"/>
          <w:szCs w:val="20"/>
        </w:rPr>
        <w:t xml:space="preserve">   ~5 hr  ·  slides 8, A2, A4</w:t>
      </w:r>
    </w:p>
    <w:p>
      <w:pPr>
        <w:pStyle w:val="ListParagraph"/>
        <w:keepNext/>
        <w:keepLines/>
        <w:numPr>
          <w:ilvl w:val="0"/>
          <w:numId w:val="2"/>
        </w:numPr>
        <w:spacing w:after="20"/>
      </w:pPr>
      <w:hyperlink w:history="1" r:id="rIdhna1etr7fe4qvuwq5nidf">
        <w:r>
          <w:rPr>
            <w:rStyle w:val="Hyperlink"/>
          </w:rPr>
          <w:t xml:space="preserve">An Algorithmic Introduction to Numerical Simulation of SDEs</w:t>
        </w:r>
      </w:hyperlink>
      <w:r>
        <w:rPr>
          <w:color w:val="6B7280"/>
        </w:rPr>
        <w:t xml:space="preserve">  ·  Higham · SIAM Review 2001</w:t>
      </w:r>
    </w:p>
    <w:p>
      <w:pPr>
        <w:spacing w:after="120"/>
        <w:ind w:left="720"/>
      </w:pPr>
      <w:r>
        <w:rPr>
          <w:sz w:val="21"/>
          <w:szCs w:val="21"/>
        </w:rPr>
        <w:t xml:space="preserve">Start here. Euler–Maruyama, strong vs. weak convergence, Itô vs. Stratonovich, Milstein, with runnable code. Covers slide 8 and backup A4.</w:t>
      </w:r>
    </w:p>
    <w:p>
      <w:pPr>
        <w:pStyle w:val="ListParagraph"/>
        <w:keepNext/>
        <w:keepLines/>
        <w:numPr>
          <w:ilvl w:val="0"/>
          <w:numId w:val="2"/>
        </w:numPr>
        <w:spacing w:after="20"/>
      </w:pPr>
      <w:hyperlink w:history="1" r:id="rIdzqwnb80gt4keibikamuye">
        <w:r>
          <w:rPr>
            <w:rStyle w:val="Hyperlink"/>
          </w:rPr>
          <w:t xml:space="preserve">Applied Stochastic Differential Equations (free PDF)</w:t>
        </w:r>
      </w:hyperlink>
      <w:r>
        <w:rPr>
          <w:color w:val="6B7280"/>
        </w:rPr>
        <w:t xml:space="preserve">  ·  Särkkä &amp; Solin · Cambridge 2019</w:t>
      </w:r>
    </w:p>
    <w:p>
      <w:pPr>
        <w:spacing w:after="120"/>
        <w:ind w:left="720"/>
      </w:pPr>
      <w:r>
        <w:rPr>
          <w:sz w:val="21"/>
          <w:szCs w:val="21"/>
        </w:rPr>
        <w:t xml:space="preserve">Read the Itô calculus chapter (Itô's lemma, Itô vs. Stratonovich) and the numerical-simulation chapter; look up Girsanov's theorem for backup A3.</w:t>
      </w:r>
    </w:p>
    <w:p>
      <w:pPr>
        <w:pStyle w:val="Heading2"/>
        <w:keepNext/>
      </w:pPr>
      <w:r>
        <w:t xml:space="preserve">Stage 3. Gradients through randomness</w:t>
      </w:r>
      <w:r>
        <w:rPr>
          <w:b w:val="false"/>
          <w:bCs w:val="false"/>
          <w:color w:val="6B7280"/>
          <w:sz w:val="20"/>
          <w:szCs w:val="20"/>
        </w:rPr>
        <w:t xml:space="preserve">   ~5 hr  ·  slides 9–12, A5</w:t>
      </w:r>
    </w:p>
    <w:p>
      <w:pPr>
        <w:pStyle w:val="ListParagraph"/>
        <w:keepNext/>
        <w:keepLines/>
        <w:numPr>
          <w:ilvl w:val="0"/>
          <w:numId w:val="2"/>
        </w:numPr>
        <w:spacing w:after="20"/>
      </w:pPr>
      <w:hyperlink w:history="1" r:id="rIdnnuyijgcbbrtef_s7vziy">
        <w:r>
          <w:rPr>
            <w:rStyle w:val="Hyperlink"/>
          </w:rPr>
          <w:t xml:space="preserve">Monte Carlo Gradient Estimation in Machine Learning</w:t>
        </w:r>
      </w:hyperlink>
      <w:r>
        <w:rPr>
          <w:color w:val="6B7280"/>
        </w:rPr>
        <w:t xml:space="preserve">  ·  Mohamed et al. · JMLR 2020</w:t>
      </w:r>
    </w:p>
    <w:p>
      <w:pPr>
        <w:spacing w:after="120"/>
        <w:ind w:left="720"/>
      </w:pPr>
      <w:r>
        <w:rPr>
          <w:sz w:val="21"/>
          <w:szCs w:val="21"/>
        </w:rPr>
        <w:t xml:space="preserve">Pathwise vs. score function, and why pathwise fails on discontinuous objectives. Slide 10.</w:t>
      </w:r>
    </w:p>
    <w:p>
      <w:pPr>
        <w:pStyle w:val="ListParagraph"/>
        <w:keepNext/>
        <w:keepLines/>
        <w:numPr>
          <w:ilvl w:val="0"/>
          <w:numId w:val="2"/>
        </w:numPr>
        <w:spacing w:after="20"/>
      </w:pPr>
      <w:hyperlink w:history="1" r:id="rIdqgcruyywbdxrhqthjg5o0">
        <w:r>
          <w:rPr>
            <w:rStyle w:val="Hyperlink"/>
          </w:rPr>
          <w:t xml:space="preserve">Video: Latent Stochastic Differential Equations: An Unexplored Model Class</w:t>
        </w:r>
      </w:hyperlink>
      <w:r>
        <w:rPr>
          <w:color w:val="6B7280"/>
        </w:rPr>
        <w:t xml:space="preserve">  ·  David Duvenaud · Microsoft Research</w:t>
      </w:r>
    </w:p>
    <w:p>
      <w:pPr>
        <w:spacing w:after="120"/>
        <w:ind w:left="720"/>
      </w:pPr>
      <w:r>
        <w:rPr>
          <w:sz w:val="21"/>
          <w:szCs w:val="21"/>
        </w:rPr>
        <w:t xml:space="preserve">Walks through the stochastic adjoint and latent SDEs. Watch before Li et al.</w:t>
      </w:r>
    </w:p>
    <w:p>
      <w:pPr>
        <w:pStyle w:val="ListParagraph"/>
        <w:keepNext/>
        <w:keepLines/>
        <w:numPr>
          <w:ilvl w:val="0"/>
          <w:numId w:val="2"/>
        </w:numPr>
        <w:spacing w:after="20"/>
      </w:pPr>
      <w:hyperlink w:history="1" r:id="rIdoxhrpahbi9l5cjx0ojdyc">
        <w:r>
          <w:rPr>
            <w:rStyle w:val="Hyperlink"/>
          </w:rPr>
          <w:t xml:space="preserve">Scalable Gradients for SDEs</w:t>
        </w:r>
      </w:hyperlink>
      <w:r>
        <w:rPr>
          <w:color w:val="6B7280"/>
        </w:rPr>
        <w:t xml:space="preserve">  ·  Li et al. · AISTATS 2020</w:t>
      </w:r>
    </w:p>
    <w:p>
      <w:pPr>
        <w:spacing w:after="120"/>
        <w:ind w:left="720"/>
      </w:pPr>
      <w:r>
        <w:rPr>
          <w:sz w:val="21"/>
          <w:szCs w:val="21"/>
        </w:rPr>
        <w:t xml:space="preserve">Class reading. Slides 11 and 13 are built on it.</w:t>
      </w:r>
    </w:p>
    <w:p>
      <w:pPr>
        <w:pStyle w:val="ListParagraph"/>
        <w:keepNext/>
        <w:keepLines/>
        <w:numPr>
          <w:ilvl w:val="0"/>
          <w:numId w:val="2"/>
        </w:numPr>
        <w:spacing w:after="20"/>
      </w:pPr>
      <w:hyperlink w:history="1" r:id="rIdqz9ezhurqhlpyv08crtfw">
        <w:r>
          <w:rPr>
            <w:rStyle w:val="Hyperlink"/>
          </w:rPr>
          <w:t xml:space="preserve">Efficient and Accurate Gradients for Neural SDEs</w:t>
        </w:r>
      </w:hyperlink>
      <w:r>
        <w:rPr>
          <w:color w:val="6B7280"/>
        </w:rPr>
        <w:t xml:space="preserve">  ·  Kidger et al. · NeurIPS 2021</w:t>
      </w:r>
    </w:p>
    <w:p>
      <w:pPr>
        <w:spacing w:after="120"/>
        <w:ind w:left="720"/>
      </w:pPr>
      <w:r>
        <w:rPr>
          <w:sz w:val="21"/>
          <w:szCs w:val="21"/>
        </w:rPr>
        <w:t xml:space="preserve">The exact reversible adjoint (slide 11) and Brownian Interval.</w:t>
      </w:r>
    </w:p>
    <w:p>
      <w:pPr>
        <w:pStyle w:val="ListParagraph"/>
        <w:keepNext/>
        <w:keepLines/>
        <w:numPr>
          <w:ilvl w:val="0"/>
          <w:numId w:val="2"/>
        </w:numPr>
        <w:spacing w:after="20"/>
      </w:pPr>
      <w:hyperlink w:history="1" r:id="rIdrktphbvz-9yqncxtb4qb3">
        <w:r>
          <w:rPr>
            <w:rStyle w:val="Hyperlink"/>
          </w:rPr>
          <w:t xml:space="preserve">On Neural Differential Equations (PhD thesis)</w:t>
        </w:r>
      </w:hyperlink>
      <w:r>
        <w:rPr>
          <w:color w:val="6B7280"/>
        </w:rPr>
        <w:t xml:space="preserve">  ·  Kidger · Oxford 2022</w:t>
      </w:r>
    </w:p>
    <w:p>
      <w:pPr>
        <w:spacing w:after="120"/>
        <w:ind w:left="720"/>
      </w:pPr>
      <w:r>
        <w:rPr>
          <w:sz w:val="21"/>
          <w:szCs w:val="21"/>
        </w:rPr>
        <w:t xml:space="preserve">Best single reference. Read the neural SDE chapter and the chapter on numerical solutions and backpropagation.</w:t>
      </w:r>
    </w:p>
    <w:p>
      <w:pPr>
        <w:pStyle w:val="Heading2"/>
        <w:keepNext/>
      </w:pPr>
      <w:r>
        <w:t xml:space="preserve">Stage 4. Training and diffusion</w:t>
      </w:r>
      <w:r>
        <w:rPr>
          <w:b w:val="false"/>
          <w:bCs w:val="false"/>
          <w:color w:val="6B7280"/>
          <w:sz w:val="20"/>
          <w:szCs w:val="20"/>
        </w:rPr>
        <w:t xml:space="preserve">   ~4 hr  ·  slides 13–15</w:t>
      </w:r>
    </w:p>
    <w:p>
      <w:pPr>
        <w:pStyle w:val="ListParagraph"/>
        <w:keepNext/>
        <w:keepLines/>
        <w:numPr>
          <w:ilvl w:val="0"/>
          <w:numId w:val="2"/>
        </w:numPr>
        <w:spacing w:after="20"/>
      </w:pPr>
      <w:hyperlink w:history="1" r:id="rIdjlm53gg_euouvz6nslxtv">
        <w:r>
          <w:rPr>
            <w:rStyle w:val="Hyperlink"/>
          </w:rPr>
          <w:t xml:space="preserve">Neural SDEs as Infinite-Dimensional GANs</w:t>
        </w:r>
      </w:hyperlink>
      <w:r>
        <w:rPr>
          <w:color w:val="6B7280"/>
        </w:rPr>
        <w:t xml:space="preserve">  ·  Kidger et al. · ICML 2021</w:t>
      </w:r>
    </w:p>
    <w:p>
      <w:pPr>
        <w:spacing w:after="120"/>
        <w:ind w:left="720"/>
      </w:pPr>
      <w:r>
        <w:rPr>
          <w:sz w:val="21"/>
          <w:szCs w:val="21"/>
        </w:rPr>
        <w:t xml:space="preserve">Skim. The SDE-GAN card on slide 14.</w:t>
      </w:r>
    </w:p>
    <w:p>
      <w:pPr>
        <w:pStyle w:val="ListParagraph"/>
        <w:keepNext/>
        <w:keepLines/>
        <w:numPr>
          <w:ilvl w:val="0"/>
          <w:numId w:val="2"/>
        </w:numPr>
        <w:spacing w:after="20"/>
      </w:pPr>
      <w:hyperlink w:history="1" r:id="rId1gru35lz7l5lv8hrpngdq">
        <w:r>
          <w:rPr>
            <w:rStyle w:val="Hyperlink"/>
          </w:rPr>
          <w:t xml:space="preserve">Video: Diffusion and Score-Based Generative Models</w:t>
        </w:r>
      </w:hyperlink>
      <w:r>
        <w:rPr>
          <w:color w:val="6B7280"/>
        </w:rPr>
        <w:t xml:space="preserve">  ·  Yang Song · MIT CBMM</w:t>
      </w:r>
    </w:p>
    <w:p>
      <w:pPr>
        <w:spacing w:after="120"/>
        <w:ind w:left="720"/>
      </w:pPr>
      <w:r>
        <w:rPr>
          <w:sz w:val="21"/>
          <w:szCs w:val="21"/>
        </w:rPr>
        <w:t xml:space="preserve">The SDE view of diffusion from its author.</w:t>
      </w:r>
    </w:p>
    <w:p>
      <w:pPr>
        <w:pStyle w:val="ListParagraph"/>
        <w:keepNext/>
        <w:keepLines/>
        <w:numPr>
          <w:ilvl w:val="0"/>
          <w:numId w:val="2"/>
        </w:numPr>
        <w:spacing w:after="20"/>
      </w:pPr>
      <w:hyperlink w:history="1" r:id="rIdq4xtluccurolwjo133ztj">
        <w:r>
          <w:rPr>
            <w:rStyle w:val="Hyperlink"/>
          </w:rPr>
          <w:t xml:space="preserve">Score-Based Generative Modeling through SDEs</w:t>
        </w:r>
      </w:hyperlink>
      <w:r>
        <w:rPr>
          <w:color w:val="6B7280"/>
        </w:rPr>
        <w:t xml:space="preserve">  ·  Song et al. · ICLR 2021</w:t>
      </w:r>
    </w:p>
    <w:p>
      <w:pPr>
        <w:spacing w:after="120"/>
        <w:ind w:left="720"/>
      </w:pPr>
      <w:r>
        <w:rPr>
          <w:sz w:val="21"/>
          <w:szCs w:val="21"/>
        </w:rPr>
        <w:t xml:space="preserve">Forward SDE, reverse SDE, probability-flow ODE, denoising score matching.</w:t>
      </w:r>
    </w:p>
    <w:p>
      <w:pPr>
        <w:pStyle w:val="ListParagraph"/>
        <w:keepNext/>
        <w:keepLines/>
        <w:numPr>
          <w:ilvl w:val="0"/>
          <w:numId w:val="2"/>
        </w:numPr>
        <w:spacing w:after="20"/>
      </w:pPr>
      <w:hyperlink w:history="1" r:id="rId19i0din5kdpqpgrykbdxi">
        <w:r>
          <w:rPr>
            <w:rStyle w:val="Hyperlink"/>
          </w:rPr>
          <w:t xml:space="preserve">Introduction to Flow Matching and Diffusion Models (lecture notes)</w:t>
        </w:r>
      </w:hyperlink>
      <w:r>
        <w:rPr>
          <w:color w:val="6B7280"/>
        </w:rPr>
        <w:t xml:space="preserve">  ·  MIT 6.S184 · Holderrieth &amp; Erives</w:t>
      </w:r>
    </w:p>
    <w:p>
      <w:pPr>
        <w:spacing w:after="120"/>
        <w:ind w:left="720"/>
      </w:pPr>
      <w:r>
        <w:rPr>
          <w:sz w:val="21"/>
          <w:szCs w:val="21"/>
        </w:rPr>
        <w:t xml:space="preserve">Builds diffusion and flow matching from ODEs and SDEs.</w:t>
      </w:r>
    </w:p>
    <w:p>
      <w:pPr>
        <w:pStyle w:val="Heading2"/>
        <w:keepNext/>
      </w:pPr>
      <w:r>
        <w:t xml:space="preserve">Stage 5. Applications</w:t>
      </w:r>
      <w:r>
        <w:rPr>
          <w:b w:val="false"/>
          <w:bCs w:val="false"/>
          <w:color w:val="6B7280"/>
          <w:sz w:val="20"/>
          <w:szCs w:val="20"/>
        </w:rPr>
        <w:t xml:space="preserve">   ~1.5 hr  ·  slides 17</w:t>
      </w:r>
    </w:p>
    <w:p>
      <w:pPr>
        <w:spacing w:after="120"/>
      </w:pPr>
      <w:r>
        <w:t xml:space="preserve">Abstract and main figure of each; one sentence per card, plus one follow-up answer.</w:t>
      </w:r>
    </w:p>
    <w:p>
      <w:pPr>
        <w:pStyle w:val="ListParagraph"/>
        <w:numPr>
          <w:ilvl w:val="0"/>
          <w:numId w:val="4"/>
        </w:numPr>
        <w:spacing w:after="60"/>
      </w:pPr>
      <w:hyperlink w:history="1" r:id="rIdg0vqecvz9uzbhcwjsdunm">
        <w:r>
          <w:rPr>
            <w:rStyle w:val="Hyperlink"/>
          </w:rPr>
          <w:t xml:space="preserve">GenCast: Diffusion-based ensemble forecasting for medium-range weather</w:t>
        </w:r>
      </w:hyperlink>
      <w:r>
        <w:rPr>
          <w:color w:val="6B7280"/>
        </w:rPr>
        <w:t xml:space="preserve">  ·  Price et al. · Nature 2025</w:t>
      </w:r>
    </w:p>
    <w:p>
      <w:pPr>
        <w:pStyle w:val="ListParagraph"/>
        <w:numPr>
          <w:ilvl w:val="0"/>
          <w:numId w:val="4"/>
        </w:numPr>
        <w:spacing w:after="60"/>
      </w:pPr>
      <w:hyperlink w:history="1" r:id="rIdowxjotoxry3dbp9fcjjcd">
        <w:r>
          <w:rPr>
            <w:rStyle w:val="Hyperlink"/>
          </w:rPr>
          <w:t xml:space="preserve">Diffusion Policy: Visuomotor Policy Learning via Action Diffusion</w:t>
        </w:r>
      </w:hyperlink>
      <w:r>
        <w:rPr>
          <w:color w:val="6B7280"/>
        </w:rPr>
        <w:t xml:space="preserve">  ·  Chi et al. · RSS 2023</w:t>
      </w:r>
    </w:p>
    <w:p>
      <w:pPr>
        <w:pStyle w:val="ListParagraph"/>
        <w:numPr>
          <w:ilvl w:val="0"/>
          <w:numId w:val="4"/>
        </w:numPr>
        <w:spacing w:after="60"/>
      </w:pPr>
      <w:hyperlink w:history="1" r:id="rIdh2ganvujh5cwsvtvmvmte">
        <w:r>
          <w:rPr>
            <w:rStyle w:val="Hyperlink"/>
          </w:rPr>
          <w:t xml:space="preserve">π0: A Vision-Language-Action Flow Model for General Robot Control</w:t>
        </w:r>
      </w:hyperlink>
      <w:r>
        <w:rPr>
          <w:color w:val="6B7280"/>
        </w:rPr>
        <w:t xml:space="preserve">  ·  Black et al. · 2024</w:t>
      </w:r>
    </w:p>
    <w:p>
      <w:pPr>
        <w:pStyle w:val="ListParagraph"/>
        <w:numPr>
          <w:ilvl w:val="0"/>
          <w:numId w:val="4"/>
        </w:numPr>
        <w:spacing w:after="60"/>
      </w:pPr>
      <w:hyperlink w:history="1" r:id="rIdglzaogv7uepuioelfiq4n">
        <w:r>
          <w:rPr>
            <w:rStyle w:val="Hyperlink"/>
          </w:rPr>
          <w:t xml:space="preserve">Robust pricing and hedging via neural SDEs</w:t>
        </w:r>
      </w:hyperlink>
      <w:r>
        <w:rPr>
          <w:color w:val="6B7280"/>
        </w:rPr>
        <w:t xml:space="preserve">  ·  Gierjatowicz et al. · J. Computational Finance 2022</w:t>
      </w:r>
    </w:p>
    <w:p>
      <w:pPr>
        <w:pStyle w:val="ListParagraph"/>
        <w:numPr>
          <w:ilvl w:val="0"/>
          <w:numId w:val="4"/>
        </w:numPr>
        <w:spacing w:after="60"/>
      </w:pPr>
      <w:hyperlink w:history="1" r:id="rIdyzbgypbgqqtagpcpgc8hl">
        <w:r>
          <w:rPr>
            <w:rStyle w:val="Hyperlink"/>
          </w:rPr>
          <w:t xml:space="preserve">Arbitrage-free neural-SDE market models</w:t>
        </w:r>
      </w:hyperlink>
      <w:r>
        <w:rPr>
          <w:color w:val="6B7280"/>
        </w:rPr>
        <w:t xml:space="preserve">  ·  Cohen, Reisinger, Wang · 2021</w:t>
      </w:r>
    </w:p>
    <w:p>
      <w:pPr>
        <w:pStyle w:val="ListParagraph"/>
        <w:numPr>
          <w:ilvl w:val="0"/>
          <w:numId w:val="4"/>
        </w:numPr>
        <w:spacing w:after="60"/>
      </w:pPr>
      <w:hyperlink w:history="1" r:id="rIdtshq5-6bfiejt-7susb2z">
        <w:r>
          <w:rPr>
            <w:rStyle w:val="Hyperlink"/>
          </w:rPr>
          <w:t xml:space="preserve">Neural Controlled Differential Equations for Irregular Time Series</w:t>
        </w:r>
      </w:hyperlink>
      <w:r>
        <w:rPr>
          <w:color w:val="6B7280"/>
        </w:rPr>
        <w:t xml:space="preserve">  ·  Kidger et al. · NeurIPS 2020</w:t>
      </w:r>
    </w:p>
    <w:p>
      <w:pPr>
        <w:pStyle w:val="Heading2"/>
        <w:keepNext/>
      </w:pPr>
      <w:r>
        <w:t xml:space="preserve">Stage 6. Hands-on</w:t>
      </w:r>
      <w:r>
        <w:rPr>
          <w:b w:val="false"/>
          <w:bCs w:val="false"/>
          <w:color w:val="6B7280"/>
          <w:sz w:val="20"/>
          <w:szCs w:val="20"/>
        </w:rPr>
        <w:t xml:space="preserve">   ~2 hr  ·  slides 11, 12</w:t>
      </w:r>
    </w:p>
    <w:p>
      <w:pPr>
        <w:pStyle w:val="ListParagraph"/>
        <w:numPr>
          <w:ilvl w:val="0"/>
          <w:numId w:val="4"/>
        </w:numPr>
        <w:spacing w:after="60"/>
      </w:pPr>
      <w:r>
        <w:t xml:space="preserve">Run the </w:t>
      </w:r>
      <w:hyperlink w:history="1" r:id="rIdedfb2xzai9eifkelf5abo">
        <w:r>
          <w:rPr>
            <w:rStyle w:val="Hyperlink"/>
          </w:rPr>
          <w:t xml:space="preserve">Diffrax SDE example</w:t>
        </w:r>
      </w:hyperlink>
      <w:r>
        <w:t xml:space="preserve">.</w:t>
      </w:r>
    </w:p>
    <w:p>
      <w:pPr>
        <w:pStyle w:val="ListParagraph"/>
        <w:numPr>
          <w:ilvl w:val="0"/>
          <w:numId w:val="4"/>
        </w:numPr>
        <w:spacing w:after="60"/>
      </w:pPr>
      <w:r>
        <w:t xml:space="preserve">Run </w:t>
      </w:r>
      <w:r>
        <w:rPr>
          <w:b/>
          <w:bCs/>
        </w:rPr>
        <w:t xml:space="preserve">lecture/neural_sde_demo.py</w:t>
      </w:r>
      <w:r>
        <w:t xml:space="preserve"> and </w:t>
      </w:r>
      <w:r>
        <w:rPr>
          <w:b/>
          <w:bCs/>
        </w:rPr>
        <w:t xml:space="preserve">experiments/adjoint_tradeoffs.py --quick</w:t>
      </w:r>
      <w:r>
        <w:t xml:space="preserve"> from the </w:t>
      </w:r>
      <w:hyperlink w:history="1" r:id="rIdgietu8szouzy4fol4nkb3">
        <w:r>
          <w:rPr>
            <w:rStyle w:val="Hyperlink"/>
          </w:rPr>
          <w:t xml:space="preserve">neural-sde repo</w:t>
        </w:r>
      </w:hyperlink>
      <w:r>
        <w:t xml:space="preserve">. These produce the numbers on slide 12.</w:t>
      </w:r>
    </w:p>
    <w:p>
      <w:pPr>
        <w:pStyle w:val="ListParagraph"/>
        <w:numPr>
          <w:ilvl w:val="0"/>
          <w:numId w:val="4"/>
        </w:numPr>
        <w:spacing w:after="60"/>
      </w:pPr>
      <w:r>
        <w:t xml:space="preserve">Gotcha: parameters must go through </w:t>
      </w:r>
      <w:r>
        <w:rPr>
          <w:b/>
          <w:bCs/>
        </w:rPr>
        <w:t xml:space="preserve">args=</w:t>
      </w:r>
      <w:r>
        <w:t xml:space="preserve">, not a closure, or BacksolveAdjoint can't differentiate them.</w:t>
      </w:r>
    </w:p>
    <w:p>
      <w:pPr>
        <w:pStyle w:val="Heading1"/>
      </w:pPr>
      <w:r>
        <w:t xml:space="preserve">Part 3. Every equation on the slides, in plain words</w:t>
      </w:r>
    </w:p>
    <w:p>
      <w:pPr>
        <w:spacing w:after="160"/>
      </w:pPr>
      <w:r>
        <w:rPr>
          <w:i/>
          <w:iCs/>
          <w:color w:val="6B7280"/>
          <w:sz w:val="20"/>
          <w:szCs w:val="20"/>
        </w:rPr>
        <w:t xml:space="preserve">If you can say each of these out loud without looking, you can handle the slides.</w:t>
      </w:r>
    </w:p>
    <w:p>
      <w:pPr>
        <w:keepNext/>
        <w:spacing w:after="30" w:before="100"/>
      </w:pPr>
      <w:r>
        <w:rPr>
          <w:b/>
          <w:bCs/>
        </w:rPr>
        <w:t xml:space="preserve">Slide 5 · dh/dt = f_θ(h, t)</w:t>
      </w:r>
    </w:p>
    <w:p>
      <w:pPr>
        <w:spacing w:after="60"/>
      </w:pPr>
      <w:r>
        <w:t xml:space="preserve">A network gives the velocity of the hidden state; a solver integrates it. A ResNet block h + f(h) is one Euler step of this with step size 1.</w:t>
      </w:r>
    </w:p>
    <w:p>
      <w:pPr>
        <w:keepNext/>
        <w:spacing w:after="30" w:before="100"/>
      </w:pPr>
      <w:r>
        <w:rPr>
          <w:b/>
          <w:bCs/>
        </w:rPr>
        <w:t xml:space="preserve">Slide 6 · memory table</w:t>
      </w:r>
    </w:p>
    <w:p>
      <w:pPr>
        <w:spacing w:after="60"/>
      </w:pPr>
      <w:r>
        <w:t xml:space="preserve">Backprop stores every step (O(N)). Binomial checkpointing stores O(log N) states and recomputes the rest (O(N log N) work). The adjoint stores nothing from the forward pass (O(1) in N) and solves a backward system of size 2d + p: state, adjoint, parameter gradient.</w:t>
      </w:r>
    </w:p>
    <w:p>
      <w:pPr>
        <w:keepNext/>
        <w:spacing w:after="30" w:before="100"/>
      </w:pPr>
      <w:r>
        <w:rPr>
          <w:b/>
          <w:bCs/>
        </w:rPr>
        <w:t xml:space="preserve">Slide 7 · ȧ = −aᵀ∂f/∂z, ȧ_θ = −aᵀ∂f/∂θ</w:t>
      </w:r>
    </w:p>
    <w:p>
      <w:pPr>
        <w:spacing w:after="60"/>
      </w:pPr>
      <w:r>
        <w:t xml:space="preserve">a(t) = ∂L/∂z(t), the sensitivity of the loss to the state at time t. Integrate backward from a(T) = ∂L/∂z(T); a_θ starts at 0 at time T and its value at time 0 is dL/dθ. Each term is a vector-Jacobian product: one reverse-mode call per solver stage.</w:t>
      </w:r>
    </w:p>
    <w:p>
      <w:pPr>
        <w:keepNext/>
        <w:spacing w:after="30" w:before="100"/>
      </w:pPr>
      <w:r>
        <w:rPr>
          <w:b/>
          <w:bCs/>
        </w:rPr>
        <w:t xml:space="preserve">Slide 8 · Z_t = Z_0 + ∫μ ds + ∫σ dW</w:t>
      </w:r>
    </w:p>
    <w:p>
      <w:pPr>
        <w:spacing w:after="60"/>
      </w:pPr>
      <w:r>
        <w:t xml:space="preserve">An SDE is shorthand for this integral equation. The second integral is Itô: evaluate σ at the left end of each little interval.</w:t>
      </w:r>
    </w:p>
    <w:p>
      <w:pPr>
        <w:keepNext/>
        <w:spacing w:after="30" w:before="100"/>
      </w:pPr>
      <w:r>
        <w:rPr>
          <w:b/>
          <w:bCs/>
        </w:rPr>
        <w:t xml:space="preserve">Slide 8 · W_t − W_s ~ N(0, (t−s)I), (dW)² = dt</w:t>
      </w:r>
    </w:p>
    <w:p>
      <w:pPr>
        <w:spacing w:after="60"/>
      </w:pPr>
      <w:r>
        <w:t xml:space="preserve">Brownian increments are independent Gaussians with variance equal to elapsed time. (dW)² = dt is why second-order terms survive.</w:t>
      </w:r>
    </w:p>
    <w:p>
      <w:pPr>
        <w:keepNext/>
        <w:spacing w:after="30" w:before="100"/>
      </w:pPr>
      <w:r>
        <w:rPr>
          <w:b/>
          <w:bCs/>
        </w:rPr>
        <w:t xml:space="preserve">Slide 8 · Itô's lemma</w:t>
      </w:r>
    </w:p>
    <w:p>
      <w:pPr>
        <w:spacing w:after="60"/>
      </w:pPr>
      <w:r>
        <w:t xml:space="preserve">df(Z) = f′ dZ + ½ f″ σ² dt. The extra term comes from (dW)² = dt. Example: d log S picks up −½σ².</w:t>
      </w:r>
    </w:p>
    <w:p>
      <w:pPr>
        <w:keepNext/>
        <w:spacing w:after="30" w:before="100"/>
      </w:pPr>
      <w:r>
        <w:rPr>
          <w:b/>
          <w:bCs/>
        </w:rPr>
        <w:t xml:space="preserve">Slide 8 · μ_Strat = μ_Itô − ½ Σ_j (∂σ_j/∂z) σ_j</w:t>
      </w:r>
    </w:p>
    <w:p>
      <w:pPr>
        <w:spacing w:after="60"/>
      </w:pPr>
      <w:r>
        <w:t xml:space="preserve">Same process written with midpoint (Stratonovich) integrals needs a different drift. Zero correction when σ doesn't depend on Z.</w:t>
      </w:r>
    </w:p>
    <w:p>
      <w:pPr>
        <w:keepNext/>
        <w:spacing w:after="30" w:before="100"/>
      </w:pPr>
      <w:r>
        <w:rPr>
          <w:b/>
          <w:bCs/>
        </w:rPr>
        <w:t xml:space="preserve">Slide 8 · Euler–Maruyama orders</w:t>
      </w:r>
    </w:p>
    <w:p>
      <w:pPr>
        <w:spacing w:after="60"/>
      </w:pPr>
      <w:r>
        <w:t xml:space="preserve">Strong order ½: path error shrinks like √Δt. Weak order 1: error in expectations shrinks like Δt. Milstein adds a correction to get strong order 1.</w:t>
      </w:r>
    </w:p>
    <w:p>
      <w:pPr>
        <w:keepNext/>
        <w:spacing w:after="30" w:before="100"/>
      </w:pPr>
      <w:r>
        <w:rPr>
          <w:b/>
          <w:bCs/>
        </w:rPr>
        <w:t xml:space="preserve">Slide 9 · dZ = κ(c) μ_θ dt + σ_θ dW</w:t>
      </w:r>
    </w:p>
    <w:p>
      <w:pPr>
        <w:spacing w:after="60"/>
      </w:pPr>
      <w:r>
        <w:t xml:space="preserve">Latent ripeness evolves with a learned rate scaled by a temperature factor, plus learned noise.</w:t>
      </w:r>
    </w:p>
    <w:p>
      <w:pPr>
        <w:keepNext/>
        <w:spacing w:after="30" w:before="100"/>
      </w:pPr>
      <w:r>
        <w:rPr>
          <w:b/>
          <w:bCs/>
        </w:rPr>
        <w:t xml:space="preserve">Slide 9 · κ(c) = exp[−(E_a/R)(1/T_c − 1/T_ref)]</w:t>
      </w:r>
    </w:p>
    <w:p>
      <w:pPr>
        <w:spacing w:after="60"/>
      </w:pPr>
      <w:r>
        <w:t xml:space="preserve">Arrhenius: reaction rates rise exponentially with temperature. E_a = activation energy, R = gas constant, T in kelvin. κ = 1 at the reference temperature.</w:t>
      </w:r>
    </w:p>
    <w:p>
      <w:pPr>
        <w:keepNext/>
        <w:spacing w:after="30" w:before="100"/>
      </w:pPr>
      <w:r>
        <w:rPr>
          <w:b/>
          <w:bCs/>
        </w:rPr>
        <w:t xml:space="preserve">Slide 9 · τ = inf{t : q(Z_t) ≥ b}</w:t>
      </w:r>
    </w:p>
    <w:p>
      <w:pPr>
        <w:spacing w:after="60"/>
      </w:pPr>
      <w:r>
        <w:t xml:space="preserve">Shelf life is the first time the ripeness score crosses the stage-4 threshold. We want P(τ ≤ t* | photos, storage).</w:t>
      </w:r>
    </w:p>
    <w:p>
      <w:pPr>
        <w:keepNext/>
        <w:spacing w:after="30" w:before="100"/>
      </w:pPr>
      <w:r>
        <w:rPr>
          <w:b/>
          <w:bCs/>
        </w:rPr>
        <w:t xml:space="preserve">Slide 10 · pathwise vs score function</w:t>
      </w:r>
    </w:p>
    <w:p>
      <w:pPr>
        <w:spacing w:after="60"/>
      </w:pPr>
      <w:r>
        <w:t xml:space="preserve">Pathwise: write Z_T as a function of θ and fixed noise, differentiate inside the expectation (needs f differentiable). Score function: E[f · ∇ log p_θ], works for any f, high variance.</w:t>
      </w:r>
    </w:p>
    <w:p>
      <w:pPr>
        <w:keepNext/>
        <w:spacing w:after="30" w:before="100"/>
      </w:pPr>
      <w:r>
        <w:rPr>
          <w:b/>
          <w:bCs/>
        </w:rPr>
        <w:t xml:space="preserve">Slide 11 · stochastic adjoint</w:t>
      </w:r>
    </w:p>
    <w:p>
      <w:pPr>
        <w:spacing w:after="60"/>
      </w:pPr>
      <w:r>
        <w:t xml:space="preserve">Same as slide 7 plus a term aᵀ ∂σ_j/∂z ∘ dW^j per noise channel, driven backward by the same Brownian path. μ here is the Stratonovich drift; convert an Itô model first.</w:t>
      </w:r>
    </w:p>
    <w:p>
      <w:pPr>
        <w:keepNext/>
        <w:spacing w:after="30" w:before="100"/>
      </w:pPr>
      <w:r>
        <w:rPr>
          <w:b/>
          <w:bCs/>
        </w:rPr>
        <w:t xml:space="preserve">Slide 13 · prior and posterior SDEs</w:t>
      </w:r>
    </w:p>
    <w:p>
      <w:pPr>
        <w:spacing w:after="60"/>
      </w:pPr>
      <w:r>
        <w:t xml:space="preserve">Prior: dynamics that know only the storage condition (used to forecast). Posterior: same σ, but the drift also sees the photos (used to filter during training).</w:t>
      </w:r>
    </w:p>
    <w:p>
      <w:pPr>
        <w:keepNext/>
        <w:spacing w:after="30" w:before="100"/>
      </w:pPr>
      <w:r>
        <w:rPr>
          <w:b/>
          <w:bCs/>
        </w:rPr>
        <w:t xml:space="preserve">Slide 13 · ELBO with ∫½‖u‖² dt, σu = h_φ − h_θ</w:t>
      </w:r>
    </w:p>
    <w:p>
      <w:pPr>
        <w:spacing w:after="60"/>
      </w:pPr>
      <w:r>
        <w:t xml:space="preserve">Expected log-likelihood of observed stages minus two KLs: one for the starting state, one for the whole path. Girsanov makes the path KL the integral of ½‖u‖², where u is the drift gap measured in units of σ. Add it as an extra state and integrate.</w:t>
      </w:r>
    </w:p>
    <w:p>
      <w:pPr>
        <w:keepNext/>
        <w:spacing w:after="30" w:before="100"/>
      </w:pPr>
      <w:r>
        <w:rPr>
          <w:b/>
          <w:bCs/>
        </w:rPr>
        <w:t xml:space="preserve">Slide 15 · forward, reverse, probability-flow, score matching</w:t>
      </w:r>
    </w:p>
    <w:p>
      <w:pPr>
        <w:spacing w:after="60"/>
      </w:pPr>
      <w:r>
        <w:t xml:space="preserve">Forward: fixed noising SDE. Reverse: same SDE run backward needs the score ∇ log p_t, learned as s_θ. Probability-flow ODE: deterministic, same marginals if s_θ is exact. Training regresses s_θ onto the closed-form score of p(x_t | x_0): no solver needed.</w:t>
      </w:r>
    </w:p>
    <w:p>
      <w:pPr>
        <w:keepNext/>
        <w:spacing w:after="30" w:before="100"/>
      </w:pPr>
      <w:r>
        <w:rPr>
          <w:b/>
          <w:bCs/>
        </w:rPr>
        <w:t xml:space="preserve">A5 · Brownian bridge</w:t>
      </w:r>
    </w:p>
    <w:p>
      <w:pPr>
        <w:spacing w:after="60"/>
      </w:pPr>
      <w:r>
        <w:t xml:space="preserve">Given W at two times, W in between is Gaussian: mean on the straight line, variance (s−u)(v−s)/(v−u). Used to regenerate W on demand and to compute the chance a path crossed b between steps: exp(−2(b−q_k)(b−q_{k+1})/(σ_q²Δt)).</w:t>
      </w:r>
    </w:p>
    <w:p>
      <w:pPr>
        <w:pStyle w:val="Heading1"/>
      </w:pPr>
      <w:r>
        <w:t xml:space="preserve">Part 4. Questions to be ready for</w:t>
      </w:r>
    </w:p>
    <w:p>
      <w:pPr>
        <w:keepNext/>
        <w:spacing w:after="40" w:before="120"/>
      </w:pPr>
      <w:r>
        <w:rPr>
          <w:b/>
          <w:bCs/>
        </w:rPr>
        <w:t xml:space="preserve">Is the adjoint gradient exact?</w:t>
      </w:r>
    </w:p>
    <w:p>
      <w:pPr>
        <w:spacing w:after="80"/>
      </w:pPr>
      <w:r>
        <w:t xml:space="preserve">No. It re-solves the trajectory backward, so it inherits solver error and can drift on stiff or chaotic dynamics (ANODE). Reversible Heun with its matching discrete adjoint (Kidger 2021, torchsde) is exact up to floating-point round-off. Diffrax's BacksolveAdjoint is the continuous adjoint, approximate even with reversible Heun: in the repo it was off by 7e-5 at 16 steps, 2e-6 at 512.</w:t>
      </w:r>
    </w:p>
    <w:p>
      <w:pPr>
        <w:keepNext/>
        <w:spacing w:after="40" w:before="120"/>
      </w:pPr>
      <w:r>
        <w:rPr>
          <w:b/>
          <w:bCs/>
        </w:rPr>
        <w:t xml:space="preserve">Why did the adjoint use 154 MB if it's 'constant memory'?</w:t>
      </w:r>
    </w:p>
    <w:p>
      <w:pPr>
        <w:spacing w:after="80"/>
      </w:pPr>
      <w:r>
        <w:t xml:space="preserve">Constant in the number of steps, yes. The method needs only 2d + p ≈ 110 KB; the rest is an implementation constant in Diffrax/XLA that grows with parameters and noise channels. Checkpointing was ~1 MB and exact.</w:t>
      </w:r>
    </w:p>
    <w:p>
      <w:pPr>
        <w:keepNext/>
        <w:spacing w:after="40" w:before="120"/>
      </w:pPr>
      <w:r>
        <w:rPr>
          <w:b/>
          <w:bCs/>
        </w:rPr>
        <w:t xml:space="preserve">Strong vs. weak order?</w:t>
      </w:r>
    </w:p>
    <w:p>
      <w:pPr>
        <w:spacing w:after="80"/>
      </w:pPr>
      <w:r>
        <w:t xml:space="preserve">Strong: error of individual paths. Weak: error in expectations. Probabilities like P(τ ≤ t*) need weak accuracy; pathwise gradients care about strong.</w:t>
      </w:r>
    </w:p>
    <w:p>
      <w:pPr>
        <w:keepNext/>
        <w:spacing w:after="40" w:before="120"/>
      </w:pPr>
      <w:r>
        <w:rPr>
          <w:b/>
          <w:bCs/>
        </w:rPr>
        <w:t xml:space="preserve">Why Stratonovich for the adjoint?</w:t>
      </w:r>
    </w:p>
    <w:p>
      <w:pPr>
        <w:spacing w:after="80"/>
      </w:pPr>
      <w:r>
        <w:t xml:space="preserve">It obeys the ordinary chain rule, so the ODE adjoint carries over term by term. Itô models are converted first with the drift correction; using the Itô drift directly gives wrong gradients.</w:t>
      </w:r>
    </w:p>
    <w:p>
      <w:pPr>
        <w:keepNext/>
        <w:spacing w:after="40" w:before="120"/>
      </w:pPr>
      <w:r>
        <w:rPr>
          <w:b/>
          <w:bCs/>
        </w:rPr>
        <w:t xml:space="preserve">Why is the pathwise gradient of P(spoiled) zero?</w:t>
      </w:r>
    </w:p>
    <w:p>
      <w:pPr>
        <w:spacing w:after="80"/>
      </w:pPr>
      <w:r>
        <w:t xml:space="preserve">For fixed noise, 'spoiled by t*' is a step function of θ: derivative zero almost everywhere. The expectation is smooth, so you can't swap ∇ and E. Fixes: sigmoid surrogate (biased), Brownian-bridge crossing probability (smooth per step), or score function (unbiased, noisy).</w:t>
      </w:r>
    </w:p>
    <w:p>
      <w:pPr>
        <w:keepNext/>
        <w:spacing w:after="40" w:before="120"/>
      </w:pPr>
      <w:r>
        <w:rPr>
          <w:b/>
          <w:bCs/>
        </w:rPr>
        <w:t xml:space="preserve">Can you use the score function for parameters in σ?</w:t>
      </w:r>
    </w:p>
    <w:p>
      <w:pPr>
        <w:spacing w:after="80"/>
      </w:pPr>
      <w:r>
        <w:t xml:space="preserve">Not in continuous time: changing σ changes quadratic variation, so path measures become mutually singular. On a discrete grid the Euler–Maruyama density exists, but the estimator's variance blows up as Δt → 0.</w:t>
      </w:r>
    </w:p>
    <w:p>
      <w:pPr>
        <w:keepNext/>
        <w:spacing w:after="40" w:before="120"/>
      </w:pPr>
      <w:r>
        <w:rPr>
          <w:b/>
          <w:bCs/>
        </w:rPr>
        <w:t xml:space="preserve">Why must prior and posterior share σ?</w:t>
      </w:r>
    </w:p>
    <w:p>
      <w:pPr>
        <w:spacing w:after="80"/>
      </w:pPr>
      <w:r>
        <w:t xml:space="preserve">Girsanov only changes drift. Different σσᵀ means different quadratic variation, mutually singular path measures, KL = ∞.</w:t>
      </w:r>
    </w:p>
    <w:p>
      <w:pPr>
        <w:keepNext/>
        <w:spacing w:after="40" w:before="120"/>
      </w:pPr>
      <w:r>
        <w:rPr>
          <w:b/>
          <w:bCs/>
        </w:rPr>
        <w:t xml:space="preserve">Why Arrhenius?</w:t>
      </w:r>
    </w:p>
    <w:p>
      <w:pPr>
        <w:spacing w:after="80"/>
      </w:pPr>
      <w:r>
        <w:t xml:space="preserve">Two controlled temperatures (10 °C, 20 °C) can't train a free-form temperature dependence; Arrhenius is a one-parameter physical prior. Applying it only to drift is a choice; scaling diffusion by √κ is the alternative if temperature speeds up the whole clock.</w:t>
      </w:r>
    </w:p>
    <w:p>
      <w:pPr>
        <w:keepNext/>
        <w:spacing w:after="40" w:before="120"/>
      </w:pPr>
      <w:r>
        <w:rPr>
          <w:b/>
          <w:bCs/>
        </w:rPr>
        <w:t xml:space="preserve">Are diffusion models trained like your latent SDE?</w:t>
      </w:r>
    </w:p>
    <w:p>
      <w:pPr>
        <w:spacing w:after="80"/>
      </w:pPr>
      <w:r>
        <w:t xml:space="preserve">No. Diffusion training is simulation-free (denoising score matching, closed-form p(x_t | x_0)); the solver only runs at sampling. Our model learns the dynamics, so it must backprop through the solve.</w:t>
      </w:r>
    </w:p>
    <w:p>
      <w:pPr>
        <w:keepNext/>
        <w:spacing w:after="40" w:before="120"/>
      </w:pPr>
      <w:r>
        <w:rPr>
          <w:b/>
          <w:bCs/>
        </w:rPr>
        <w:t xml:space="preserve">How is the latent SDE's posterior conditioned on photos?</w:t>
      </w:r>
    </w:p>
    <w:p>
      <w:pPr>
        <w:spacing w:after="80"/>
      </w:pPr>
      <w:r>
        <w:t xml:space="preserve">Encode each photo, run a GRU or Transformer backward over the sequence to make a context vector per time, feed it to the posterior drift h_φ.</w:t>
      </w:r>
    </w:p>
    <w:p>
      <w:pPr>
        <w:keepNext/>
        <w:spacing w:after="40" w:before="120"/>
      </w:pPr>
      <w:r>
        <w:rPr>
          <w:b/>
          <w:bCs/>
        </w:rPr>
        <w:t xml:space="preserve">What's a virtual Brownian tree?</w:t>
      </w:r>
    </w:p>
    <w:p>
      <w:pPr>
        <w:spacing w:after="80"/>
      </w:pPr>
      <w:r>
        <w:t xml:space="preserve">Regenerate W(s) on demand by recursive Brownian-bridge bisection from a fixed seed: O(1) memory, O(log 1/ε) per query, same answer every time.</w:t>
      </w:r>
    </w:p>
    <w:p>
      <w:pPr>
        <w:keepNext/>
        <w:spacing w:after="40" w:before="120"/>
      </w:pPr>
      <w:r>
        <w:rPr>
          <w:b/>
          <w:bCs/>
        </w:rPr>
        <w:t xml:space="preserve">Identifiability?</w:t>
      </w:r>
    </w:p>
    <w:p>
      <w:pPr>
        <w:spacing w:after="80"/>
      </w:pPr>
      <w:r>
        <w:t xml:space="preserve">Reparameterizing the latent space leaves the likelihood unchanged, and fast drift + small noise can mimic slow drift + big noise under sparse observations. The ordinal ripeness head anchors one direction; test by recovering a known SDE on synthetic data.</w:t>
      </w:r>
    </w:p>
    <w:p>
      <w:pPr>
        <w:keepNext/>
        <w:spacing w:after="40" w:before="120"/>
      </w:pPr>
      <w:r>
        <w:rPr>
          <w:b/>
          <w:bCs/>
        </w:rPr>
        <w:t xml:space="preserve">Why not a sequence model with a hazard head?</w:t>
      </w:r>
    </w:p>
    <w:p>
      <w:pPr>
        <w:spacing w:after="80"/>
      </w:pPr>
      <w:r>
        <w:t xml:space="preserve">It's a legitimate baseline (on the results slide). The SDE gives irregular times, uncertainty over futures and a physics-structured rate by construction.</w:t>
      </w:r>
    </w:p>
    <w:p>
      <w:pPr>
        <w:pStyle w:val="Heading1"/>
      </w:pPr>
      <w:r>
        <w:t xml:space="preserve">Part 5. Still to fill in</w:t>
      </w:r>
    </w:p>
    <w:p>
      <w:pPr>
        <w:spacing w:after="160"/>
      </w:pPr>
      <w:r>
        <w:rPr>
          <w:i/>
          <w:iCs/>
          <w:color w:val="6B7280"/>
          <w:sz w:val="20"/>
          <w:szCs w:val="20"/>
        </w:rPr>
        <w:t xml:space="preserve">The running example's images and code don't exist yet. These spots in the deck are marked PLACEHOLDER.</w:t>
      </w:r>
    </w:p>
    <w:p>
      <w:pPr>
        <w:pStyle w:val="ListParagraph"/>
        <w:numPr>
          <w:ilvl w:val="0"/>
          <w:numId w:val="4"/>
        </w:numPr>
        <w:spacing w:after="60"/>
      </w:pPr>
      <w:r>
        <w:rPr>
          <w:b/>
          <w:bCs/>
        </w:rPr>
        <w:t xml:space="preserve">Slide 2: </w:t>
      </w:r>
      <w:r>
        <w:t xml:space="preserve">five photos of one avocado (same sample, days 0–8) from the dataset.</w:t>
      </w:r>
    </w:p>
    <w:p>
      <w:pPr>
        <w:pStyle w:val="ListParagraph"/>
        <w:numPr>
          <w:ilvl w:val="0"/>
          <w:numId w:val="4"/>
        </w:numPr>
        <w:spacing w:after="60"/>
      </w:pPr>
      <w:r>
        <w:rPr>
          <w:b/>
          <w:bCs/>
        </w:rPr>
        <w:t xml:space="preserve">Slide 9: </w:t>
      </w:r>
      <w:r>
        <w:t xml:space="preserve">the image encoder from your project, and one sentence on why it suits produce.</w:t>
      </w:r>
    </w:p>
    <w:p>
      <w:pPr>
        <w:pStyle w:val="ListParagraph"/>
        <w:numPr>
          <w:ilvl w:val="0"/>
          <w:numId w:val="4"/>
        </w:numPr>
        <w:spacing w:after="60"/>
      </w:pPr>
      <w:r>
        <w:rPr>
          <w:b/>
          <w:bCs/>
        </w:rPr>
        <w:t xml:space="preserve">Slide 16: </w:t>
      </w:r>
      <w:r>
        <w:t xml:space="preserve">forecast fan chart, shelf-life calibration (reliability diagram), baselines × metrics table (C-index, Brier score, NLL), and a one-line headline. Split train/test by fruit, not by photo.</w:t>
      </w:r>
    </w:p>
    <w:p>
      <w:pPr>
        <w:pStyle w:val="ListParagraph"/>
        <w:numPr>
          <w:ilvl w:val="0"/>
          <w:numId w:val="4"/>
        </w:numPr>
        <w:spacing w:after="60"/>
      </w:pPr>
      <w:r>
        <w:rPr>
          <w:b/>
          <w:bCs/>
        </w:rPr>
        <w:t xml:space="preserve">If results aren't ready: </w:t>
      </w:r>
      <w:r>
        <w:t xml:space="preserve">keep slide 16 as 'experiment in progress' and show the schematic fan chart instead.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8"/>
        <w:szCs w:val="18"/>
      </w:rPr>
      <w:t xml:space="preserve">Neural SDEs lecture · prep guide ·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rPr>
        <w:color w:val="C8102E"/>
      </w:r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Arial" w:cs="Arial" w:eastAsia="Arial" w:hAnsi="Arial"/>
      <w:b/>
      <w:bCs/>
      <w:color w:val="1F2328"/>
      <w:sz w:val="44"/>
      <w:szCs w:val="44"/>
    </w:rPr>
  </w:style>
  <w:style w:type="paragraph" w:styleId="Heading1">
    <w:name w:val="Heading 1"/>
    <w:basedOn w:val="Normal"/>
    <w:next w:val="Normal"/>
    <w:qFormat/>
    <w:pPr>
      <w:spacing w:after="140" w:before="360"/>
      <w:outlineLvl w:val="0"/>
    </w:pPr>
    <w:rPr>
      <w:rFonts w:ascii="Arial" w:cs="Arial" w:eastAsia="Arial" w:hAnsi="Arial"/>
      <w:b/>
      <w:bCs/>
      <w:color w:val="1F2328"/>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ovrdfehzeev-svxpl9ns" Type="http://schemas.openxmlformats.org/officeDocument/2006/relationships/hyperlink" Target="https://arxiv.org/abs/1806.07366" TargetMode="External"/><Relationship Id="rIdejihstkdgyabelbl8fbhs" Type="http://schemas.openxmlformats.org/officeDocument/2006/relationships/hyperlink" Target="https://arxiv.org/abs/2001.01328" TargetMode="External"/><Relationship Id="rIdrc3vffbui87xufyh-sj5b" Type="http://schemas.openxmlformats.org/officeDocument/2006/relationships/hyperlink" Target="https://arxiv.org/abs/1906.10652" TargetMode="External"/><Relationship Id="rIdta7o4s-wz_5xp9l8p-05t" Type="http://schemas.openxmlformats.org/officeDocument/2006/relationships/hyperlink" Target="https://arxiv.org/abs/2011.13456" TargetMode="External"/><Relationship Id="rIda98z4ihsfkr6w7uovnmt2" Type="http://schemas.openxmlformats.org/officeDocument/2006/relationships/hyperlink" Target="https://arxiv.org/abs/2105.13493" TargetMode="External"/><Relationship Id="rId9tvc3-cjjlddt_gm-modn" Type="http://schemas.openxmlformats.org/officeDocument/2006/relationships/hyperlink" Target="https://data.mendeley.com/datasets/3xd9n945v8/1" TargetMode="External"/><Relationship Id="rId_nemc_qpypud0idaahjai" Type="http://schemas.openxmlformats.org/officeDocument/2006/relationships/hyperlink" Target="https://implicit-layers-tutorial.org/neural_odes/" TargetMode="External"/><Relationship Id="rIdmylirpooo8zkix5gfyzs3" Type="http://schemas.openxmlformats.org/officeDocument/2006/relationships/hyperlink" Target="https://neurips.cc/virtual/2020/tutorial/16653" TargetMode="External"/><Relationship Id="rIdgcnoitspj-gcscinewhys" Type="http://schemas.openxmlformats.org/officeDocument/2006/relationships/hyperlink" Target="https://av.fields.utoronto.ca/talks/Neural-Ordinary-Differential-Equations" TargetMode="External"/><Relationship Id="rIdztnbmcaazhnt97nutcb8n" Type="http://schemas.openxmlformats.org/officeDocument/2006/relationships/hyperlink" Target="https://arxiv.org/abs/1806.07366" TargetMode="External"/><Relationship Id="rIdu3irsjqm6ctifjib2vl5i" Type="http://schemas.openxmlformats.org/officeDocument/2006/relationships/hyperlink" Target="https://arxiv.org/abs/1907.03907" TargetMode="External"/><Relationship Id="rId_gngvtrp6yjedlsnbp8lm" Type="http://schemas.openxmlformats.org/officeDocument/2006/relationships/hyperlink" Target="https://arxiv.org/abs/1902.10298" TargetMode="External"/><Relationship Id="rIdhna1etr7fe4qvuwq5nidf" Type="http://schemas.openxmlformats.org/officeDocument/2006/relationships/hyperlink" Target="https://webhomes.maths.ed.ac.uk/~dhigham/Publications/P42.pdf" TargetMode="External"/><Relationship Id="rIdzqwnb80gt4keibikamuye" Type="http://schemas.openxmlformats.org/officeDocument/2006/relationships/hyperlink" Target="https://users.aalto.fi/~ssarkka/pub/sde_book.pdf" TargetMode="External"/><Relationship Id="rIdnnuyijgcbbrtef_s7vziy" Type="http://schemas.openxmlformats.org/officeDocument/2006/relationships/hyperlink" Target="https://arxiv.org/abs/1906.10652" TargetMode="External"/><Relationship Id="rIdqgcruyywbdxrhqthjg5o0" Type="http://schemas.openxmlformats.org/officeDocument/2006/relationships/hyperlink" Target="https://www.microsoft.com/en-us/research/?p=750409" TargetMode="External"/><Relationship Id="rIdoxhrpahbi9l5cjx0ojdyc" Type="http://schemas.openxmlformats.org/officeDocument/2006/relationships/hyperlink" Target="https://arxiv.org/abs/2001.01328" TargetMode="External"/><Relationship Id="rIdqz9ezhurqhlpyv08crtfw" Type="http://schemas.openxmlformats.org/officeDocument/2006/relationships/hyperlink" Target="https://arxiv.org/abs/2105.13493" TargetMode="External"/><Relationship Id="rIdrktphbvz-9yqncxtb4qb3" Type="http://schemas.openxmlformats.org/officeDocument/2006/relationships/hyperlink" Target="https://arxiv.org/abs/2202.02435" TargetMode="External"/><Relationship Id="rIdjlm53gg_euouvz6nslxtv" Type="http://schemas.openxmlformats.org/officeDocument/2006/relationships/hyperlink" Target="https://arxiv.org/abs/2102.03657" TargetMode="External"/><Relationship Id="rId1gru35lz7l5lv8hrpngdq" Type="http://schemas.openxmlformats.org/officeDocument/2006/relationships/hyperlink" Target="https://cbmm.mit.edu/video/diffusion-and-score-based-generative-models" TargetMode="External"/><Relationship Id="rIdq4xtluccurolwjo133ztj" Type="http://schemas.openxmlformats.org/officeDocument/2006/relationships/hyperlink" Target="https://arxiv.org/abs/2011.13456" TargetMode="External"/><Relationship Id="rId19i0din5kdpqpgrykbdxi" Type="http://schemas.openxmlformats.org/officeDocument/2006/relationships/hyperlink" Target="https://diffusion.csail.mit.edu/2026/" TargetMode="External"/><Relationship Id="rIdg0vqecvz9uzbhcwjsdunm" Type="http://schemas.openxmlformats.org/officeDocument/2006/relationships/hyperlink" Target="https://arxiv.org/abs/2312.15796" TargetMode="External"/><Relationship Id="rIdowxjotoxry3dbp9fcjjcd" Type="http://schemas.openxmlformats.org/officeDocument/2006/relationships/hyperlink" Target="https://arxiv.org/abs/2303.04137" TargetMode="External"/><Relationship Id="rIdh2ganvujh5cwsvtvmvmte" Type="http://schemas.openxmlformats.org/officeDocument/2006/relationships/hyperlink" Target="https://arxiv.org/abs/2410.24164" TargetMode="External"/><Relationship Id="rIdglzaogv7uepuioelfiq4n" Type="http://schemas.openxmlformats.org/officeDocument/2006/relationships/hyperlink" Target="https://arxiv.org/abs/2007.04154" TargetMode="External"/><Relationship Id="rIdyzbgypbgqqtagpcpgc8hl" Type="http://schemas.openxmlformats.org/officeDocument/2006/relationships/hyperlink" Target="https://arxiv.org/abs/2105.11053" TargetMode="External"/><Relationship Id="rIdtshq5-6bfiejt-7susb2z" Type="http://schemas.openxmlformats.org/officeDocument/2006/relationships/hyperlink" Target="https://arxiv.org/abs/2005.08926" TargetMode="External"/><Relationship Id="rIdedfb2xzai9eifkelf5abo" Type="http://schemas.openxmlformats.org/officeDocument/2006/relationships/hyperlink" Target="https://docs.kidger.site/diffrax/examples/sde_example/" TargetMode="External"/><Relationship Id="rIdgietu8szouzy4fol4nkb3" Type="http://schemas.openxmlformats.org/officeDocument/2006/relationships/hyperlink" Target="https://github.com/nishadw/neural-sde"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SDEs: Reading and Prep Guide</dc:title>
  <dc:creator>Nishad Wajge</dc:creator>
  <cp:lastModifiedBy>Un-named</cp:lastModifiedBy>
  <cp:revision>1</cp:revision>
  <dcterms:created xsi:type="dcterms:W3CDTF">2026-10-16T19:13:52.586Z</dcterms:created>
  <dcterms:modified xsi:type="dcterms:W3CDTF">2026-10-16T19:13:52.586Z</dcterms:modified>
</cp:coreProperties>
</file>

<file path=docProps/custom.xml><?xml version="1.0" encoding="utf-8"?>
<Properties xmlns="http://schemas.openxmlformats.org/officeDocument/2006/custom-properties" xmlns:vt="http://schemas.openxmlformats.org/officeDocument/2006/docPropsVTypes"/>
</file>