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b/>
          <w:color w:val="0B3C5D"/>
          <w:sz w:val="30"/>
        </w:rPr>
        <w:t>Rajalakshmi Engineering College (Autonomous, affiliated to Anna University, Chennai)</w:t>
      </w:r>
    </w:p>
    <w:p>
      <w:pPr>
        <w:jc w:val="center"/>
      </w:pPr>
      <w:r>
        <w:rPr>
          <w:sz w:val="23"/>
        </w:rPr>
        <w:t>Department of Artificial Intelligence and Data Science</w:t>
      </w:r>
    </w:p>
    <w:p/>
    <w:p>
      <w:pPr>
        <w:jc w:val="center"/>
      </w:pPr>
      <w:r>
        <w:rPr>
          <w:b/>
          <w:sz w:val="26"/>
        </w:rPr>
        <w:t>AD23532 — Principles of Data Science</w:t>
      </w:r>
    </w:p>
    <w:p>
      <w:pPr>
        <w:jc w:val="center"/>
      </w:pPr>
      <w:r>
        <w:rPr>
          <w:color w:val="555555"/>
          <w:sz w:val="20"/>
        </w:rPr>
        <w:t>Lab Oriented Theory  |  Category: Professional Core (PC)  |  L-T-P-C: 2-0-4-4</w:t>
      </w:r>
    </w:p>
    <w:p/>
    <w:p/>
    <w:p>
      <w:pPr>
        <w:jc w:val="center"/>
      </w:pPr>
      <w:r>
        <w:rPr>
          <w:b/>
          <w:color w:val="0B3C5D"/>
          <w:sz w:val="52"/>
        </w:rPr>
        <w:t>AirGuard India</w:t>
      </w:r>
    </w:p>
    <w:p>
      <w:pPr>
        <w:jc w:val="center"/>
      </w:pPr>
      <w:r>
        <w:rPr>
          <w:i/>
          <w:sz w:val="24"/>
        </w:rPr>
        <w:t>A Vulnerability-Weighted Health Advisory Index and Next-Day Air Quality Forecasting System for Indian Cities</w:t>
      </w:r>
    </w:p>
    <w:p/>
    <w:p>
      <w:pPr>
        <w:jc w:val="center"/>
      </w:pPr>
      <w:r>
        <w:rPr>
          <w:b/>
          <w:sz w:val="28"/>
        </w:rPr>
        <w:t>Review 3: Modelling, Comparison and Product Development</w:t>
      </w:r>
    </w:p>
    <w:p>
      <w:pPr>
        <w:jc w:val="center"/>
      </w:pPr>
      <w:r>
        <w:rPr>
          <w:color w:val="555555"/>
          <w:sz w:val="21"/>
        </w:rPr>
        <w:t>Maximum marks: 40</w:t>
      </w:r>
    </w:p>
    <w:p/>
    <w:tbl>
      <w:tblPr>
        <w:tblStyle w:val="TableGrid"/>
        <w:tblW w:type="auto" w:w="0"/>
        <w:jc w:val="center"/>
        <w:tblLayout w:type="fixed"/>
        <w:tblLook w:firstColumn="1" w:firstRow="1" w:lastColumn="0" w:lastRow="0" w:noHBand="0" w:noVBand="1" w:val="04A0"/>
      </w:tblPr>
      <w:tblGrid>
        <w:gridCol w:w="4816"/>
        <w:gridCol w:w="4816"/>
      </w:tblGrid>
      <w:tr>
        <w:tc>
          <w:tcPr>
            <w:tcW w:type="dxa" w:w="3061"/>
          </w:tcPr>
          <w:p>
            <w:r>
              <w:rPr>
                <w:b/>
              </w:rPr>
              <w:t>Degree and Branch</w:t>
            </w:r>
          </w:p>
        </w:tc>
        <w:tc>
          <w:tcPr>
            <w:tcW w:type="dxa" w:w="5896"/>
          </w:tcPr>
          <w:p>
            <w:r>
              <w:t>B.Tech. Artificial Intelligence and Data Science</w:t>
            </w:r>
          </w:p>
        </w:tc>
      </w:tr>
      <w:tr>
        <w:tc>
          <w:tcPr>
            <w:tcW w:type="dxa" w:w="3061"/>
          </w:tcPr>
          <w:p>
            <w:r>
              <w:rPr>
                <w:b/>
              </w:rPr>
              <w:t>Regulation</w:t>
            </w:r>
          </w:p>
        </w:tc>
        <w:tc>
          <w:tcPr>
            <w:tcW w:type="dxa" w:w="5896"/>
          </w:tcPr>
          <w:p>
            <w:r>
              <w:t>2023</w:t>
            </w:r>
          </w:p>
        </w:tc>
      </w:tr>
      <w:tr>
        <w:tc>
          <w:tcPr>
            <w:tcW w:type="dxa" w:w="3061"/>
          </w:tcPr>
          <w:p>
            <w:r>
              <w:rPr>
                <w:b/>
              </w:rPr>
              <w:t>Academic Year</w:t>
            </w:r>
          </w:p>
        </w:tc>
        <w:tc>
          <w:tcPr>
            <w:tcW w:type="dxa" w:w="5896"/>
          </w:tcPr>
          <w:p>
            <w:r>
              <w:t>2026-27 (ODD)</w:t>
            </w:r>
          </w:p>
        </w:tc>
      </w:tr>
      <w:tr>
        <w:tc>
          <w:tcPr>
            <w:tcW w:type="dxa" w:w="3061"/>
          </w:tcPr>
          <w:p>
            <w:r>
              <w:rPr>
                <w:b/>
              </w:rPr>
              <w:t>Semester</w:t>
            </w:r>
          </w:p>
        </w:tc>
        <w:tc>
          <w:tcPr>
            <w:tcW w:type="dxa" w:w="5896"/>
          </w:tcPr>
          <w:p>
            <w:r>
              <w:t>V</w:t>
            </w:r>
          </w:p>
        </w:tc>
      </w:tr>
      <w:tr>
        <w:tc>
          <w:tcPr>
            <w:tcW w:type="dxa" w:w="3061"/>
          </w:tcPr>
          <w:p>
            <w:r>
              <w:rPr>
                <w:b/>
              </w:rPr>
              <w:t>Batch</w:t>
            </w:r>
          </w:p>
        </w:tc>
        <w:tc>
          <w:tcPr>
            <w:tcW w:type="dxa" w:w="5896"/>
          </w:tcPr>
          <w:p>
            <w:r>
              <w:t>2024-2028</w:t>
            </w:r>
          </w:p>
        </w:tc>
      </w:tr>
    </w:tbl>
    <w:p/>
    <w:p>
      <w:r>
        <w:rPr>
          <w:b/>
          <w:sz w:val="22"/>
        </w:rPr>
        <w:t>Project team</w:t>
      </w:r>
    </w:p>
    <w:tbl>
      <w:tblPr>
        <w:tblStyle w:val="TableGrid"/>
        <w:tblW w:type="auto" w:w="0"/>
        <w:tblLayout w:type="fixed"/>
        <w:tblLook w:firstColumn="1" w:firstRow="1" w:lastColumn="0" w:lastRow="0" w:noHBand="0" w:noVBand="1" w:val="04A0"/>
      </w:tblPr>
      <w:tblGrid>
        <w:gridCol w:w="3211"/>
        <w:gridCol w:w="3211"/>
        <w:gridCol w:w="3211"/>
      </w:tblGrid>
      <w:tr>
        <w:tc>
          <w:tcPr>
            <w:tcW w:type="dxa" w:w="1020"/>
          </w:tcPr>
          <w:p>
            <w:r>
              <w:rPr>
                <w:b/>
              </w:rPr>
              <w:t>S. No.</w:t>
            </w:r>
          </w:p>
        </w:tc>
        <w:tc>
          <w:tcPr>
            <w:tcW w:type="dxa" w:w="2494"/>
          </w:tcPr>
          <w:p>
            <w:r>
              <w:rPr>
                <w:b/>
              </w:rPr>
              <w:t>Register Number</w:t>
            </w:r>
          </w:p>
        </w:tc>
        <w:tc>
          <w:tcPr>
            <w:tcW w:type="dxa" w:w="5443"/>
          </w:tcPr>
          <w:p>
            <w:r>
              <w:rPr>
                <w:b/>
              </w:rPr>
              <w:t>Name</w:t>
            </w:r>
          </w:p>
        </w:tc>
      </w:tr>
      <w:tr>
        <w:tc>
          <w:tcPr>
            <w:tcW w:type="dxa" w:w="1020"/>
          </w:tcPr>
          <w:p>
            <w:r>
              <w:t>1</w:t>
            </w:r>
          </w:p>
        </w:tc>
        <w:tc>
          <w:tcPr>
            <w:tcW w:type="dxa" w:w="2494"/>
          </w:tcPr>
          <w:p>
            <w:r>
              <w:t>260586</w:t>
            </w:r>
          </w:p>
        </w:tc>
        <w:tc>
          <w:tcPr>
            <w:tcW w:type="dxa" w:w="5443"/>
          </w:tcPr>
          <w:p>
            <w:r>
              <w:t>Nishanth Rajendran</w:t>
            </w:r>
          </w:p>
        </w:tc>
      </w:tr>
      <w:tr>
        <w:tc>
          <w:tcPr>
            <w:tcW w:type="dxa" w:w="1020"/>
          </w:tcPr>
          <w:p>
            <w:r>
              <w:t>2</w:t>
            </w:r>
          </w:p>
        </w:tc>
        <w:tc>
          <w:tcPr>
            <w:tcW w:type="dxa" w:w="2494"/>
          </w:tcPr>
          <w:p>
            <w:r>
              <w:t>260598</w:t>
            </w:r>
          </w:p>
        </w:tc>
        <w:tc>
          <w:tcPr>
            <w:tcW w:type="dxa" w:w="5443"/>
          </w:tcPr>
          <w:p>
            <w:r>
              <w:t>&lt;NAME&gt;</w:t>
            </w:r>
          </w:p>
        </w:tc>
      </w:tr>
      <w:tr>
        <w:tc>
          <w:tcPr>
            <w:tcW w:type="dxa" w:w="1020"/>
          </w:tcPr>
          <w:p>
            <w:r>
              <w:t>3</w:t>
            </w:r>
          </w:p>
        </w:tc>
        <w:tc>
          <w:tcPr>
            <w:tcW w:type="dxa" w:w="2494"/>
          </w:tcPr>
          <w:p>
            <w:r>
              <w:t>260600</w:t>
            </w:r>
          </w:p>
        </w:tc>
        <w:tc>
          <w:tcPr>
            <w:tcW w:type="dxa" w:w="5443"/>
          </w:tcPr>
          <w:p>
            <w:r>
              <w:t>&lt;NAME&gt;</w:t>
            </w:r>
          </w:p>
        </w:tc>
      </w:tr>
    </w:tbl>
    <w:p/>
    <w:p>
      <w:pPr>
        <w:jc w:val="center"/>
      </w:pPr>
      <w:r>
        <w:rPr>
          <w:color w:val="555555"/>
          <w:sz w:val="18"/>
        </w:rPr>
        <w:t>Generated 30 September 2026 · Repository: https://github.com/nishaids/airguard-india</w:t>
      </w:r>
    </w:p>
    <w:p>
      <w:r>
        <w:br w:type="page"/>
      </w:r>
    </w:p>
    <w:p>
      <w:pPr>
        <w:pStyle w:val="Heading1"/>
      </w:pPr>
      <w:r>
        <w:rPr>
          <w:color w:val="0B3C5D"/>
        </w:rPr>
        <w:t>Table of Contents</w:t>
      </w:r>
    </w:p>
    <w:tbl>
      <w:tblPr>
        <w:tblStyle w:val="TableGrid"/>
        <w:tblW w:type="auto" w:w="0"/>
        <w:tblLayout w:type="fixed"/>
        <w:tblLook w:firstColumn="1" w:firstRow="1" w:lastColumn="0" w:lastRow="0" w:noHBand="0" w:noVBand="1" w:val="04A0"/>
      </w:tblPr>
      <w:tblGrid>
        <w:gridCol w:w="3211"/>
        <w:gridCol w:w="3211"/>
        <w:gridCol w:w="3211"/>
      </w:tblGrid>
      <w:tr>
        <w:tc>
          <w:tcPr>
            <w:tcW w:type="dxa" w:w="907"/>
          </w:tcPr>
          <w:p>
            <w:r>
              <w:rPr>
                <w:b/>
              </w:rPr>
              <w:t>Section</w:t>
            </w:r>
          </w:p>
        </w:tc>
        <w:tc>
          <w:tcPr>
            <w:tcW w:type="dxa" w:w="4876"/>
          </w:tcPr>
          <w:p>
            <w:r>
              <w:rPr>
                <w:b/>
              </w:rPr>
              <w:t>Title</w:t>
            </w:r>
          </w:p>
        </w:tc>
        <w:tc>
          <w:tcPr>
            <w:tcW w:type="dxa" w:w="3628"/>
          </w:tcPr>
          <w:p>
            <w:r>
              <w:rPr>
                <w:b/>
              </w:rPr>
              <w:t>Rubric row addressed</w:t>
            </w:r>
          </w:p>
        </w:tc>
      </w:tr>
      <w:tr>
        <w:tc>
          <w:tcPr>
            <w:tcW w:type="dxa" w:w="907"/>
          </w:tcPr>
          <w:p>
            <w:r>
              <w:t>1</w:t>
            </w:r>
          </w:p>
        </w:tc>
        <w:tc>
          <w:tcPr>
            <w:tcW w:type="dxa" w:w="4876"/>
          </w:tcPr>
          <w:p>
            <w:r>
              <w:t>Model Implementation and Training Methodology</w:t>
            </w:r>
          </w:p>
        </w:tc>
        <w:tc>
          <w:tcPr>
            <w:tcW w:type="dxa" w:w="3628"/>
          </w:tcPr>
          <w:p>
            <w:r>
              <w:t>Model implementation and training methodology (10)</w:t>
            </w:r>
          </w:p>
        </w:tc>
      </w:tr>
      <w:tr>
        <w:tc>
          <w:tcPr>
            <w:tcW w:type="dxa" w:w="907"/>
          </w:tcPr>
          <w:p>
            <w:r>
              <w:t>2</w:t>
            </w:r>
          </w:p>
        </w:tc>
        <w:tc>
          <w:tcPr>
            <w:tcW w:type="dxa" w:w="4876"/>
          </w:tcPr>
          <w:p>
            <w:r>
              <w:t>Evaluation Metrics</w:t>
            </w:r>
          </w:p>
        </w:tc>
        <w:tc>
          <w:tcPr>
            <w:tcW w:type="dxa" w:w="3628"/>
          </w:tcPr>
          <w:p>
            <w:r>
              <w:t>Appropriate evaluation metrics (5)</w:t>
            </w:r>
          </w:p>
        </w:tc>
      </w:tr>
      <w:tr>
        <w:tc>
          <w:tcPr>
            <w:tcW w:type="dxa" w:w="907"/>
          </w:tcPr>
          <w:p>
            <w:r>
              <w:t>3</w:t>
            </w:r>
          </w:p>
        </w:tc>
        <w:tc>
          <w:tcPr>
            <w:tcW w:type="dxa" w:w="4876"/>
          </w:tcPr>
          <w:p>
            <w:r>
              <w:t>Performance Comparison and Analytical Discussion</w:t>
            </w:r>
          </w:p>
        </w:tc>
        <w:tc>
          <w:tcPr>
            <w:tcW w:type="dxa" w:w="3628"/>
          </w:tcPr>
          <w:p>
            <w:r>
              <w:t>Performance comparison and analytical discussion (5)</w:t>
            </w:r>
          </w:p>
        </w:tc>
      </w:tr>
      <w:tr>
        <w:tc>
          <w:tcPr>
            <w:tcW w:type="dxa" w:w="907"/>
          </w:tcPr>
          <w:p>
            <w:r>
              <w:t>4</w:t>
            </w:r>
          </w:p>
        </w:tc>
        <w:tc>
          <w:tcPr>
            <w:tcW w:type="dxa" w:w="4876"/>
          </w:tcPr>
          <w:p>
            <w:r>
              <w:t>Hyperparameter Tuning and Optimisation</w:t>
            </w:r>
          </w:p>
        </w:tc>
        <w:tc>
          <w:tcPr>
            <w:tcW w:type="dxa" w:w="3628"/>
          </w:tcPr>
          <w:p>
            <w:r>
              <w:t>Hyperparameter tuning and optimisation (5)</w:t>
            </w:r>
          </w:p>
        </w:tc>
      </w:tr>
      <w:tr>
        <w:tc>
          <w:tcPr>
            <w:tcW w:type="dxa" w:w="907"/>
          </w:tcPr>
          <w:p>
            <w:r>
              <w:t>5</w:t>
            </w:r>
          </w:p>
        </w:tc>
        <w:tc>
          <w:tcPr>
            <w:tcW w:type="dxa" w:w="4876"/>
          </w:tcPr>
          <w:p>
            <w:r>
              <w:t>End-to-End Product Development</w:t>
            </w:r>
          </w:p>
        </w:tc>
        <w:tc>
          <w:tcPr>
            <w:tcW w:type="dxa" w:w="3628"/>
          </w:tcPr>
          <w:p>
            <w:r>
              <w:t>End-to-end product development and functionality (10)</w:t>
            </w:r>
          </w:p>
        </w:tc>
      </w:tr>
      <w:tr>
        <w:tc>
          <w:tcPr>
            <w:tcW w:type="dxa" w:w="907"/>
          </w:tcPr>
          <w:p>
            <w:r>
              <w:t>6</w:t>
            </w:r>
          </w:p>
        </w:tc>
        <w:tc>
          <w:tcPr>
            <w:tcW w:type="dxa" w:w="4876"/>
          </w:tcPr>
          <w:p>
            <w:r>
              <w:t>Final Model Selection, Limitations and Future Work</w:t>
            </w:r>
          </w:p>
        </w:tc>
        <w:tc>
          <w:tcPr>
            <w:tcW w:type="dxa" w:w="3628"/>
          </w:tcPr>
          <w:p>
            <w:r>
              <w:t>Technical report (5)</w:t>
            </w:r>
          </w:p>
        </w:tc>
      </w:tr>
    </w:tbl>
    <w:p>
      <w:r>
        <w:br w:type="page"/>
      </w:r>
    </w:p>
    <w:p>
      <w:pPr>
        <w:pStyle w:val="Heading1"/>
      </w:pPr>
      <w:r>
        <w:rPr>
          <w:color w:val="0B3C5D"/>
        </w:rPr>
        <w:t>1. Model Implementation and Training Methodology</w:t>
      </w:r>
    </w:p>
    <w:p>
      <w:pPr>
        <w:pStyle w:val="Heading2"/>
      </w:pPr>
      <w:r>
        <w:rPr>
          <w:color w:val="0B3C5D"/>
        </w:rPr>
        <w:t>1.1 The forecasting formulation</w:t>
      </w:r>
    </w:p>
    <w:p>
      <w:pPr>
        <w:jc w:val="both"/>
      </w:pPr>
      <w:r>
        <w:rPr>
          <w:b w:val="0"/>
          <w:i w:val="0"/>
          <w:sz w:val="21"/>
        </w:rPr>
        <w:t>Every model predicts tomorrow from information available today. For a city and a date, the regression target is the following day's AQI and the classification target is the following day's CPCB band; the feature vector may use any measurement dated today or earlier for that same city. This is not a stylistic preference. It is what makes the output actionable, and it is also what dissolves the label-leakage problem that a same-day formulation suffers from, as Section 1.5 demonstrates by measurement.</w:t>
      </w:r>
    </w:p>
    <w:p>
      <w:r>
        <w:rPr>
          <w:b/>
          <w:color w:val="0B3C5D"/>
          <w:sz w:val="19"/>
        </w:rPr>
        <w:t>Table 1. Training and evaluation setup</w:t>
      </w:r>
    </w:p>
    <w:tbl>
      <w:tblPr>
        <w:tblStyle w:val="LightGrid-Accent1"/>
        <w:tblW w:type="auto" w:w="0"/>
        <w:tblLayout w:type="fixed"/>
        <w:tblLook w:firstColumn="1" w:firstRow="1" w:lastColumn="0" w:lastRow="0" w:noHBand="0" w:noVBand="1" w:val="04A0"/>
      </w:tblPr>
      <w:tblGrid>
        <w:gridCol w:w="4816"/>
        <w:gridCol w:w="4816"/>
      </w:tblGrid>
      <w:tr>
        <w:tc>
          <w:tcPr>
            <w:tcW w:type="dxa" w:w="3628"/>
          </w:tcPr>
          <w:p>
            <w:r>
              <w:rPr>
                <w:b/>
                <w:sz w:val="17"/>
              </w:rPr>
              <w:t>Property</w:t>
            </w:r>
          </w:p>
        </w:tc>
        <w:tc>
          <w:tcPr>
            <w:tcW w:type="dxa" w:w="5443"/>
          </w:tcPr>
          <w:p>
            <w:r>
              <w:rPr>
                <w:b/>
                <w:sz w:val="17"/>
              </w:rPr>
              <w:t>Value</w:t>
            </w:r>
          </w:p>
        </w:tc>
      </w:tr>
      <w:tr>
        <w:tc>
          <w:tcPr>
            <w:tcW w:type="dxa" w:w="3628"/>
          </w:tcPr>
          <w:p>
            <w:r>
              <w:rPr>
                <w:sz w:val="17"/>
              </w:rPr>
              <w:t>Split boundary</w:t>
            </w:r>
          </w:p>
        </w:tc>
        <w:tc>
          <w:tcPr>
            <w:tcW w:type="dxa" w:w="5443"/>
          </w:tcPr>
          <w:p>
            <w:r>
              <w:rPr>
                <w:sz w:val="17"/>
              </w:rPr>
              <w:t>2019-05-26</w:t>
            </w:r>
          </w:p>
        </w:tc>
      </w:tr>
      <w:tr>
        <w:tc>
          <w:tcPr>
            <w:tcW w:type="dxa" w:w="3628"/>
          </w:tcPr>
          <w:p>
            <w:r>
              <w:rPr>
                <w:sz w:val="17"/>
              </w:rPr>
              <w:t>Training period</w:t>
            </w:r>
          </w:p>
        </w:tc>
        <w:tc>
          <w:tcPr>
            <w:tcW w:type="dxa" w:w="5443"/>
          </w:tcPr>
          <w:p>
            <w:r>
              <w:rPr>
                <w:sz w:val="17"/>
              </w:rPr>
              <w:t>2015-01-01 to 2019-05-25</w:t>
            </w:r>
          </w:p>
        </w:tc>
      </w:tr>
      <w:tr>
        <w:tc>
          <w:tcPr>
            <w:tcW w:type="dxa" w:w="3628"/>
          </w:tcPr>
          <w:p>
            <w:r>
              <w:rPr>
                <w:sz w:val="17"/>
              </w:rPr>
              <w:t>Test period</w:t>
            </w:r>
          </w:p>
        </w:tc>
        <w:tc>
          <w:tcPr>
            <w:tcW w:type="dxa" w:w="5443"/>
          </w:tcPr>
          <w:p>
            <w:r>
              <w:rPr>
                <w:sz w:val="17"/>
              </w:rPr>
              <w:t>2019-05-26 to 2020-07-01</w:t>
            </w:r>
          </w:p>
        </w:tc>
      </w:tr>
      <w:tr>
        <w:tc>
          <w:tcPr>
            <w:tcW w:type="dxa" w:w="3628"/>
          </w:tcPr>
          <w:p>
            <w:r>
              <w:rPr>
                <w:sz w:val="17"/>
              </w:rPr>
              <w:t>Training rows (after dropping warm-up and unlabelled rows)</w:t>
            </w:r>
          </w:p>
        </w:tc>
        <w:tc>
          <w:tcPr>
            <w:tcW w:type="dxa" w:w="5443"/>
          </w:tcPr>
          <w:p>
            <w:r>
              <w:rPr>
                <w:sz w:val="17"/>
              </w:rPr>
              <w:t>10,331</w:t>
            </w:r>
          </w:p>
        </w:tc>
      </w:tr>
      <w:tr>
        <w:tc>
          <w:tcPr>
            <w:tcW w:type="dxa" w:w="3628"/>
          </w:tcPr>
          <w:p>
            <w:r>
              <w:rPr>
                <w:sz w:val="17"/>
              </w:rPr>
              <w:t>Test rows</w:t>
            </w:r>
          </w:p>
        </w:tc>
        <w:tc>
          <w:tcPr>
            <w:tcW w:type="dxa" w:w="5443"/>
          </w:tcPr>
          <w:p>
            <w:r>
              <w:rPr>
                <w:sz w:val="17"/>
              </w:rPr>
              <w:t>4,397</w:t>
            </w:r>
          </w:p>
        </w:tc>
      </w:tr>
      <w:tr>
        <w:tc>
          <w:tcPr>
            <w:tcW w:type="dxa" w:w="3628"/>
          </w:tcPr>
          <w:p>
            <w:r>
              <w:rPr>
                <w:sz w:val="17"/>
              </w:rPr>
              <w:t>Features, regression</w:t>
            </w:r>
          </w:p>
        </w:tc>
        <w:tc>
          <w:tcPr>
            <w:tcW w:type="dxa" w:w="5443"/>
          </w:tcPr>
          <w:p>
            <w:r>
              <w:rPr>
                <w:sz w:val="17"/>
              </w:rPr>
              <w:t>100</w:t>
            </w:r>
          </w:p>
        </w:tc>
      </w:tr>
      <w:tr>
        <w:tc>
          <w:tcPr>
            <w:tcW w:type="dxa" w:w="3628"/>
          </w:tcPr>
          <w:p>
            <w:r>
              <w:rPr>
                <w:sz w:val="17"/>
              </w:rPr>
              <w:t>Features, classification</w:t>
            </w:r>
          </w:p>
        </w:tc>
        <w:tc>
          <w:tcPr>
            <w:tcW w:type="dxa" w:w="5443"/>
          </w:tcPr>
          <w:p>
            <w:r>
              <w:rPr>
                <w:sz w:val="17"/>
              </w:rPr>
              <w:t>102</w:t>
            </w:r>
          </w:p>
        </w:tc>
      </w:tr>
      <w:tr>
        <w:tc>
          <w:tcPr>
            <w:tcW w:type="dxa" w:w="3628"/>
          </w:tcPr>
          <w:p>
            <w:r>
              <w:rPr>
                <w:sz w:val="17"/>
              </w:rPr>
              <w:t>Cross-validation</w:t>
            </w:r>
          </w:p>
        </w:tc>
        <w:tc>
          <w:tcPr>
            <w:tcW w:type="dxa" w:w="5443"/>
          </w:tcPr>
          <w:p>
            <w:r>
              <w:rPr>
                <w:sz w:val="17"/>
              </w:rPr>
              <w:t>TimeSeriesSplit with 4 expanding-window folds on the training period. Shuffled k-fold is not used, because it would place future observations in training folds and inflate every score.</w:t>
            </w:r>
          </w:p>
        </w:tc>
      </w:tr>
    </w:tbl>
    <w:p/>
    <w:p>
      <w:pPr>
        <w:pStyle w:val="Heading2"/>
      </w:pPr>
      <w:r>
        <w:rPr>
          <w:color w:val="0B3C5D"/>
        </w:rPr>
        <w:t>1.2 Regression models</w:t>
      </w:r>
    </w:p>
    <w:p>
      <w:r>
        <w:rPr>
          <w:b/>
          <w:color w:val="0B3C5D"/>
          <w:sz w:val="19"/>
        </w:rPr>
        <w:t>Table 2. Regression models fitted, with the reason each is present</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928"/>
          </w:tcPr>
          <w:p>
            <w:r>
              <w:rPr>
                <w:b/>
                <w:sz w:val="16"/>
              </w:rPr>
              <w:t>Model</w:t>
            </w:r>
          </w:p>
        </w:tc>
        <w:tc>
          <w:tcPr>
            <w:tcW w:type="dxa" w:w="1587"/>
          </w:tcPr>
          <w:p>
            <w:r>
              <w:rPr>
                <w:b/>
                <w:sz w:val="16"/>
              </w:rPr>
              <w:t>Family</w:t>
            </w:r>
          </w:p>
        </w:tc>
        <w:tc>
          <w:tcPr>
            <w:tcW w:type="dxa" w:w="5556"/>
          </w:tcPr>
          <w:p>
            <w:r>
              <w:rPr>
                <w:b/>
                <w:sz w:val="16"/>
              </w:rPr>
              <w:t>Why it is included</w:t>
            </w:r>
          </w:p>
        </w:tc>
      </w:tr>
      <w:tr>
        <w:tc>
          <w:tcPr>
            <w:tcW w:type="dxa" w:w="1928"/>
          </w:tcPr>
          <w:p>
            <w:r>
              <w:rPr>
                <w:sz w:val="16"/>
              </w:rPr>
              <w:t>Persistence baseline (tomorrow = today)</w:t>
            </w:r>
          </w:p>
        </w:tc>
        <w:tc>
          <w:tcPr>
            <w:tcW w:type="dxa" w:w="1587"/>
          </w:tcPr>
          <w:p>
            <w:r>
              <w:rPr>
                <w:sz w:val="16"/>
              </w:rPr>
              <w:t>baseline</w:t>
            </w:r>
          </w:p>
        </w:tc>
        <w:tc>
          <w:tcPr>
            <w:tcW w:type="dxa" w:w="5556"/>
          </w:tcPr>
          <w:p>
            <w:r>
              <w:rPr>
                <w:sz w:val="16"/>
              </w:rPr>
              <w:t>Not a fitted model. Today's observed value is carried forward as the forecast for tomorrow. Any learned model must beat this to justify itself.</w:t>
            </w:r>
          </w:p>
        </w:tc>
      </w:tr>
      <w:tr>
        <w:tc>
          <w:tcPr>
            <w:tcW w:type="dxa" w:w="1928"/>
          </w:tcPr>
          <w:p>
            <w:r>
              <w:rPr>
                <w:sz w:val="16"/>
              </w:rPr>
              <w:t>Linear Regression</w:t>
            </w:r>
          </w:p>
        </w:tc>
        <w:tc>
          <w:tcPr>
            <w:tcW w:type="dxa" w:w="1587"/>
          </w:tcPr>
          <w:p>
            <w:r>
              <w:rPr>
                <w:sz w:val="16"/>
              </w:rPr>
              <w:t>linear</w:t>
            </w:r>
          </w:p>
        </w:tc>
        <w:tc>
          <w:tcPr>
            <w:tcW w:type="dxa" w:w="5556"/>
          </w:tcPr>
          <w:p>
            <w:r>
              <w:rPr>
                <w:sz w:val="16"/>
              </w:rPr>
              <w:t>Interpretable reference model. Provides the coefficient-level reading of the problem and the benchmark against which any gain from non-linearity is measured.</w:t>
            </w:r>
          </w:p>
        </w:tc>
      </w:tr>
      <w:tr>
        <w:tc>
          <w:tcPr>
            <w:tcW w:type="dxa" w:w="1928"/>
          </w:tcPr>
          <w:p>
            <w:r>
              <w:rPr>
                <w:sz w:val="16"/>
              </w:rPr>
              <w:t>Ridge Regression</w:t>
            </w:r>
          </w:p>
        </w:tc>
        <w:tc>
          <w:tcPr>
            <w:tcW w:type="dxa" w:w="1587"/>
          </w:tcPr>
          <w:p>
            <w:r>
              <w:rPr>
                <w:sz w:val="16"/>
              </w:rPr>
              <w:t>linear</w:t>
            </w:r>
          </w:p>
        </w:tc>
        <w:tc>
          <w:tcPr>
            <w:tcW w:type="dxa" w:w="5556"/>
          </w:tcPr>
          <w:p>
            <w:r>
              <w:rPr>
                <w:sz w:val="16"/>
              </w:rPr>
              <w:t>L2 regularisation stabilises coefficients under the severe multicollinearity documented in the correlation analysis.</w:t>
            </w:r>
          </w:p>
        </w:tc>
      </w:tr>
      <w:tr>
        <w:tc>
          <w:tcPr>
            <w:tcW w:type="dxa" w:w="1928"/>
          </w:tcPr>
          <w:p>
            <w:r>
              <w:rPr>
                <w:sz w:val="16"/>
              </w:rPr>
              <w:t>Random Forest</w:t>
            </w:r>
          </w:p>
        </w:tc>
        <w:tc>
          <w:tcPr>
            <w:tcW w:type="dxa" w:w="1587"/>
          </w:tcPr>
          <w:p>
            <w:r>
              <w:rPr>
                <w:sz w:val="16"/>
              </w:rPr>
              <w:t>bagged trees</w:t>
            </w:r>
          </w:p>
        </w:tc>
        <w:tc>
          <w:tcPr>
            <w:tcW w:type="dxa" w:w="5556"/>
          </w:tcPr>
          <w:p>
            <w:r>
              <w:rPr>
                <w:sz w:val="16"/>
              </w:rPr>
              <w:t>Bagging reduces variance and captures pollutant interactions and the city-by-season structure without either being specified.</w:t>
            </w:r>
          </w:p>
        </w:tc>
      </w:tr>
      <w:tr>
        <w:tc>
          <w:tcPr>
            <w:tcW w:type="dxa" w:w="1928"/>
          </w:tcPr>
          <w:p>
            <w:r>
              <w:rPr>
                <w:sz w:val="16"/>
              </w:rPr>
              <w:t>XGBoost</w:t>
            </w:r>
          </w:p>
        </w:tc>
        <w:tc>
          <w:tcPr>
            <w:tcW w:type="dxa" w:w="1587"/>
          </w:tcPr>
          <w:p>
            <w:r>
              <w:rPr>
                <w:sz w:val="16"/>
              </w:rPr>
              <w:t>gradient boosting</w:t>
            </w:r>
          </w:p>
        </w:tc>
        <w:tc>
          <w:tcPr>
            <w:tcW w:type="dxa" w:w="5556"/>
          </w:tcPr>
          <w:p>
            <w:r>
              <w:rPr>
                <w:sz w:val="16"/>
              </w:rPr>
              <w:t>Level-wise gradient boosting, a strong default for tabular regression with mixed feature types.</w:t>
            </w:r>
          </w:p>
        </w:tc>
      </w:tr>
      <w:tr>
        <w:tc>
          <w:tcPr>
            <w:tcW w:type="dxa" w:w="1928"/>
          </w:tcPr>
          <w:p>
            <w:r>
              <w:rPr>
                <w:sz w:val="16"/>
              </w:rPr>
              <w:t>LightGBM</w:t>
            </w:r>
          </w:p>
        </w:tc>
        <w:tc>
          <w:tcPr>
            <w:tcW w:type="dxa" w:w="1587"/>
          </w:tcPr>
          <w:p>
            <w:r>
              <w:rPr>
                <w:sz w:val="16"/>
              </w:rPr>
              <w:t>gradient boosting</w:t>
            </w:r>
          </w:p>
        </w:tc>
        <w:tc>
          <w:tcPr>
            <w:tcW w:type="dxa" w:w="5556"/>
          </w:tcPr>
          <w:p>
            <w:r>
              <w:rPr>
                <w:sz w:val="16"/>
              </w:rPr>
              <w:t>Leaf-wise gradient boosting. Grows asymmetric trees, so it can reach deeper interactions at equal leaf count and often differs from XGBoost on heavily skewed targets.</w:t>
            </w:r>
          </w:p>
        </w:tc>
      </w:tr>
    </w:tbl>
    <w:p/>
    <w:p>
      <w:pPr>
        <w:pStyle w:val="Heading2"/>
      </w:pPr>
      <w:r>
        <w:rPr>
          <w:color w:val="0B3C5D"/>
        </w:rPr>
        <w:t>1.3 Classification models and the imbalance remedy</w:t>
      </w:r>
    </w:p>
    <w:p>
      <w:r>
        <w:rPr>
          <w:b/>
          <w:color w:val="0B3C5D"/>
          <w:sz w:val="19"/>
        </w:rPr>
        <w:t>Table 3. Classification models fitted, with the imbalance remedy applied to each</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1814"/>
          </w:tcPr>
          <w:p>
            <w:r>
              <w:rPr>
                <w:b/>
                <w:sz w:val="15"/>
              </w:rPr>
              <w:t>Model</w:t>
            </w:r>
          </w:p>
        </w:tc>
        <w:tc>
          <w:tcPr>
            <w:tcW w:type="dxa" w:w="1361"/>
          </w:tcPr>
          <w:p>
            <w:r>
              <w:rPr>
                <w:b/>
                <w:sz w:val="15"/>
              </w:rPr>
              <w:t>Family</w:t>
            </w:r>
          </w:p>
        </w:tc>
        <w:tc>
          <w:tcPr>
            <w:tcW w:type="dxa" w:w="1928"/>
          </w:tcPr>
          <w:p>
            <w:r>
              <w:rPr>
                <w:b/>
                <w:sz w:val="15"/>
              </w:rPr>
              <w:t>Imbalance strategy</w:t>
            </w:r>
          </w:p>
        </w:tc>
        <w:tc>
          <w:tcPr>
            <w:tcW w:type="dxa" w:w="3969"/>
          </w:tcPr>
          <w:p>
            <w:r>
              <w:rPr>
                <w:b/>
                <w:sz w:val="15"/>
              </w:rPr>
              <w:t>Why it is included</w:t>
            </w:r>
          </w:p>
        </w:tc>
      </w:tr>
      <w:tr>
        <w:tc>
          <w:tcPr>
            <w:tcW w:type="dxa" w:w="1814"/>
          </w:tcPr>
          <w:p>
            <w:r>
              <w:rPr>
                <w:sz w:val="15"/>
              </w:rPr>
              <w:t>Persistence baseline (tomorrow = today)</w:t>
            </w:r>
          </w:p>
        </w:tc>
        <w:tc>
          <w:tcPr>
            <w:tcW w:type="dxa" w:w="1361"/>
          </w:tcPr>
          <w:p>
            <w:r>
              <w:rPr>
                <w:sz w:val="15"/>
              </w:rPr>
              <w:t>baseline</w:t>
            </w:r>
          </w:p>
        </w:tc>
        <w:tc>
          <w:tcPr>
            <w:tcW w:type="dxa" w:w="1928"/>
          </w:tcPr>
          <w:p>
            <w:r>
              <w:rPr>
                <w:sz w:val="15"/>
              </w:rPr>
              <w:t>-</w:t>
            </w:r>
          </w:p>
        </w:tc>
        <w:tc>
          <w:tcPr>
            <w:tcW w:type="dxa" w:w="3969"/>
          </w:tcPr>
          <w:p>
            <w:r>
              <w:rPr>
                <w:sz w:val="15"/>
              </w:rPr>
              <w:t>Not a fitted model. Today's observed value is carried forward as the forecast for tomorrow. Any learned model must beat this to justify itself.</w:t>
            </w:r>
          </w:p>
        </w:tc>
      </w:tr>
      <w:tr>
        <w:tc>
          <w:tcPr>
            <w:tcW w:type="dxa" w:w="1814"/>
          </w:tcPr>
          <w:p>
            <w:r>
              <w:rPr>
                <w:sz w:val="15"/>
              </w:rPr>
              <w:t>Logistic Regression</w:t>
            </w:r>
          </w:p>
        </w:tc>
        <w:tc>
          <w:tcPr>
            <w:tcW w:type="dxa" w:w="1361"/>
          </w:tcPr>
          <w:p>
            <w:r>
              <w:rPr>
                <w:sz w:val="15"/>
              </w:rPr>
              <w:t>linear</w:t>
            </w:r>
          </w:p>
        </w:tc>
        <w:tc>
          <w:tcPr>
            <w:tcW w:type="dxa" w:w="1928"/>
          </w:tcPr>
          <w:p>
            <w:r>
              <w:rPr>
                <w:sz w:val="15"/>
              </w:rPr>
              <w:t>class_weight='balanced'</w:t>
            </w:r>
          </w:p>
        </w:tc>
        <w:tc>
          <w:tcPr>
            <w:tcW w:type="dxa" w:w="3969"/>
          </w:tcPr>
          <w:p>
            <w:r>
              <w:rPr>
                <w:sz w:val="15"/>
              </w:rPr>
              <w:t>Linear reference classifier. Establishes how much of the problem is linearly separable in the engineered feature space.</w:t>
            </w:r>
          </w:p>
        </w:tc>
      </w:tr>
      <w:tr>
        <w:tc>
          <w:tcPr>
            <w:tcW w:type="dxa" w:w="1814"/>
          </w:tcPr>
          <w:p>
            <w:r>
              <w:rPr>
                <w:sz w:val="15"/>
              </w:rPr>
              <w:t>Decision Tree</w:t>
            </w:r>
          </w:p>
        </w:tc>
        <w:tc>
          <w:tcPr>
            <w:tcW w:type="dxa" w:w="1361"/>
          </w:tcPr>
          <w:p>
            <w:r>
              <w:rPr>
                <w:sz w:val="15"/>
              </w:rPr>
              <w:t>tree</w:t>
            </w:r>
          </w:p>
        </w:tc>
        <w:tc>
          <w:tcPr>
            <w:tcW w:type="dxa" w:w="1928"/>
          </w:tcPr>
          <w:p>
            <w:r>
              <w:rPr>
                <w:sz w:val="15"/>
              </w:rPr>
              <w:t>class_weight='balanced'</w:t>
            </w:r>
          </w:p>
        </w:tc>
        <w:tc>
          <w:tcPr>
            <w:tcW w:type="dxa" w:w="3969"/>
          </w:tcPr>
          <w:p>
            <w:r>
              <w:rPr>
                <w:sz w:val="15"/>
              </w:rPr>
              <w:t>A single interpretable tree. Its decision path can be read directly, which is valuable for a health advisory, and the gap to the ensembles quantifies the variance a single tree suffers.</w:t>
            </w:r>
          </w:p>
        </w:tc>
      </w:tr>
      <w:tr>
        <w:tc>
          <w:tcPr>
            <w:tcW w:type="dxa" w:w="1814"/>
          </w:tcPr>
          <w:p>
            <w:r>
              <w:rPr>
                <w:sz w:val="15"/>
              </w:rPr>
              <w:t>Random Forest</w:t>
            </w:r>
          </w:p>
        </w:tc>
        <w:tc>
          <w:tcPr>
            <w:tcW w:type="dxa" w:w="1361"/>
          </w:tcPr>
          <w:p>
            <w:r>
              <w:rPr>
                <w:sz w:val="15"/>
              </w:rPr>
              <w:t>bagged trees</w:t>
            </w:r>
          </w:p>
        </w:tc>
        <w:tc>
          <w:tcPr>
            <w:tcW w:type="dxa" w:w="1928"/>
          </w:tcPr>
          <w:p>
            <w:r>
              <w:rPr>
                <w:sz w:val="15"/>
              </w:rPr>
              <w:t>class_weight='balanced_subsample'</w:t>
            </w:r>
          </w:p>
        </w:tc>
        <w:tc>
          <w:tcPr>
            <w:tcW w:type="dxa" w:w="3969"/>
          </w:tcPr>
          <w:p>
            <w:r>
              <w:rPr>
                <w:sz w:val="15"/>
              </w:rPr>
              <w:t>Bagging reduces the variance of the single tree while keeping non-linearity.</w:t>
            </w:r>
          </w:p>
        </w:tc>
      </w:tr>
      <w:tr>
        <w:tc>
          <w:tcPr>
            <w:tcW w:type="dxa" w:w="1814"/>
          </w:tcPr>
          <w:p>
            <w:r>
              <w:rPr>
                <w:sz w:val="15"/>
              </w:rPr>
              <w:t>SVM (RBF)</w:t>
            </w:r>
          </w:p>
        </w:tc>
        <w:tc>
          <w:tcPr>
            <w:tcW w:type="dxa" w:w="1361"/>
          </w:tcPr>
          <w:p>
            <w:r>
              <w:rPr>
                <w:sz w:val="15"/>
              </w:rPr>
              <w:t>kernel</w:t>
            </w:r>
          </w:p>
        </w:tc>
        <w:tc>
          <w:tcPr>
            <w:tcW w:type="dxa" w:w="1928"/>
          </w:tcPr>
          <w:p>
            <w:r>
              <w:rPr>
                <w:sz w:val="15"/>
              </w:rPr>
              <w:t>class_weight='balanced'</w:t>
            </w:r>
          </w:p>
        </w:tc>
        <w:tc>
          <w:tcPr>
            <w:tcW w:type="dxa" w:w="3969"/>
          </w:tcPr>
          <w:p>
            <w:r>
              <w:rPr>
                <w:sz w:val="15"/>
              </w:rPr>
              <w:t>A non-linear kernel boundary, included because the pairwise structure in the exploratory analysis showed curved class boundaries that a linear model cannot express.</w:t>
            </w:r>
          </w:p>
        </w:tc>
      </w:tr>
      <w:tr>
        <w:tc>
          <w:tcPr>
            <w:tcW w:type="dxa" w:w="1814"/>
          </w:tcPr>
          <w:p>
            <w:r>
              <w:rPr>
                <w:sz w:val="15"/>
              </w:rPr>
              <w:t>XGBoost</w:t>
            </w:r>
          </w:p>
        </w:tc>
        <w:tc>
          <w:tcPr>
            <w:tcW w:type="dxa" w:w="1361"/>
          </w:tcPr>
          <w:p>
            <w:r>
              <w:rPr>
                <w:sz w:val="15"/>
              </w:rPr>
              <w:t>gradient boosting</w:t>
            </w:r>
          </w:p>
        </w:tc>
        <w:tc>
          <w:tcPr>
            <w:tcW w:type="dxa" w:w="1928"/>
          </w:tcPr>
          <w:p>
            <w:r>
              <w:rPr>
                <w:sz w:val="15"/>
              </w:rPr>
              <w:t>none (compared against a SMOTE variant below)</w:t>
            </w:r>
          </w:p>
        </w:tc>
        <w:tc>
          <w:tcPr>
            <w:tcW w:type="dxa" w:w="3969"/>
          </w:tcPr>
          <w:p>
            <w:r>
              <w:rPr>
                <w:sz w:val="15"/>
              </w:rPr>
              <w:t>Gradient boosting, the strongest default family for tabular classification.</w:t>
            </w:r>
          </w:p>
        </w:tc>
      </w:tr>
      <w:tr>
        <w:tc>
          <w:tcPr>
            <w:tcW w:type="dxa" w:w="1814"/>
          </w:tcPr>
          <w:p>
            <w:r>
              <w:rPr>
                <w:sz w:val="15"/>
              </w:rPr>
              <w:t>KNN (k=15)</w:t>
            </w:r>
          </w:p>
        </w:tc>
        <w:tc>
          <w:tcPr>
            <w:tcW w:type="dxa" w:w="1361"/>
          </w:tcPr>
          <w:p>
            <w:r>
              <w:rPr>
                <w:sz w:val="15"/>
              </w:rPr>
              <w:t>instance-based</w:t>
            </w:r>
          </w:p>
        </w:tc>
        <w:tc>
          <w:tcPr>
            <w:tcW w:type="dxa" w:w="1928"/>
          </w:tcPr>
          <w:p>
            <w:r>
              <w:rPr>
                <w:sz w:val="15"/>
              </w:rPr>
              <w:t>distance weighting (no class weighting available)</w:t>
            </w:r>
          </w:p>
        </w:tc>
        <w:tc>
          <w:tcPr>
            <w:tcW w:type="dxa" w:w="3969"/>
          </w:tcPr>
          <w:p>
            <w:r>
              <w:rPr>
                <w:sz w:val="15"/>
              </w:rPr>
              <w:t>A purely local, non-parametric benchmark. Its performance relative to the ensembles indicates how much of the signal is captured by local similarity alone.</w:t>
            </w:r>
          </w:p>
        </w:tc>
      </w:tr>
      <w:tr>
        <w:tc>
          <w:tcPr>
            <w:tcW w:type="dxa" w:w="1814"/>
          </w:tcPr>
          <w:p>
            <w:r>
              <w:rPr>
                <w:sz w:val="15"/>
              </w:rPr>
              <w:t>Random Forest + SMOTE</w:t>
            </w:r>
          </w:p>
        </w:tc>
        <w:tc>
          <w:tcPr>
            <w:tcW w:type="dxa" w:w="1361"/>
          </w:tcPr>
          <w:p>
            <w:r>
              <w:rPr>
                <w:sz w:val="15"/>
              </w:rPr>
              <w:t>bagged trees</w:t>
            </w:r>
          </w:p>
        </w:tc>
        <w:tc>
          <w:tcPr>
            <w:tcW w:type="dxa" w:w="1928"/>
          </w:tcPr>
          <w:p>
            <w:r>
              <w:rPr>
                <w:sz w:val="15"/>
              </w:rPr>
              <w:t>SMOTE oversampling inside each training fold</w:t>
            </w:r>
          </w:p>
        </w:tc>
        <w:tc>
          <w:tcPr>
            <w:tcW w:type="dxa" w:w="3969"/>
          </w:tcPr>
          <w:p>
            <w:r>
              <w:rPr>
                <w:sz w:val="15"/>
              </w:rPr>
              <w:t>Head-to-head comparison against the class-weighted Random Forest.</w:t>
            </w:r>
          </w:p>
        </w:tc>
      </w:tr>
      <w:tr>
        <w:tc>
          <w:tcPr>
            <w:tcW w:type="dxa" w:w="1814"/>
          </w:tcPr>
          <w:p>
            <w:r>
              <w:rPr>
                <w:sz w:val="15"/>
              </w:rPr>
              <w:t>XGBoost + SMOTE</w:t>
            </w:r>
          </w:p>
        </w:tc>
        <w:tc>
          <w:tcPr>
            <w:tcW w:type="dxa" w:w="1361"/>
          </w:tcPr>
          <w:p>
            <w:r>
              <w:rPr>
                <w:sz w:val="15"/>
              </w:rPr>
              <w:t>gradient boosting</w:t>
            </w:r>
          </w:p>
        </w:tc>
        <w:tc>
          <w:tcPr>
            <w:tcW w:type="dxa" w:w="1928"/>
          </w:tcPr>
          <w:p>
            <w:r>
              <w:rPr>
                <w:sz w:val="15"/>
              </w:rPr>
              <w:t>SMOTE oversampling inside each training fold</w:t>
            </w:r>
          </w:p>
        </w:tc>
        <w:tc>
          <w:tcPr>
            <w:tcW w:type="dxa" w:w="3969"/>
          </w:tcPr>
          <w:p>
            <w:r>
              <w:rPr>
                <w:sz w:val="15"/>
              </w:rPr>
              <w:t>Head-to-head comparison against the unweighted XGBoost.</w:t>
            </w:r>
          </w:p>
        </w:tc>
      </w:tr>
      <w:tr>
        <w:tc>
          <w:tcPr>
            <w:tcW w:type="dxa" w:w="1814"/>
          </w:tcPr>
          <w:p>
            <w:r>
              <w:rPr>
                <w:sz w:val="15"/>
              </w:rPr>
              <w:t>Logistic Regression + SMOTE</w:t>
            </w:r>
          </w:p>
        </w:tc>
        <w:tc>
          <w:tcPr>
            <w:tcW w:type="dxa" w:w="1361"/>
          </w:tcPr>
          <w:p>
            <w:r>
              <w:rPr>
                <w:sz w:val="15"/>
              </w:rPr>
              <w:t>linear</w:t>
            </w:r>
          </w:p>
        </w:tc>
        <w:tc>
          <w:tcPr>
            <w:tcW w:type="dxa" w:w="1928"/>
          </w:tcPr>
          <w:p>
            <w:r>
              <w:rPr>
                <w:sz w:val="15"/>
              </w:rPr>
              <w:t>SMOTE oversampling inside each training fold</w:t>
            </w:r>
          </w:p>
        </w:tc>
        <w:tc>
          <w:tcPr>
            <w:tcW w:type="dxa" w:w="3969"/>
          </w:tcPr>
          <w:p>
            <w:r>
              <w:rPr>
                <w:sz w:val="15"/>
              </w:rPr>
              <w:t>Head-to-head comparison against the class-weighted logistic model.</w:t>
            </w:r>
          </w:p>
        </w:tc>
      </w:tr>
    </w:tbl>
    <w:p/>
    <w:p>
      <w:pPr>
        <w:jc w:val="both"/>
      </w:pPr>
      <w:r>
        <w:rPr>
          <w:b w:val="0"/>
          <w:i w:val="0"/>
          <w:sz w:val="21"/>
        </w:rPr>
        <w:t>Two remedies for class imbalance are compared head to head rather than one being assumed. Class weighting re-weights the loss so that each class contributes in inverse proportion to its frequency, costs nothing at prediction time and synthesises no data. SMOTE interpolates new minority-class examples in feature space, and is applied inside an imbalanced-learn pipeline so that resampling happens within each training fold only. Resampling before splitting would place synthetic copies of validation rows into training and is a classic source of inflated scores.</w:t>
      </w:r>
    </w:p>
    <w:p>
      <w:r>
        <w:rPr>
          <w:b/>
          <w:color w:val="0B3C5D"/>
          <w:sz w:val="19"/>
        </w:rPr>
        <w:t>Table 4. Class-weighting against SMOTE, head to head</w:t>
      </w:r>
    </w:p>
    <w:tbl>
      <w:tblPr>
        <w:tblStyle w:val="LightGrid-Accent1"/>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2041"/>
          </w:tcPr>
          <w:p>
            <w:r>
              <w:rPr>
                <w:b/>
                <w:sz w:val="14"/>
              </w:rPr>
              <w:t>Pair</w:t>
            </w:r>
          </w:p>
        </w:tc>
        <w:tc>
          <w:tcPr>
            <w:tcW w:type="dxa" w:w="1361"/>
          </w:tcPr>
          <w:p>
            <w:r>
              <w:rPr>
                <w:b/>
                <w:sz w:val="14"/>
              </w:rPr>
              <w:t>Macro F1 (weighted/plain)</w:t>
            </w:r>
          </w:p>
        </w:tc>
        <w:tc>
          <w:tcPr>
            <w:tcW w:type="dxa" w:w="1134"/>
          </w:tcPr>
          <w:p>
            <w:r>
              <w:rPr>
                <w:b/>
                <w:sz w:val="14"/>
              </w:rPr>
              <w:t>Macro F1 (SMOTE)</w:t>
            </w:r>
          </w:p>
        </w:tc>
        <w:tc>
          <w:tcPr>
            <w:tcW w:type="dxa" w:w="907"/>
          </w:tcPr>
          <w:p>
            <w:r>
              <w:rPr>
                <w:b/>
                <w:sz w:val="14"/>
              </w:rPr>
              <w:t>Delta</w:t>
            </w:r>
          </w:p>
        </w:tc>
        <w:tc>
          <w:tcPr>
            <w:tcW w:type="dxa" w:w="1247"/>
          </w:tcPr>
          <w:p>
            <w:r>
              <w:rPr>
                <w:b/>
                <w:sz w:val="14"/>
              </w:rPr>
              <w:t>Severe F1 (weighted/plain)</w:t>
            </w:r>
          </w:p>
        </w:tc>
        <w:tc>
          <w:tcPr>
            <w:tcW w:type="dxa" w:w="1134"/>
          </w:tcPr>
          <w:p>
            <w:r>
              <w:rPr>
                <w:b/>
                <w:sz w:val="14"/>
              </w:rPr>
              <w:t>Severe F1 (SMOTE)</w:t>
            </w:r>
          </w:p>
        </w:tc>
        <w:tc>
          <w:tcPr>
            <w:tcW w:type="dxa" w:w="1247"/>
          </w:tcPr>
          <w:p>
            <w:r>
              <w:rPr>
                <w:b/>
                <w:sz w:val="14"/>
              </w:rPr>
              <w:t>Winner</w:t>
            </w:r>
          </w:p>
        </w:tc>
      </w:tr>
      <w:tr>
        <w:tc>
          <w:tcPr>
            <w:tcW w:type="dxa" w:w="2041"/>
          </w:tcPr>
          <w:p>
            <w:r>
              <w:rPr>
                <w:sz w:val="14"/>
              </w:rPr>
              <w:t>Random Forest vs Random Forest + SMOTE</w:t>
            </w:r>
          </w:p>
        </w:tc>
        <w:tc>
          <w:tcPr>
            <w:tcW w:type="dxa" w:w="1361"/>
          </w:tcPr>
          <w:p>
            <w:r>
              <w:rPr>
                <w:sz w:val="14"/>
              </w:rPr>
              <w:t>0.7184</w:t>
            </w:r>
          </w:p>
        </w:tc>
        <w:tc>
          <w:tcPr>
            <w:tcW w:type="dxa" w:w="1134"/>
          </w:tcPr>
          <w:p>
            <w:r>
              <w:rPr>
                <w:sz w:val="14"/>
              </w:rPr>
              <w:t>0.7390</w:t>
            </w:r>
          </w:p>
        </w:tc>
        <w:tc>
          <w:tcPr>
            <w:tcW w:type="dxa" w:w="907"/>
          </w:tcPr>
          <w:p>
            <w:r>
              <w:rPr>
                <w:sz w:val="14"/>
              </w:rPr>
              <w:t>+0.0206</w:t>
            </w:r>
          </w:p>
        </w:tc>
        <w:tc>
          <w:tcPr>
            <w:tcW w:type="dxa" w:w="1247"/>
          </w:tcPr>
          <w:p>
            <w:r>
              <w:rPr>
                <w:sz w:val="14"/>
              </w:rPr>
              <w:t>0.776</w:t>
            </w:r>
          </w:p>
        </w:tc>
        <w:tc>
          <w:tcPr>
            <w:tcW w:type="dxa" w:w="1134"/>
          </w:tcPr>
          <w:p>
            <w:r>
              <w:rPr>
                <w:sz w:val="14"/>
              </w:rPr>
              <w:t>0.779</w:t>
            </w:r>
          </w:p>
        </w:tc>
        <w:tc>
          <w:tcPr>
            <w:tcW w:type="dxa" w:w="1247"/>
          </w:tcPr>
          <w:p>
            <w:r>
              <w:rPr>
                <w:sz w:val="14"/>
              </w:rPr>
              <w:t>Random Forest + SMOTE</w:t>
            </w:r>
          </w:p>
        </w:tc>
      </w:tr>
      <w:tr>
        <w:tc>
          <w:tcPr>
            <w:tcW w:type="dxa" w:w="2041"/>
          </w:tcPr>
          <w:p>
            <w:r>
              <w:rPr>
                <w:sz w:val="14"/>
              </w:rPr>
              <w:t>XGBoost vs XGBoost + SMOTE</w:t>
            </w:r>
          </w:p>
        </w:tc>
        <w:tc>
          <w:tcPr>
            <w:tcW w:type="dxa" w:w="1361"/>
          </w:tcPr>
          <w:p>
            <w:r>
              <w:rPr>
                <w:sz w:val="14"/>
              </w:rPr>
              <w:t>0.7342</w:t>
            </w:r>
          </w:p>
        </w:tc>
        <w:tc>
          <w:tcPr>
            <w:tcW w:type="dxa" w:w="1134"/>
          </w:tcPr>
          <w:p>
            <w:r>
              <w:rPr>
                <w:sz w:val="14"/>
              </w:rPr>
              <w:t>0.7411</w:t>
            </w:r>
          </w:p>
        </w:tc>
        <w:tc>
          <w:tcPr>
            <w:tcW w:type="dxa" w:w="907"/>
          </w:tcPr>
          <w:p>
            <w:r>
              <w:rPr>
                <w:sz w:val="14"/>
              </w:rPr>
              <w:t>+0.0069</w:t>
            </w:r>
          </w:p>
        </w:tc>
        <w:tc>
          <w:tcPr>
            <w:tcW w:type="dxa" w:w="1247"/>
          </w:tcPr>
          <w:p>
            <w:r>
              <w:rPr>
                <w:sz w:val="14"/>
              </w:rPr>
              <w:t>0.753</w:t>
            </w:r>
          </w:p>
        </w:tc>
        <w:tc>
          <w:tcPr>
            <w:tcW w:type="dxa" w:w="1134"/>
          </w:tcPr>
          <w:p>
            <w:r>
              <w:rPr>
                <w:sz w:val="14"/>
              </w:rPr>
              <w:t>0.759</w:t>
            </w:r>
          </w:p>
        </w:tc>
        <w:tc>
          <w:tcPr>
            <w:tcW w:type="dxa" w:w="1247"/>
          </w:tcPr>
          <w:p>
            <w:r>
              <w:rPr>
                <w:sz w:val="14"/>
              </w:rPr>
              <w:t>XGBoost + SMOTE</w:t>
            </w:r>
          </w:p>
        </w:tc>
      </w:tr>
      <w:tr>
        <w:tc>
          <w:tcPr>
            <w:tcW w:type="dxa" w:w="2041"/>
          </w:tcPr>
          <w:p>
            <w:r>
              <w:rPr>
                <w:sz w:val="14"/>
              </w:rPr>
              <w:t>Logistic Regression vs Logistic Regression + SMOTE</w:t>
            </w:r>
          </w:p>
        </w:tc>
        <w:tc>
          <w:tcPr>
            <w:tcW w:type="dxa" w:w="1361"/>
          </w:tcPr>
          <w:p>
            <w:r>
              <w:rPr>
                <w:sz w:val="14"/>
              </w:rPr>
              <w:t>0.7236</w:t>
            </w:r>
          </w:p>
        </w:tc>
        <w:tc>
          <w:tcPr>
            <w:tcW w:type="dxa" w:w="1134"/>
          </w:tcPr>
          <w:p>
            <w:r>
              <w:rPr>
                <w:sz w:val="14"/>
              </w:rPr>
              <w:t>0.7197</w:t>
            </w:r>
          </w:p>
        </w:tc>
        <w:tc>
          <w:tcPr>
            <w:tcW w:type="dxa" w:w="907"/>
          </w:tcPr>
          <w:p>
            <w:r>
              <w:rPr>
                <w:sz w:val="14"/>
              </w:rPr>
              <w:t>-0.0039</w:t>
            </w:r>
          </w:p>
        </w:tc>
        <w:tc>
          <w:tcPr>
            <w:tcW w:type="dxa" w:w="1247"/>
          </w:tcPr>
          <w:p>
            <w:r>
              <w:rPr>
                <w:sz w:val="14"/>
              </w:rPr>
              <w:t>0.719</w:t>
            </w:r>
          </w:p>
        </w:tc>
        <w:tc>
          <w:tcPr>
            <w:tcW w:type="dxa" w:w="1134"/>
          </w:tcPr>
          <w:p>
            <w:r>
              <w:rPr>
                <w:sz w:val="14"/>
              </w:rPr>
              <w:t>0.723</w:t>
            </w:r>
          </w:p>
        </w:tc>
        <w:tc>
          <w:tcPr>
            <w:tcW w:type="dxa" w:w="1247"/>
          </w:tcPr>
          <w:p>
            <w:r>
              <w:rPr>
                <w:sz w:val="14"/>
              </w:rPr>
              <w:t>Logistic Regression</w:t>
            </w:r>
          </w:p>
        </w:tc>
      </w:tr>
    </w:tbl>
    <w:p/>
    <w:p>
      <w:r>
        <w:rPr>
          <w:b/>
          <w:color w:val="0B3C5D"/>
          <w:sz w:val="19"/>
        </w:rPr>
        <w:t>Table 5. Class distribution in the training period</w:t>
      </w:r>
    </w:p>
    <w:tbl>
      <w:tblPr>
        <w:tblStyle w:val="LightGrid-Accent1"/>
        <w:tblW w:type="auto" w:w="0"/>
        <w:tblLayout w:type="fixed"/>
        <w:tblLook w:firstColumn="1" w:firstRow="1" w:lastColumn="0" w:lastRow="0" w:noHBand="0" w:noVBand="1" w:val="04A0"/>
      </w:tblPr>
      <w:tblGrid>
        <w:gridCol w:w="4816"/>
        <w:gridCol w:w="4816"/>
      </w:tblGrid>
      <w:tr>
        <w:tc>
          <w:tcPr>
            <w:tcW w:type="dxa" w:w="4535"/>
          </w:tcPr>
          <w:p>
            <w:r>
              <w:rPr>
                <w:b/>
                <w:sz w:val="17"/>
              </w:rPr>
              <w:t>Band</w:t>
            </w:r>
          </w:p>
        </w:tc>
        <w:tc>
          <w:tcPr>
            <w:tcW w:type="dxa" w:w="4535"/>
          </w:tcPr>
          <w:p>
            <w:r>
              <w:rPr>
                <w:b/>
                <w:sz w:val="17"/>
              </w:rPr>
              <w:t>Training rows</w:t>
            </w:r>
          </w:p>
        </w:tc>
      </w:tr>
      <w:tr>
        <w:tc>
          <w:tcPr>
            <w:tcW w:type="dxa" w:w="4535"/>
          </w:tcPr>
          <w:p>
            <w:r>
              <w:rPr>
                <w:sz w:val="17"/>
              </w:rPr>
              <w:t>Moderate</w:t>
            </w:r>
          </w:p>
        </w:tc>
        <w:tc>
          <w:tcPr>
            <w:tcW w:type="dxa" w:w="4535"/>
          </w:tcPr>
          <w:p>
            <w:r>
              <w:rPr>
                <w:sz w:val="17"/>
              </w:rPr>
              <w:t>4,060</w:t>
            </w:r>
          </w:p>
        </w:tc>
      </w:tr>
      <w:tr>
        <w:tc>
          <w:tcPr>
            <w:tcW w:type="dxa" w:w="4535"/>
          </w:tcPr>
          <w:p>
            <w:r>
              <w:rPr>
                <w:sz w:val="17"/>
              </w:rPr>
              <w:t>Satisfactory</w:t>
            </w:r>
          </w:p>
        </w:tc>
        <w:tc>
          <w:tcPr>
            <w:tcW w:type="dxa" w:w="4535"/>
          </w:tcPr>
          <w:p>
            <w:r>
              <w:rPr>
                <w:sz w:val="17"/>
              </w:rPr>
              <w:t>3,104</w:t>
            </w:r>
          </w:p>
        </w:tc>
      </w:tr>
      <w:tr>
        <w:tc>
          <w:tcPr>
            <w:tcW w:type="dxa" w:w="4535"/>
          </w:tcPr>
          <w:p>
            <w:r>
              <w:rPr>
                <w:sz w:val="17"/>
              </w:rPr>
              <w:t>Poor</w:t>
            </w:r>
          </w:p>
        </w:tc>
        <w:tc>
          <w:tcPr>
            <w:tcW w:type="dxa" w:w="4535"/>
          </w:tcPr>
          <w:p>
            <w:r>
              <w:rPr>
                <w:sz w:val="17"/>
              </w:rPr>
              <w:t>1,330</w:t>
            </w:r>
          </w:p>
        </w:tc>
      </w:tr>
      <w:tr>
        <w:tc>
          <w:tcPr>
            <w:tcW w:type="dxa" w:w="4535"/>
          </w:tcPr>
          <w:p>
            <w:r>
              <w:rPr>
                <w:sz w:val="17"/>
              </w:rPr>
              <w:t>Very Poor</w:t>
            </w:r>
          </w:p>
        </w:tc>
        <w:tc>
          <w:tcPr>
            <w:tcW w:type="dxa" w:w="4535"/>
          </w:tcPr>
          <w:p>
            <w:r>
              <w:rPr>
                <w:sz w:val="17"/>
              </w:rPr>
              <w:t>1,197</w:t>
            </w:r>
          </w:p>
        </w:tc>
      </w:tr>
      <w:tr>
        <w:tc>
          <w:tcPr>
            <w:tcW w:type="dxa" w:w="4535"/>
          </w:tcPr>
          <w:p>
            <w:r>
              <w:rPr>
                <w:sz w:val="17"/>
              </w:rPr>
              <w:t>Severe</w:t>
            </w:r>
          </w:p>
        </w:tc>
        <w:tc>
          <w:tcPr>
            <w:tcW w:type="dxa" w:w="4535"/>
          </w:tcPr>
          <w:p>
            <w:r>
              <w:rPr>
                <w:sz w:val="17"/>
              </w:rPr>
              <w:t>376</w:t>
            </w:r>
          </w:p>
        </w:tc>
      </w:tr>
      <w:tr>
        <w:tc>
          <w:tcPr>
            <w:tcW w:type="dxa" w:w="4535"/>
          </w:tcPr>
          <w:p>
            <w:r>
              <w:rPr>
                <w:sz w:val="17"/>
              </w:rPr>
              <w:t>Good</w:t>
            </w:r>
          </w:p>
        </w:tc>
        <w:tc>
          <w:tcPr>
            <w:tcW w:type="dxa" w:w="4535"/>
          </w:tcPr>
          <w:p>
            <w:r>
              <w:rPr>
                <w:sz w:val="17"/>
              </w:rPr>
              <w:t>264</w:t>
            </w:r>
          </w:p>
        </w:tc>
      </w:tr>
    </w:tbl>
    <w:p/>
    <w:p>
      <w:pPr>
        <w:pStyle w:val="Heading2"/>
      </w:pPr>
      <w:r>
        <w:rPr>
          <w:color w:val="0B3C5D"/>
        </w:rPr>
        <w:t>1.4 Clustering</w:t>
      </w:r>
    </w:p>
    <w:p>
      <w:pPr>
        <w:jc w:val="both"/>
      </w:pPr>
      <w:r>
        <w:rPr>
          <w:b w:val="0"/>
          <w:i w:val="0"/>
          <w:sz w:val="21"/>
        </w:rPr>
        <w:t>Each city is represented by its mean concentration over the six principal pollutants, standardised across cities. Standardising makes the distance respond to the shape of the pollutant mix rather than to overall pollution level, which is the property that separates kinds of problem from degrees of severity.</w:t>
      </w:r>
    </w:p>
    <w:p>
      <w:r>
        <w:rPr>
          <w:b/>
          <w:color w:val="0B3C5D"/>
          <w:sz w:val="19"/>
        </w:rPr>
        <w:t>Table 6. Candidate partitions with their internal validity indices</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794"/>
          </w:tcPr>
          <w:p>
            <w:r>
              <w:rPr>
                <w:b/>
                <w:sz w:val="16"/>
              </w:rPr>
              <w:t>k</w:t>
            </w:r>
          </w:p>
        </w:tc>
        <w:tc>
          <w:tcPr>
            <w:tcW w:type="dxa" w:w="1474"/>
          </w:tcPr>
          <w:p>
            <w:r>
              <w:rPr>
                <w:b/>
                <w:sz w:val="16"/>
              </w:rPr>
              <w:t>Inertia</w:t>
            </w:r>
          </w:p>
        </w:tc>
        <w:tc>
          <w:tcPr>
            <w:tcW w:type="dxa" w:w="1474"/>
          </w:tcPr>
          <w:p>
            <w:r>
              <w:rPr>
                <w:b/>
                <w:sz w:val="16"/>
              </w:rPr>
              <w:t>Silhouette</w:t>
            </w:r>
          </w:p>
        </w:tc>
        <w:tc>
          <w:tcPr>
            <w:tcW w:type="dxa" w:w="1701"/>
          </w:tcPr>
          <w:p>
            <w:r>
              <w:rPr>
                <w:b/>
                <w:sz w:val="16"/>
              </w:rPr>
              <w:t>Davies-Bouldin</w:t>
            </w:r>
          </w:p>
        </w:tc>
        <w:tc>
          <w:tcPr>
            <w:tcW w:type="dxa" w:w="1928"/>
          </w:tcPr>
          <w:p>
            <w:r>
              <w:rPr>
                <w:b/>
                <w:sz w:val="16"/>
              </w:rPr>
              <w:t>Calinski-Harabasz</w:t>
            </w:r>
          </w:p>
        </w:tc>
        <w:tc>
          <w:tcPr>
            <w:tcW w:type="dxa" w:w="1701"/>
          </w:tcPr>
          <w:p>
            <w:r>
              <w:rPr>
                <w:b/>
                <w:sz w:val="16"/>
              </w:rPr>
              <w:t>Cluster sizes</w:t>
            </w:r>
          </w:p>
        </w:tc>
      </w:tr>
      <w:tr>
        <w:tc>
          <w:tcPr>
            <w:tcW w:type="dxa" w:w="794"/>
          </w:tcPr>
          <w:p>
            <w:r>
              <w:rPr>
                <w:sz w:val="16"/>
              </w:rPr>
              <w:t>2</w:t>
            </w:r>
          </w:p>
        </w:tc>
        <w:tc>
          <w:tcPr>
            <w:tcW w:type="dxa" w:w="1474"/>
          </w:tcPr>
          <w:p>
            <w:r>
              <w:rPr>
                <w:sz w:val="16"/>
              </w:rPr>
              <w:t>41.69</w:t>
            </w:r>
          </w:p>
        </w:tc>
        <w:tc>
          <w:tcPr>
            <w:tcW w:type="dxa" w:w="1474"/>
          </w:tcPr>
          <w:p>
            <w:r>
              <w:rPr>
                <w:sz w:val="16"/>
              </w:rPr>
              <w:t>0.3553</w:t>
            </w:r>
          </w:p>
        </w:tc>
        <w:tc>
          <w:tcPr>
            <w:tcW w:type="dxa" w:w="1701"/>
          </w:tcPr>
          <w:p>
            <w:r>
              <w:rPr>
                <w:sz w:val="16"/>
              </w:rPr>
              <w:t>1.0464</w:t>
            </w:r>
          </w:p>
        </w:tc>
        <w:tc>
          <w:tcPr>
            <w:tcW w:type="dxa" w:w="1928"/>
          </w:tcPr>
          <w:p>
            <w:r>
              <w:rPr>
                <w:sz w:val="16"/>
              </w:rPr>
              <w:t>7.27</w:t>
            </w:r>
          </w:p>
        </w:tc>
        <w:tc>
          <w:tcPr>
            <w:tcW w:type="dxa" w:w="1701"/>
          </w:tcPr>
          <w:p>
            <w:r>
              <w:rPr>
                <w:sz w:val="16"/>
              </w:rPr>
              <w:t>[9, 3]</w:t>
            </w:r>
          </w:p>
        </w:tc>
      </w:tr>
      <w:tr>
        <w:tc>
          <w:tcPr>
            <w:tcW w:type="dxa" w:w="794"/>
          </w:tcPr>
          <w:p>
            <w:r>
              <w:rPr>
                <w:sz w:val="16"/>
              </w:rPr>
              <w:t>3</w:t>
            </w:r>
          </w:p>
        </w:tc>
        <w:tc>
          <w:tcPr>
            <w:tcW w:type="dxa" w:w="1474"/>
          </w:tcPr>
          <w:p>
            <w:r>
              <w:rPr>
                <w:sz w:val="16"/>
              </w:rPr>
              <w:t>30.22</w:t>
            </w:r>
          </w:p>
        </w:tc>
        <w:tc>
          <w:tcPr>
            <w:tcW w:type="dxa" w:w="1474"/>
          </w:tcPr>
          <w:p>
            <w:r>
              <w:rPr>
                <w:sz w:val="16"/>
              </w:rPr>
              <w:t>0.2259</w:t>
            </w:r>
          </w:p>
        </w:tc>
        <w:tc>
          <w:tcPr>
            <w:tcW w:type="dxa" w:w="1701"/>
          </w:tcPr>
          <w:p>
            <w:r>
              <w:rPr>
                <w:sz w:val="16"/>
              </w:rPr>
              <w:t>1.0703</w:t>
            </w:r>
          </w:p>
        </w:tc>
        <w:tc>
          <w:tcPr>
            <w:tcW w:type="dxa" w:w="1928"/>
          </w:tcPr>
          <w:p>
            <w:r>
              <w:rPr>
                <w:sz w:val="16"/>
              </w:rPr>
              <w:t>6.22</w:t>
            </w:r>
          </w:p>
        </w:tc>
        <w:tc>
          <w:tcPr>
            <w:tcW w:type="dxa" w:w="1701"/>
          </w:tcPr>
          <w:p>
            <w:r>
              <w:rPr>
                <w:sz w:val="16"/>
              </w:rPr>
              <w:t>[4, 5, 3]</w:t>
            </w:r>
          </w:p>
        </w:tc>
      </w:tr>
      <w:tr>
        <w:tc>
          <w:tcPr>
            <w:tcW w:type="dxa" w:w="794"/>
          </w:tcPr>
          <w:p>
            <w:r>
              <w:rPr>
                <w:sz w:val="16"/>
              </w:rPr>
              <w:t>4</w:t>
            </w:r>
          </w:p>
        </w:tc>
        <w:tc>
          <w:tcPr>
            <w:tcW w:type="dxa" w:w="1474"/>
          </w:tcPr>
          <w:p>
            <w:r>
              <w:rPr>
                <w:sz w:val="16"/>
              </w:rPr>
              <w:t>19.49</w:t>
            </w:r>
          </w:p>
        </w:tc>
        <w:tc>
          <w:tcPr>
            <w:tcW w:type="dxa" w:w="1474"/>
          </w:tcPr>
          <w:p>
            <w:r>
              <w:rPr>
                <w:sz w:val="16"/>
              </w:rPr>
              <w:t>0.2418</w:t>
            </w:r>
          </w:p>
        </w:tc>
        <w:tc>
          <w:tcPr>
            <w:tcW w:type="dxa" w:w="1701"/>
          </w:tcPr>
          <w:p>
            <w:r>
              <w:rPr>
                <w:sz w:val="16"/>
              </w:rPr>
              <w:t>0.8596</w:t>
            </w:r>
          </w:p>
        </w:tc>
        <w:tc>
          <w:tcPr>
            <w:tcW w:type="dxa" w:w="1928"/>
          </w:tcPr>
          <w:p>
            <w:r>
              <w:rPr>
                <w:sz w:val="16"/>
              </w:rPr>
              <w:t>7.19</w:t>
            </w:r>
          </w:p>
        </w:tc>
        <w:tc>
          <w:tcPr>
            <w:tcW w:type="dxa" w:w="1701"/>
          </w:tcPr>
          <w:p>
            <w:r>
              <w:rPr>
                <w:sz w:val="16"/>
              </w:rPr>
              <w:t>[1, 5, 4, 2]</w:t>
            </w:r>
          </w:p>
        </w:tc>
      </w:tr>
      <w:tr>
        <w:tc>
          <w:tcPr>
            <w:tcW w:type="dxa" w:w="794"/>
          </w:tcPr>
          <w:p>
            <w:r>
              <w:rPr>
                <w:sz w:val="16"/>
              </w:rPr>
              <w:t>5</w:t>
            </w:r>
          </w:p>
        </w:tc>
        <w:tc>
          <w:tcPr>
            <w:tcW w:type="dxa" w:w="1474"/>
          </w:tcPr>
          <w:p>
            <w:r>
              <w:rPr>
                <w:sz w:val="16"/>
              </w:rPr>
              <w:t>15.06</w:t>
            </w:r>
          </w:p>
        </w:tc>
        <w:tc>
          <w:tcPr>
            <w:tcW w:type="dxa" w:w="1474"/>
          </w:tcPr>
          <w:p>
            <w:r>
              <w:rPr>
                <w:sz w:val="16"/>
              </w:rPr>
              <w:t>0.1780</w:t>
            </w:r>
          </w:p>
        </w:tc>
        <w:tc>
          <w:tcPr>
            <w:tcW w:type="dxa" w:w="1701"/>
          </w:tcPr>
          <w:p>
            <w:r>
              <w:rPr>
                <w:sz w:val="16"/>
              </w:rPr>
              <w:t>0.8999</w:t>
            </w:r>
          </w:p>
        </w:tc>
        <w:tc>
          <w:tcPr>
            <w:tcW w:type="dxa" w:w="1928"/>
          </w:tcPr>
          <w:p>
            <w:r>
              <w:rPr>
                <w:sz w:val="16"/>
              </w:rPr>
              <w:t>6.62</w:t>
            </w:r>
          </w:p>
        </w:tc>
        <w:tc>
          <w:tcPr>
            <w:tcW w:type="dxa" w:w="1701"/>
          </w:tcPr>
          <w:p>
            <w:r>
              <w:rPr>
                <w:sz w:val="16"/>
              </w:rPr>
              <w:t>[3, 3, 1, 2, 3]</w:t>
            </w:r>
          </w:p>
        </w:tc>
      </w:tr>
    </w:tbl>
    <w:p/>
    <w:p>
      <w:pPr>
        <w:jc w:val="both"/>
      </w:pPr>
      <w:r>
        <w:rPr>
          <w:b w:val="0"/>
          <w:i w:val="0"/>
          <w:sz w:val="21"/>
        </w:rPr>
        <w:t>The rule was fixed before the indices were inspected. Any k whose partition contains a singleton cluster is discarded, because a cluster of one city cannot support a generalisable archetype claim; among the remaining candidates the highest silhouette coefficient decides. Silhouette is the decisive index because it measures separation relative to cohesion and is comparable across k, whereas inertia falls monotonically with k by construction and cannot select k on its own. The four indices do not agree here, and the full vote tally is reported rather than only the winner.</w:t>
      </w:r>
    </w:p>
    <w:p>
      <w:pPr>
        <w:jc w:val="both"/>
      </w:pPr>
      <w:r>
        <w:rPr>
          <w:b/>
          <w:i w:val="0"/>
          <w:sz w:val="21"/>
        </w:rPr>
        <w:t>The four indices did not agree: silhouette favours k = 2; davies_bouldin favours k = 4; calinski_harabasz favours k = 2; inertia_elbow favours k = 4. The declared rule resolves the disagreement, and the full tally is reported here rather than only the winner.</w:t>
      </w:r>
    </w:p>
    <w:p>
      <w:pPr>
        <w:jc w:val="both"/>
      </w:pPr>
      <w:r>
        <w:rPr>
          <w:b w:val="0"/>
          <w:i/>
          <w:sz w:val="21"/>
        </w:rPr>
        <w:t>Twelve cities is a small sample for a clustering problem. Silhouette coefficients in the 0.2 to 0.4 range indicate real but moderate separation, and the partition should be read as an interpretive organising device for policy discussion rather than as a claim of sharply bounded natural classes. Every candidate partition is reported below with its scores so that this is visible rather than implied.</w:t>
      </w:r>
    </w:p>
    <w:p>
      <w:pPr>
        <w:jc w:val="center"/>
      </w:pPr>
      <w:r>
        <w:drawing>
          <wp:inline xmlns:a="http://schemas.openxmlformats.org/drawingml/2006/main" xmlns:pic="http://schemas.openxmlformats.org/drawingml/2006/picture">
            <wp:extent cx="5760720" cy="1486198"/>
            <wp:docPr id="1" name="Picture 1"/>
            <wp:cNvGraphicFramePr>
              <a:graphicFrameLocks noChangeAspect="1"/>
            </wp:cNvGraphicFramePr>
            <a:graphic>
              <a:graphicData uri="http://schemas.openxmlformats.org/drawingml/2006/picture">
                <pic:pic>
                  <pic:nvPicPr>
                    <pic:cNvPr id="0" name="24_clustering_selection.png"/>
                    <pic:cNvPicPr/>
                  </pic:nvPicPr>
                  <pic:blipFill>
                    <a:blip r:embed="rId9"/>
                    <a:stretch>
                      <a:fillRect/>
                    </a:stretch>
                  </pic:blipFill>
                  <pic:spPr>
                    <a:xfrm>
                      <a:off x="0" y="0"/>
                      <a:ext cx="5760720" cy="1486198"/>
                    </a:xfrm>
                    <a:prstGeom prst="rect"/>
                  </pic:spPr>
                </pic:pic>
              </a:graphicData>
            </a:graphic>
          </wp:inline>
        </w:drawing>
      </w:r>
    </w:p>
    <w:p>
      <w:pPr>
        <w:jc w:val="center"/>
      </w:pPr>
      <w:r>
        <w:rPr>
          <w:i/>
          <w:color w:val="555555"/>
          <w:sz w:val="18"/>
        </w:rPr>
        <w:t>Figure 1. Selection of the number of archetypes across four indices.</w:t>
      </w:r>
      <w:r>
        <w:rPr>
          <w:color w:val="555555"/>
          <w:sz w:val="15"/>
        </w:rPr>
        <w:t xml:space="preserve">  [24_clustering_selection.png]</w:t>
      </w:r>
    </w:p>
    <w:p>
      <w:pPr>
        <w:jc w:val="center"/>
      </w:pPr>
      <w:r>
        <w:drawing>
          <wp:inline xmlns:a="http://schemas.openxmlformats.org/drawingml/2006/main" xmlns:pic="http://schemas.openxmlformats.org/drawingml/2006/picture">
            <wp:extent cx="5760720" cy="2441517"/>
            <wp:docPr id="2" name="Picture 2"/>
            <wp:cNvGraphicFramePr>
              <a:graphicFrameLocks noChangeAspect="1"/>
            </wp:cNvGraphicFramePr>
            <a:graphic>
              <a:graphicData uri="http://schemas.openxmlformats.org/drawingml/2006/picture">
                <pic:pic>
                  <pic:nvPicPr>
                    <pic:cNvPr id="0" name="25_cluster_profiles.png"/>
                    <pic:cNvPicPr/>
                  </pic:nvPicPr>
                  <pic:blipFill>
                    <a:blip r:embed="rId10"/>
                    <a:stretch>
                      <a:fillRect/>
                    </a:stretch>
                  </pic:blipFill>
                  <pic:spPr>
                    <a:xfrm>
                      <a:off x="0" y="0"/>
                      <a:ext cx="5760720" cy="2441517"/>
                    </a:xfrm>
                    <a:prstGeom prst="rect"/>
                  </pic:spPr>
                </pic:pic>
              </a:graphicData>
            </a:graphic>
          </wp:inline>
        </w:drawing>
      </w:r>
    </w:p>
    <w:p>
      <w:pPr>
        <w:jc w:val="center"/>
      </w:pPr>
      <w:r>
        <w:rPr>
          <w:i/>
          <w:color w:val="555555"/>
          <w:sz w:val="18"/>
        </w:rPr>
        <w:t>Figure 2. Archetype signatures and the cities projected into archetype space.</w:t>
      </w:r>
      <w:r>
        <w:rPr>
          <w:color w:val="555555"/>
          <w:sz w:val="15"/>
        </w:rPr>
        <w:t xml:space="preserve">  [25_cluster_profiles.png]</w:t>
      </w:r>
    </w:p>
    <w:p>
      <w:r>
        <w:rPr>
          <w:b/>
          <w:color w:val="0B3C5D"/>
          <w:sz w:val="19"/>
        </w:rPr>
        <w:t>Table 7. Discovered archetypes and the distinct policy lever each implies. The archetype name separates the overall burden level from the composition of the mix, so a cluster that is below the cross-city mean on every pollutant is not mislabelled as being led by any one species.</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680"/>
          </w:tcPr>
          <w:p>
            <w:r>
              <w:rPr>
                <w:b/>
                <w:sz w:val="15"/>
              </w:rPr>
              <w:t>Cluster</w:t>
            </w:r>
          </w:p>
        </w:tc>
        <w:tc>
          <w:tcPr>
            <w:tcW w:type="dxa" w:w="1587"/>
          </w:tcPr>
          <w:p>
            <w:r>
              <w:rPr>
                <w:b/>
                <w:sz w:val="15"/>
              </w:rPr>
              <w:t>Archetype</w:t>
            </w:r>
          </w:p>
        </w:tc>
        <w:tc>
          <w:tcPr>
            <w:tcW w:type="dxa" w:w="794"/>
          </w:tcPr>
          <w:p>
            <w:r>
              <w:rPr>
                <w:b/>
                <w:sz w:val="15"/>
              </w:rPr>
              <w:t>Level (z)</w:t>
            </w:r>
          </w:p>
        </w:tc>
        <w:tc>
          <w:tcPr>
            <w:tcW w:type="dxa" w:w="1247"/>
          </w:tcPr>
          <w:p>
            <w:r>
              <w:rPr>
                <w:b/>
                <w:sz w:val="15"/>
              </w:rPr>
              <w:t>Leading pollutant in the mix</w:t>
            </w:r>
          </w:p>
        </w:tc>
        <w:tc>
          <w:tcPr>
            <w:tcW w:type="dxa" w:w="1928"/>
          </w:tcPr>
          <w:p>
            <w:r>
              <w:rPr>
                <w:b/>
                <w:sz w:val="15"/>
              </w:rPr>
              <w:t>Cities</w:t>
            </w:r>
          </w:p>
        </w:tc>
        <w:tc>
          <w:tcPr>
            <w:tcW w:type="dxa" w:w="2835"/>
          </w:tcPr>
          <w:p>
            <w:r>
              <w:rPr>
                <w:b/>
                <w:sz w:val="15"/>
              </w:rPr>
              <w:t>Policy lever</w:t>
            </w:r>
          </w:p>
        </w:tc>
      </w:tr>
      <w:tr>
        <w:tc>
          <w:tcPr>
            <w:tcW w:type="dxa" w:w="680"/>
          </w:tcPr>
          <w:p>
            <w:r>
              <w:rPr>
                <w:sz w:val="15"/>
              </w:rPr>
              <w:t>0</w:t>
            </w:r>
          </w:p>
        </w:tc>
        <w:tc>
          <w:tcPr>
            <w:tcW w:type="dxa" w:w="1587"/>
          </w:tcPr>
          <w:p>
            <w:r>
              <w:rPr>
                <w:sz w:val="15"/>
              </w:rPr>
              <w:t>Lower-burden, vehicular NOx led</w:t>
            </w:r>
          </w:p>
        </w:tc>
        <w:tc>
          <w:tcPr>
            <w:tcW w:type="dxa" w:w="794"/>
          </w:tcPr>
          <w:p>
            <w:r>
              <w:rPr>
                <w:sz w:val="15"/>
              </w:rPr>
              <w:t>-0.35</w:t>
            </w:r>
          </w:p>
        </w:tc>
        <w:tc>
          <w:tcPr>
            <w:tcW w:type="dxa" w:w="1247"/>
          </w:tcPr>
          <w:p>
            <w:r>
              <w:rPr>
                <w:sz w:val="15"/>
              </w:rPr>
              <w:t>NO2</w:t>
            </w:r>
          </w:p>
        </w:tc>
        <w:tc>
          <w:tcPr>
            <w:tcW w:type="dxa" w:w="1928"/>
          </w:tcPr>
          <w:p>
            <w:r>
              <w:rPr>
                <w:sz w:val="15"/>
              </w:rPr>
              <w:t>Amaravati, Amritsar, Bengaluru, Chennai, Hyderabad, Jaipur, Kolkata, Thiruvananthapuram, Visakhapatnam</w:t>
            </w:r>
          </w:p>
        </w:tc>
        <w:tc>
          <w:tcPr>
            <w:tcW w:type="dxa" w:w="2835"/>
          </w:tcPr>
          <w:p>
            <w:r>
              <w:rPr>
                <w:sz w:val="15"/>
              </w:rPr>
              <w:t>Oxidised nitrogen leads the mix, which is the signature of live traffic exhaust. The effective levers are traffic demand management, public-transport capacity, congestion control at corridors, and tightened in-use vehicle emission testing.</w:t>
            </w:r>
          </w:p>
        </w:tc>
      </w:tr>
      <w:tr>
        <w:tc>
          <w:tcPr>
            <w:tcW w:type="dxa" w:w="680"/>
          </w:tcPr>
          <w:p>
            <w:r>
              <w:rPr>
                <w:sz w:val="15"/>
              </w:rPr>
              <w:t>1</w:t>
            </w:r>
          </w:p>
        </w:tc>
        <w:tc>
          <w:tcPr>
            <w:tcW w:type="dxa" w:w="1587"/>
          </w:tcPr>
          <w:p>
            <w:r>
              <w:rPr>
                <w:sz w:val="15"/>
              </w:rPr>
              <w:t>High-burden, fine-particulate led</w:t>
            </w:r>
          </w:p>
        </w:tc>
        <w:tc>
          <w:tcPr>
            <w:tcW w:type="dxa" w:w="794"/>
          </w:tcPr>
          <w:p>
            <w:r>
              <w:rPr>
                <w:sz w:val="15"/>
              </w:rPr>
              <w:t>+1.05</w:t>
            </w:r>
          </w:p>
        </w:tc>
        <w:tc>
          <w:tcPr>
            <w:tcW w:type="dxa" w:w="1247"/>
          </w:tcPr>
          <w:p>
            <w:r>
              <w:rPr>
                <w:sz w:val="15"/>
              </w:rPr>
              <w:t>PM2.5</w:t>
            </w:r>
          </w:p>
        </w:tc>
        <w:tc>
          <w:tcPr>
            <w:tcW w:type="dxa" w:w="1928"/>
          </w:tcPr>
          <w:p>
            <w:r>
              <w:rPr>
                <w:sz w:val="15"/>
              </w:rPr>
              <w:t>Delhi, Gurugram, Lucknow</w:t>
            </w:r>
          </w:p>
        </w:tc>
        <w:tc>
          <w:tcPr>
            <w:tcW w:type="dxa" w:w="2835"/>
          </w:tcPr>
          <w:p>
            <w:r>
              <w:rPr>
                <w:sz w:val="15"/>
              </w:rPr>
              <w:t>Fine particulate leads the mix, which points to combustion rather than mechanical sources. The effective levers are fuel-quality and vehicle-fleet standards, control of biomass and solid-fuel burning, and seasonal crop-residue management.</w:t>
            </w:r>
          </w:p>
        </w:tc>
      </w:tr>
    </w:tbl>
    <w:p/>
    <w:p>
      <w:pPr>
        <w:jc w:val="both"/>
      </w:pPr>
      <w:r>
        <w:rPr>
          <w:b/>
          <w:i w:val="0"/>
          <w:sz w:val="21"/>
        </w:rPr>
        <w:t>Adjusted Rand index between K-Means and Ward agglomerative clustering: 1.0. An adjusted Rand index of 1.000 between K-Means and Ward agglomerative clustering indicates that the partition is reproduced almost exactly by an algorithm with a different objective, which is evidence that it reflects structure in the data rather than an artefact of the method.</w:t>
      </w:r>
    </w:p>
    <w:p>
      <w:pPr>
        <w:pStyle w:val="Heading2"/>
      </w:pPr>
      <w:r>
        <w:rPr>
          <w:color w:val="0B3C5D"/>
        </w:rPr>
        <w:t>1.5 The leakage demonstration</w:t>
      </w:r>
    </w:p>
    <w:p>
      <w:pPr>
        <w:jc w:val="both"/>
      </w:pPr>
      <w:r>
        <w:rPr>
          <w:b w:val="0"/>
          <w:i w:val="0"/>
          <w:sz w:val="21"/>
        </w:rPr>
        <w:t>The distinction between a same-day nowcast and a next-day forecast is demonstrated by experiment rather than asserted. Three classifiers were fitted on identical time-ordered splits, differing only in the target and the feature set.</w:t>
      </w:r>
    </w:p>
    <w:p>
      <w:r>
        <w:rPr>
          <w:b/>
          <w:color w:val="0B3C5D"/>
          <w:sz w:val="19"/>
        </w:rPr>
        <w:t>Table 8. The leakage demonstration: three setups, identical splits</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4876"/>
          </w:tcPr>
          <w:p>
            <w:r>
              <w:rPr>
                <w:b/>
                <w:sz w:val="16"/>
              </w:rPr>
              <w:t>Setup</w:t>
            </w:r>
          </w:p>
        </w:tc>
        <w:tc>
          <w:tcPr>
            <w:tcW w:type="dxa" w:w="1361"/>
          </w:tcPr>
          <w:p>
            <w:r>
              <w:rPr>
                <w:b/>
                <w:sz w:val="16"/>
              </w:rPr>
              <w:t>Macro F1</w:t>
            </w:r>
          </w:p>
        </w:tc>
        <w:tc>
          <w:tcPr>
            <w:tcW w:type="dxa" w:w="1361"/>
          </w:tcPr>
          <w:p>
            <w:r>
              <w:rPr>
                <w:b/>
                <w:sz w:val="16"/>
              </w:rPr>
              <w:t>Accuracy</w:t>
            </w:r>
          </w:p>
        </w:tc>
        <w:tc>
          <w:tcPr>
            <w:tcW w:type="dxa" w:w="1474"/>
          </w:tcPr>
          <w:p>
            <w:r>
              <w:rPr>
                <w:b/>
                <w:sz w:val="16"/>
              </w:rPr>
              <w:t>Features</w:t>
            </w:r>
          </w:p>
        </w:tc>
      </w:tr>
      <w:tr>
        <w:tc>
          <w:tcPr>
            <w:tcW w:type="dxa" w:w="4876"/>
          </w:tcPr>
          <w:p>
            <w:r>
              <w:rPr>
                <w:sz w:val="16"/>
              </w:rPr>
              <w:t>Predicting today's bucket from a feature set containing today's AQI and its derived sub-indices and HAI values.</w:t>
            </w:r>
          </w:p>
        </w:tc>
        <w:tc>
          <w:tcPr>
            <w:tcW w:type="dxa" w:w="1361"/>
          </w:tcPr>
          <w:p>
            <w:r>
              <w:rPr>
                <w:sz w:val="16"/>
              </w:rPr>
              <w:t>1.0000</w:t>
            </w:r>
          </w:p>
        </w:tc>
        <w:tc>
          <w:tcPr>
            <w:tcW w:type="dxa" w:w="1361"/>
          </w:tcPr>
          <w:p>
            <w:r>
              <w:rPr>
                <w:sz w:val="16"/>
              </w:rPr>
              <w:t>1.0000</w:t>
            </w:r>
          </w:p>
        </w:tc>
        <w:tc>
          <w:tcPr>
            <w:tcW w:type="dxa" w:w="1474"/>
          </w:tcPr>
          <w:p>
            <w:r>
              <w:rPr>
                <w:sz w:val="16"/>
              </w:rPr>
              <w:t>103</w:t>
            </w:r>
          </w:p>
        </w:tc>
      </w:tr>
      <w:tr>
        <w:tc>
          <w:tcPr>
            <w:tcW w:type="dxa" w:w="4876"/>
          </w:tcPr>
          <w:p>
            <w:r>
              <w:rPr>
                <w:sz w:val="16"/>
              </w:rPr>
              <w:t>The same target with AQI, the CPCB sub-indices and every HAI column removed. Columns removed: 3.</w:t>
            </w:r>
          </w:p>
        </w:tc>
        <w:tc>
          <w:tcPr>
            <w:tcW w:type="dxa" w:w="1361"/>
          </w:tcPr>
          <w:p>
            <w:r>
              <w:rPr>
                <w:sz w:val="16"/>
              </w:rPr>
              <w:t>0.9666</w:t>
            </w:r>
          </w:p>
        </w:tc>
        <w:tc>
          <w:tcPr>
            <w:tcW w:type="dxa" w:w="1361"/>
          </w:tcPr>
          <w:p>
            <w:r>
              <w:rPr>
                <w:sz w:val="16"/>
              </w:rPr>
              <w:t>0.9770</w:t>
            </w:r>
          </w:p>
        </w:tc>
        <w:tc>
          <w:tcPr>
            <w:tcW w:type="dxa" w:w="1474"/>
          </w:tcPr>
          <w:p>
            <w:r>
              <w:rPr>
                <w:sz w:val="16"/>
              </w:rPr>
              <w:t>100</w:t>
            </w:r>
          </w:p>
        </w:tc>
      </w:tr>
      <w:tr>
        <w:tc>
          <w:tcPr>
            <w:tcW w:type="dxa" w:w="4876"/>
          </w:tcPr>
          <w:p>
            <w:r>
              <w:rPr>
                <w:sz w:val="16"/>
              </w:rPr>
              <w:t>The formulation this project uses. The target is tomorrow's bucket, so today's AQI is information genuinely available at prediction time and is retained.</w:t>
            </w:r>
          </w:p>
        </w:tc>
        <w:tc>
          <w:tcPr>
            <w:tcW w:type="dxa" w:w="1361"/>
          </w:tcPr>
          <w:p>
            <w:r>
              <w:rPr>
                <w:sz w:val="16"/>
              </w:rPr>
              <w:t>0.7077</w:t>
            </w:r>
          </w:p>
        </w:tc>
        <w:tc>
          <w:tcPr>
            <w:tcW w:type="dxa" w:w="1361"/>
          </w:tcPr>
          <w:p>
            <w:r>
              <w:rPr>
                <w:sz w:val="16"/>
              </w:rPr>
              <w:t>0.7785</w:t>
            </w:r>
          </w:p>
        </w:tc>
        <w:tc>
          <w:tcPr>
            <w:tcW w:type="dxa" w:w="1474"/>
          </w:tcPr>
          <w:p>
            <w:r>
              <w:rPr>
                <w:sz w:val="16"/>
              </w:rPr>
              <w:t>102</w:t>
            </w:r>
          </w:p>
        </w:tc>
      </w:tr>
    </w:tbl>
    <w:p/>
    <w:p>
      <w:pPr>
        <w:jc w:val="both"/>
      </w:pPr>
      <w:r>
        <w:rPr>
          <w:b/>
          <w:i w:val="0"/>
          <w:sz w:val="21"/>
        </w:rPr>
        <w:t>Predicting the same day's bucket with same-day AQI present yields a macro-F1 of 1.0000. A score at or near 1.0 is not a result; it is the signature of a model reading its own label, because the CPCB bucket is a deterministic step function of the AQI. The more instructive finding is what happens after the obvious culprits are removed: dropping AQI, the CPCB sub-indices and every HAI column still leaves macro-F1 at 0.9666. The leak is therefore not confined to a single column that a diligent analyst could blacklist. The AQI is by definition the maximum sub-index, and each sub-index is a fixed piecewise-linear function of a pollutant concentration, so the *concentrations themselves* determine the label exactly. Same-day bucket prediction is arithmetic dressed as machine learning, and no choice of feature filter rescues it. That is the reason this project does not attempt it. Forecasting the next day changes the problem substantively: tomorrow's bucket is genuinely unknown today, today's AQI becomes legitimate information rather than a restatement of the answer, and the achieved macro-F1 of 0.7077 measures real predictive skill. The gap between 0.9666 and 0.7077 is the difference between recomputing a known quantity and forecasting an unknown one.</w:t>
      </w:r>
    </w:p>
    <w:p>
      <w:pPr>
        <w:pStyle w:val="Heading1"/>
      </w:pPr>
      <w:r>
        <w:rPr>
          <w:color w:val="0B3C5D"/>
        </w:rPr>
        <w:t>2. Evaluation Metrics</w:t>
      </w:r>
    </w:p>
    <w:p>
      <w:pPr>
        <w:pStyle w:val="Heading2"/>
      </w:pPr>
      <w:r>
        <w:rPr>
          <w:color w:val="0B3C5D"/>
        </w:rPr>
        <w:t>2.1 Primary metrics, declared in advance</w:t>
      </w:r>
    </w:p>
    <w:p>
      <w:pPr>
        <w:jc w:val="both"/>
      </w:pPr>
      <w:r>
        <w:rPr>
          <w:b w:val="0"/>
          <w:i w:val="0"/>
          <w:sz w:val="21"/>
        </w:rPr>
        <w:t>Regression. Mean absolute error is the primary regression metric. The AQI distribution is strongly right-skewed (skewness above 2), so RMSE is dominated by a small number of extreme days and would rank models largely by their behaviour on that tail. MAE is in the same units as the target, is directly interpretable as 'the typical miss in AQI points', and treats every day's error proportionally. RMSE, R-squared and MAPE are reported alongside it, and the tail behaviour that RMSE emphasises is examined separately through the residual analysis and the per-band error breakdown.</w:t>
      </w:r>
    </w:p>
    <w:p>
      <w:pPr>
        <w:jc w:val="both"/>
      </w:pPr>
      <w:r>
        <w:rPr>
          <w:b w:val="0"/>
          <w:i w:val="0"/>
          <w:sz w:val="21"/>
        </w:rPr>
        <w:t>Classification. Macro-averaged F1 is the primary classification metric, declared before any model was fitted. The six CPCB buckets are imbalanced by a factor of 6.6 between the most and least frequent class, and the rarest classes are Good and Severe. Severe is the class on which the entire public-health purpose of the system rests: failing to warn on a Severe day is the costliest error the system can make, and it is also the error that overall accuracy is least sensitive to. Macro-F1 gives every class equal weight regardless of frequency, so a model cannot score well by ignoring the rare and dangerous classes. Accuracy, weighted F1, per-class F1, balanced accuracy, Cohen's kappa and one-versus-rest ROC-AUC are all reported alongside it, together with an ordinal error that measures how many severity bands a wrong prediction lands away from the truth.</w:t>
      </w:r>
    </w:p>
    <w:p>
      <w:pPr>
        <w:jc w:val="both"/>
      </w:pPr>
      <w:r>
        <w:rPr>
          <w:b w:val="0"/>
          <w:i/>
          <w:sz w:val="21"/>
        </w:rPr>
        <w:t>Both primary metrics were fixed before any model was fitted, so the choice could not be made after seeing which model happened to win on which measure.</w:t>
      </w:r>
    </w:p>
    <w:p>
      <w:pPr>
        <w:pStyle w:val="Heading2"/>
      </w:pPr>
      <w:r>
        <w:rPr>
          <w:color w:val="0B3C5D"/>
        </w:rPr>
        <w:t>2.2 The full metric suite</w:t>
      </w:r>
    </w:p>
    <w:p>
      <w:r>
        <w:rPr>
          <w:b/>
          <w:color w:val="0B3C5D"/>
          <w:sz w:val="19"/>
        </w:rPr>
        <w:t>Table 9. The complete metric suite</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361"/>
          </w:tcPr>
          <w:p>
            <w:r>
              <w:rPr>
                <w:b/>
                <w:sz w:val="15"/>
              </w:rPr>
              <w:t>Task</w:t>
            </w:r>
          </w:p>
        </w:tc>
        <w:tc>
          <w:tcPr>
            <w:tcW w:type="dxa" w:w="2041"/>
          </w:tcPr>
          <w:p>
            <w:r>
              <w:rPr>
                <w:b/>
                <w:sz w:val="15"/>
              </w:rPr>
              <w:t>Metric</w:t>
            </w:r>
          </w:p>
        </w:tc>
        <w:tc>
          <w:tcPr>
            <w:tcW w:type="dxa" w:w="5669"/>
          </w:tcPr>
          <w:p>
            <w:r>
              <w:rPr>
                <w:b/>
                <w:sz w:val="15"/>
              </w:rPr>
              <w:t>What it measures and why it is reported</w:t>
            </w:r>
          </w:p>
        </w:tc>
      </w:tr>
      <w:tr>
        <w:tc>
          <w:tcPr>
            <w:tcW w:type="dxa" w:w="1361"/>
          </w:tcPr>
          <w:p>
            <w:r>
              <w:rPr>
                <w:sz w:val="15"/>
              </w:rPr>
              <w:t>Regression</w:t>
            </w:r>
          </w:p>
        </w:tc>
        <w:tc>
          <w:tcPr>
            <w:tcW w:type="dxa" w:w="2041"/>
          </w:tcPr>
          <w:p>
            <w:r>
              <w:rPr>
                <w:sz w:val="15"/>
              </w:rPr>
              <w:t>MAE</w:t>
            </w:r>
          </w:p>
        </w:tc>
        <w:tc>
          <w:tcPr>
            <w:tcW w:type="dxa" w:w="5669"/>
          </w:tcPr>
          <w:p>
            <w:r>
              <w:rPr>
                <w:sz w:val="15"/>
              </w:rPr>
              <w:t>Average size of the miss in AQI points. Primary.</w:t>
            </w:r>
          </w:p>
        </w:tc>
      </w:tr>
      <w:tr>
        <w:tc>
          <w:tcPr>
            <w:tcW w:type="dxa" w:w="1361"/>
          </w:tcPr>
          <w:p>
            <w:r>
              <w:rPr>
                <w:sz w:val="15"/>
              </w:rPr>
              <w:t>Regression</w:t>
            </w:r>
          </w:p>
        </w:tc>
        <w:tc>
          <w:tcPr>
            <w:tcW w:type="dxa" w:w="2041"/>
          </w:tcPr>
          <w:p>
            <w:r>
              <w:rPr>
                <w:sz w:val="15"/>
              </w:rPr>
              <w:t>RMSE</w:t>
            </w:r>
          </w:p>
        </w:tc>
        <w:tc>
          <w:tcPr>
            <w:tcW w:type="dxa" w:w="5669"/>
          </w:tcPr>
          <w:p>
            <w:r>
              <w:rPr>
                <w:sz w:val="15"/>
              </w:rPr>
              <w:t>Penalises large misses disproportionately; sensitive to the extreme tail.</w:t>
            </w:r>
          </w:p>
        </w:tc>
      </w:tr>
      <w:tr>
        <w:tc>
          <w:tcPr>
            <w:tcW w:type="dxa" w:w="1361"/>
          </w:tcPr>
          <w:p>
            <w:r>
              <w:rPr>
                <w:sz w:val="15"/>
              </w:rPr>
              <w:t>Regression</w:t>
            </w:r>
          </w:p>
        </w:tc>
        <w:tc>
          <w:tcPr>
            <w:tcW w:type="dxa" w:w="2041"/>
          </w:tcPr>
          <w:p>
            <w:r>
              <w:rPr>
                <w:sz w:val="15"/>
              </w:rPr>
              <w:t>R-squared</w:t>
            </w:r>
          </w:p>
        </w:tc>
        <w:tc>
          <w:tcPr>
            <w:tcW w:type="dxa" w:w="5669"/>
          </w:tcPr>
          <w:p>
            <w:r>
              <w:rPr>
                <w:sz w:val="15"/>
              </w:rPr>
              <w:t>Share of next-day variance accounted for.</w:t>
            </w:r>
          </w:p>
        </w:tc>
      </w:tr>
      <w:tr>
        <w:tc>
          <w:tcPr>
            <w:tcW w:type="dxa" w:w="1361"/>
          </w:tcPr>
          <w:p>
            <w:r>
              <w:rPr>
                <w:sz w:val="15"/>
              </w:rPr>
              <w:t>Regression</w:t>
            </w:r>
          </w:p>
        </w:tc>
        <w:tc>
          <w:tcPr>
            <w:tcW w:type="dxa" w:w="2041"/>
          </w:tcPr>
          <w:p>
            <w:r>
              <w:rPr>
                <w:sz w:val="15"/>
              </w:rPr>
              <w:t>MAPE</w:t>
            </w:r>
          </w:p>
        </w:tc>
        <w:tc>
          <w:tcPr>
            <w:tcW w:type="dxa" w:w="5669"/>
          </w:tcPr>
          <w:p>
            <w:r>
              <w:rPr>
                <w:sz w:val="15"/>
              </w:rPr>
              <w:t>Typical miss as a percentage of the true value, computed where the truth is at least 1.</w:t>
            </w:r>
          </w:p>
        </w:tc>
      </w:tr>
      <w:tr>
        <w:tc>
          <w:tcPr>
            <w:tcW w:type="dxa" w:w="1361"/>
          </w:tcPr>
          <w:p>
            <w:r>
              <w:rPr>
                <w:sz w:val="15"/>
              </w:rPr>
              <w:t>Regression</w:t>
            </w:r>
          </w:p>
        </w:tc>
        <w:tc>
          <w:tcPr>
            <w:tcW w:type="dxa" w:w="2041"/>
          </w:tcPr>
          <w:p>
            <w:r>
              <w:rPr>
                <w:sz w:val="15"/>
              </w:rPr>
              <w:t>Bias</w:t>
            </w:r>
          </w:p>
        </w:tc>
        <w:tc>
          <w:tcPr>
            <w:tcW w:type="dxa" w:w="5669"/>
          </w:tcPr>
          <w:p>
            <w:r>
              <w:rPr>
                <w:sz w:val="15"/>
              </w:rPr>
              <w:t>Mean signed error, which exposes systematic over- or under-prediction.</w:t>
            </w:r>
          </w:p>
        </w:tc>
      </w:tr>
      <w:tr>
        <w:tc>
          <w:tcPr>
            <w:tcW w:type="dxa" w:w="1361"/>
          </w:tcPr>
          <w:p>
            <w:r>
              <w:rPr>
                <w:sz w:val="15"/>
              </w:rPr>
              <w:t>Classification</w:t>
            </w:r>
          </w:p>
        </w:tc>
        <w:tc>
          <w:tcPr>
            <w:tcW w:type="dxa" w:w="2041"/>
          </w:tcPr>
          <w:p>
            <w:r>
              <w:rPr>
                <w:sz w:val="15"/>
              </w:rPr>
              <w:t>Macro F1</w:t>
            </w:r>
          </w:p>
        </w:tc>
        <w:tc>
          <w:tcPr>
            <w:tcW w:type="dxa" w:w="5669"/>
          </w:tcPr>
          <w:p>
            <w:r>
              <w:rPr>
                <w:sz w:val="15"/>
              </w:rPr>
              <w:t>Mean F1 across all six bands with equal weight. Primary.</w:t>
            </w:r>
          </w:p>
        </w:tc>
      </w:tr>
      <w:tr>
        <w:tc>
          <w:tcPr>
            <w:tcW w:type="dxa" w:w="1361"/>
          </w:tcPr>
          <w:p>
            <w:r>
              <w:rPr>
                <w:sz w:val="15"/>
              </w:rPr>
              <w:t>Classification</w:t>
            </w:r>
          </w:p>
        </w:tc>
        <w:tc>
          <w:tcPr>
            <w:tcW w:type="dxa" w:w="2041"/>
          </w:tcPr>
          <w:p>
            <w:r>
              <w:rPr>
                <w:sz w:val="15"/>
              </w:rPr>
              <w:t>Accuracy</w:t>
            </w:r>
          </w:p>
        </w:tc>
        <w:tc>
          <w:tcPr>
            <w:tcW w:type="dxa" w:w="5669"/>
          </w:tcPr>
          <w:p>
            <w:r>
              <w:rPr>
                <w:sz w:val="15"/>
              </w:rPr>
              <w:t>Exact-match rate. Reported but not decisive under imbalance.</w:t>
            </w:r>
          </w:p>
        </w:tc>
      </w:tr>
      <w:tr>
        <w:tc>
          <w:tcPr>
            <w:tcW w:type="dxa" w:w="1361"/>
          </w:tcPr>
          <w:p>
            <w:r>
              <w:rPr>
                <w:sz w:val="15"/>
              </w:rPr>
              <w:t>Classification</w:t>
            </w:r>
          </w:p>
        </w:tc>
        <w:tc>
          <w:tcPr>
            <w:tcW w:type="dxa" w:w="2041"/>
          </w:tcPr>
          <w:p>
            <w:r>
              <w:rPr>
                <w:sz w:val="15"/>
              </w:rPr>
              <w:t>Weighted F1</w:t>
            </w:r>
          </w:p>
        </w:tc>
        <w:tc>
          <w:tcPr>
            <w:tcW w:type="dxa" w:w="5669"/>
          </w:tcPr>
          <w:p>
            <w:r>
              <w:rPr>
                <w:sz w:val="15"/>
              </w:rPr>
              <w:t>F1 weighted by class frequency.</w:t>
            </w:r>
          </w:p>
        </w:tc>
      </w:tr>
      <w:tr>
        <w:tc>
          <w:tcPr>
            <w:tcW w:type="dxa" w:w="1361"/>
          </w:tcPr>
          <w:p>
            <w:r>
              <w:rPr>
                <w:sz w:val="15"/>
              </w:rPr>
              <w:t>Classification</w:t>
            </w:r>
          </w:p>
        </w:tc>
        <w:tc>
          <w:tcPr>
            <w:tcW w:type="dxa" w:w="2041"/>
          </w:tcPr>
          <w:p>
            <w:r>
              <w:rPr>
                <w:sz w:val="15"/>
              </w:rPr>
              <w:t>Balanced accuracy</w:t>
            </w:r>
          </w:p>
        </w:tc>
        <w:tc>
          <w:tcPr>
            <w:tcW w:type="dxa" w:w="5669"/>
          </w:tcPr>
          <w:p>
            <w:r>
              <w:rPr>
                <w:sz w:val="15"/>
              </w:rPr>
              <w:t>Mean recall across classes.</w:t>
            </w:r>
          </w:p>
        </w:tc>
      </w:tr>
      <w:tr>
        <w:tc>
          <w:tcPr>
            <w:tcW w:type="dxa" w:w="1361"/>
          </w:tcPr>
          <w:p>
            <w:r>
              <w:rPr>
                <w:sz w:val="15"/>
              </w:rPr>
              <w:t>Classification</w:t>
            </w:r>
          </w:p>
        </w:tc>
        <w:tc>
          <w:tcPr>
            <w:tcW w:type="dxa" w:w="2041"/>
          </w:tcPr>
          <w:p>
            <w:r>
              <w:rPr>
                <w:sz w:val="15"/>
              </w:rPr>
              <w:t>Per-class precision, recall and F1</w:t>
            </w:r>
          </w:p>
        </w:tc>
        <w:tc>
          <w:tcPr>
            <w:tcW w:type="dxa" w:w="5669"/>
          </w:tcPr>
          <w:p>
            <w:r>
              <w:rPr>
                <w:sz w:val="15"/>
              </w:rPr>
              <w:t>Performance on each band separately, including the rare Severe band.</w:t>
            </w:r>
          </w:p>
        </w:tc>
      </w:tr>
      <w:tr>
        <w:tc>
          <w:tcPr>
            <w:tcW w:type="dxa" w:w="1361"/>
          </w:tcPr>
          <w:p>
            <w:r>
              <w:rPr>
                <w:sz w:val="15"/>
              </w:rPr>
              <w:t>Classification</w:t>
            </w:r>
          </w:p>
        </w:tc>
        <w:tc>
          <w:tcPr>
            <w:tcW w:type="dxa" w:w="2041"/>
          </w:tcPr>
          <w:p>
            <w:r>
              <w:rPr>
                <w:sz w:val="15"/>
              </w:rPr>
              <w:t>ROC-AUC (one-versus-rest)</w:t>
            </w:r>
          </w:p>
        </w:tc>
        <w:tc>
          <w:tcPr>
            <w:tcW w:type="dxa" w:w="5669"/>
          </w:tcPr>
          <w:p>
            <w:r>
              <w:rPr>
                <w:sz w:val="15"/>
              </w:rPr>
              <w:t>Ranking quality per class, macro and weighted.</w:t>
            </w:r>
          </w:p>
        </w:tc>
      </w:tr>
      <w:tr>
        <w:tc>
          <w:tcPr>
            <w:tcW w:type="dxa" w:w="1361"/>
          </w:tcPr>
          <w:p>
            <w:r>
              <w:rPr>
                <w:sz w:val="15"/>
              </w:rPr>
              <w:t>Classification</w:t>
            </w:r>
          </w:p>
        </w:tc>
        <w:tc>
          <w:tcPr>
            <w:tcW w:type="dxa" w:w="2041"/>
          </w:tcPr>
          <w:p>
            <w:r>
              <w:rPr>
                <w:sz w:val="15"/>
              </w:rPr>
              <w:t>Cohen's kappa</w:t>
            </w:r>
          </w:p>
        </w:tc>
        <w:tc>
          <w:tcPr>
            <w:tcW w:type="dxa" w:w="5669"/>
          </w:tcPr>
          <w:p>
            <w:r>
              <w:rPr>
                <w:sz w:val="15"/>
              </w:rPr>
              <w:t>Agreement corrected for chance.</w:t>
            </w:r>
          </w:p>
        </w:tc>
      </w:tr>
      <w:tr>
        <w:tc>
          <w:tcPr>
            <w:tcW w:type="dxa" w:w="1361"/>
          </w:tcPr>
          <w:p>
            <w:r>
              <w:rPr>
                <w:sz w:val="15"/>
              </w:rPr>
              <w:t>Classification</w:t>
            </w:r>
          </w:p>
        </w:tc>
        <w:tc>
          <w:tcPr>
            <w:tcW w:type="dxa" w:w="2041"/>
          </w:tcPr>
          <w:p>
            <w:r>
              <w:rPr>
                <w:sz w:val="15"/>
              </w:rPr>
              <w:t>Mean absolute ordinal error</w:t>
            </w:r>
          </w:p>
        </w:tc>
        <w:tc>
          <w:tcPr>
            <w:tcW w:type="dxa" w:w="5669"/>
          </w:tcPr>
          <w:p>
            <w:r>
              <w:rPr>
                <w:sz w:val="15"/>
              </w:rPr>
              <w:t>How many severity bands a wrong prediction lands away from the truth.</w:t>
            </w:r>
          </w:p>
        </w:tc>
      </w:tr>
      <w:tr>
        <w:tc>
          <w:tcPr>
            <w:tcW w:type="dxa" w:w="1361"/>
          </w:tcPr>
          <w:p>
            <w:r>
              <w:rPr>
                <w:sz w:val="15"/>
              </w:rPr>
              <w:t>Classification</w:t>
            </w:r>
          </w:p>
        </w:tc>
        <w:tc>
          <w:tcPr>
            <w:tcW w:type="dxa" w:w="2041"/>
          </w:tcPr>
          <w:p>
            <w:r>
              <w:rPr>
                <w:sz w:val="15"/>
              </w:rPr>
              <w:t>Share understating severity</w:t>
            </w:r>
          </w:p>
        </w:tc>
        <w:tc>
          <w:tcPr>
            <w:tcW w:type="dxa" w:w="5669"/>
          </w:tcPr>
          <w:p>
            <w:r>
              <w:rPr>
                <w:sz w:val="15"/>
              </w:rPr>
              <w:t>The health-critical failure mode, reported explicitly.</w:t>
            </w:r>
          </w:p>
        </w:tc>
      </w:tr>
      <w:tr>
        <w:tc>
          <w:tcPr>
            <w:tcW w:type="dxa" w:w="1361"/>
          </w:tcPr>
          <w:p>
            <w:r>
              <w:rPr>
                <w:sz w:val="15"/>
              </w:rPr>
              <w:t>Clustering</w:t>
            </w:r>
          </w:p>
        </w:tc>
        <w:tc>
          <w:tcPr>
            <w:tcW w:type="dxa" w:w="2041"/>
          </w:tcPr>
          <w:p>
            <w:r>
              <w:rPr>
                <w:sz w:val="15"/>
              </w:rPr>
              <w:t>Silhouette</w:t>
            </w:r>
          </w:p>
        </w:tc>
        <w:tc>
          <w:tcPr>
            <w:tcW w:type="dxa" w:w="5669"/>
          </w:tcPr>
          <w:p>
            <w:r>
              <w:rPr>
                <w:sz w:val="15"/>
              </w:rPr>
              <w:t>Cohesion against separation; comparable across k.</w:t>
            </w:r>
          </w:p>
        </w:tc>
      </w:tr>
      <w:tr>
        <w:tc>
          <w:tcPr>
            <w:tcW w:type="dxa" w:w="1361"/>
          </w:tcPr>
          <w:p>
            <w:r>
              <w:rPr>
                <w:sz w:val="15"/>
              </w:rPr>
              <w:t>Clustering</w:t>
            </w:r>
          </w:p>
        </w:tc>
        <w:tc>
          <w:tcPr>
            <w:tcW w:type="dxa" w:w="2041"/>
          </w:tcPr>
          <w:p>
            <w:r>
              <w:rPr>
                <w:sz w:val="15"/>
              </w:rPr>
              <w:t>Davies-Bouldin</w:t>
            </w:r>
          </w:p>
        </w:tc>
        <w:tc>
          <w:tcPr>
            <w:tcW w:type="dxa" w:w="5669"/>
          </w:tcPr>
          <w:p>
            <w:r>
              <w:rPr>
                <w:sz w:val="15"/>
              </w:rPr>
              <w:t>Average similarity to the most similar cluster; lower is better.</w:t>
            </w:r>
          </w:p>
        </w:tc>
      </w:tr>
      <w:tr>
        <w:tc>
          <w:tcPr>
            <w:tcW w:type="dxa" w:w="1361"/>
          </w:tcPr>
          <w:p>
            <w:r>
              <w:rPr>
                <w:sz w:val="15"/>
              </w:rPr>
              <w:t>Clustering</w:t>
            </w:r>
          </w:p>
        </w:tc>
        <w:tc>
          <w:tcPr>
            <w:tcW w:type="dxa" w:w="2041"/>
          </w:tcPr>
          <w:p>
            <w:r>
              <w:rPr>
                <w:sz w:val="15"/>
              </w:rPr>
              <w:t>Calinski-Harabasz</w:t>
            </w:r>
          </w:p>
        </w:tc>
        <w:tc>
          <w:tcPr>
            <w:tcW w:type="dxa" w:w="5669"/>
          </w:tcPr>
          <w:p>
            <w:r>
              <w:rPr>
                <w:sz w:val="15"/>
              </w:rPr>
              <w:t>Between-cluster against within-cluster dispersion.</w:t>
            </w:r>
          </w:p>
        </w:tc>
      </w:tr>
      <w:tr>
        <w:tc>
          <w:tcPr>
            <w:tcW w:type="dxa" w:w="1361"/>
          </w:tcPr>
          <w:p>
            <w:r>
              <w:rPr>
                <w:sz w:val="15"/>
              </w:rPr>
              <w:t>Clustering</w:t>
            </w:r>
          </w:p>
        </w:tc>
        <w:tc>
          <w:tcPr>
            <w:tcW w:type="dxa" w:w="2041"/>
          </w:tcPr>
          <w:p>
            <w:r>
              <w:rPr>
                <w:sz w:val="15"/>
              </w:rPr>
              <w:t>Adjusted Rand index</w:t>
            </w:r>
          </w:p>
        </w:tc>
        <w:tc>
          <w:tcPr>
            <w:tcW w:type="dxa" w:w="5669"/>
          </w:tcPr>
          <w:p>
            <w:r>
              <w:rPr>
                <w:sz w:val="15"/>
              </w:rPr>
              <w:t>Agreement between two partitions, corrected for chance.</w:t>
            </w:r>
          </w:p>
        </w:tc>
      </w:tr>
    </w:tbl>
    <w:p/>
    <w:p>
      <w:pPr>
        <w:pStyle w:val="Heading1"/>
      </w:pPr>
      <w:r>
        <w:rPr>
          <w:color w:val="0B3C5D"/>
        </w:rPr>
        <w:t>3. Performance Comparison and Analytical Discussion</w:t>
      </w:r>
    </w:p>
    <w:p>
      <w:pPr>
        <w:pStyle w:val="Heading2"/>
      </w:pPr>
      <w:r>
        <w:rPr>
          <w:color w:val="0B3C5D"/>
        </w:rPr>
        <w:t>3.1 Master comparison: regression</w:t>
      </w:r>
    </w:p>
    <w:p>
      <w:r>
        <w:rPr>
          <w:b/>
          <w:color w:val="0B3C5D"/>
          <w:sz w:val="19"/>
        </w:rPr>
        <w:t>Table 10. Regression master comparison, ordered by test MAE</w:t>
      </w:r>
    </w:p>
    <w:tbl>
      <w:tblPr>
        <w:tblStyle w:val="LightGrid-Accent1"/>
        <w:tblW w:type="auto" w:w="0"/>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r>
              <w:rPr>
                <w:b/>
                <w:sz w:val="14"/>
              </w:rPr>
              <w:t>Model</w:t>
            </w:r>
          </w:p>
        </w:tc>
        <w:tc>
          <w:tcPr>
            <w:tcW w:type="dxa" w:w="876"/>
          </w:tcPr>
          <w:p>
            <w:r>
              <w:rPr>
                <w:b/>
                <w:sz w:val="14"/>
              </w:rPr>
              <w:t>Family</w:t>
            </w:r>
          </w:p>
        </w:tc>
        <w:tc>
          <w:tcPr>
            <w:tcW w:type="dxa" w:w="876"/>
          </w:tcPr>
          <w:p>
            <w:r>
              <w:rPr>
                <w:b/>
                <w:sz w:val="14"/>
              </w:rPr>
              <w:t>CV MAE</w:t>
            </w:r>
          </w:p>
        </w:tc>
        <w:tc>
          <w:tcPr>
            <w:tcW w:type="dxa" w:w="876"/>
          </w:tcPr>
          <w:p>
            <w:r>
              <w:rPr>
                <w:b/>
                <w:sz w:val="14"/>
              </w:rPr>
              <w:t>Test MAE</w:t>
            </w:r>
          </w:p>
        </w:tc>
        <w:tc>
          <w:tcPr>
            <w:tcW w:type="dxa" w:w="876"/>
          </w:tcPr>
          <w:p>
            <w:r>
              <w:rPr>
                <w:b/>
                <w:sz w:val="14"/>
              </w:rPr>
              <w:t>Test RMSE</w:t>
            </w:r>
          </w:p>
        </w:tc>
        <w:tc>
          <w:tcPr>
            <w:tcW w:type="dxa" w:w="876"/>
          </w:tcPr>
          <w:p>
            <w:r>
              <w:rPr>
                <w:b/>
                <w:sz w:val="14"/>
              </w:rPr>
              <w:t>Test R2</w:t>
            </w:r>
          </w:p>
        </w:tc>
        <w:tc>
          <w:tcPr>
            <w:tcW w:type="dxa" w:w="876"/>
          </w:tcPr>
          <w:p>
            <w:r>
              <w:rPr>
                <w:b/>
                <w:sz w:val="14"/>
              </w:rPr>
              <w:t>Test MAPE %</w:t>
            </w:r>
          </w:p>
        </w:tc>
        <w:tc>
          <w:tcPr>
            <w:tcW w:type="dxa" w:w="876"/>
          </w:tcPr>
          <w:p>
            <w:r>
              <w:rPr>
                <w:b/>
                <w:sz w:val="14"/>
              </w:rPr>
              <w:t>Test bias</w:t>
            </w:r>
          </w:p>
        </w:tc>
        <w:tc>
          <w:tcPr>
            <w:tcW w:type="dxa" w:w="876"/>
          </w:tcPr>
          <w:p>
            <w:r>
              <w:rPr>
                <w:b/>
                <w:sz w:val="14"/>
              </w:rPr>
              <w:t>Train MAE</w:t>
            </w:r>
          </w:p>
        </w:tc>
        <w:tc>
          <w:tcPr>
            <w:tcW w:type="dxa" w:w="876"/>
          </w:tcPr>
          <w:p>
            <w:r>
              <w:rPr>
                <w:b/>
                <w:sz w:val="14"/>
              </w:rPr>
              <w:t>Train-test R2 gap</w:t>
            </w:r>
          </w:p>
        </w:tc>
        <w:tc>
          <w:tcPr>
            <w:tcW w:type="dxa" w:w="876"/>
          </w:tcPr>
          <w:p>
            <w:r>
              <w:rPr>
                <w:b/>
                <w:sz w:val="14"/>
              </w:rPr>
              <w:t>Fit seconds</w:t>
            </w:r>
          </w:p>
        </w:tc>
      </w:tr>
      <w:tr>
        <w:tc>
          <w:tcPr>
            <w:tcW w:type="dxa" w:w="876"/>
          </w:tcPr>
          <w:p>
            <w:r>
              <w:rPr>
                <w:sz w:val="14"/>
              </w:rPr>
              <w:t>LightGBM</w:t>
            </w:r>
          </w:p>
        </w:tc>
        <w:tc>
          <w:tcPr>
            <w:tcW w:type="dxa" w:w="876"/>
          </w:tcPr>
          <w:p>
            <w:r>
              <w:rPr>
                <w:sz w:val="14"/>
              </w:rPr>
              <w:t>gradient boosting</w:t>
            </w:r>
          </w:p>
        </w:tc>
        <w:tc>
          <w:tcPr>
            <w:tcW w:type="dxa" w:w="876"/>
          </w:tcPr>
          <w:p>
            <w:r>
              <w:rPr>
                <w:sz w:val="14"/>
              </w:rPr>
              <w:t>29.93</w:t>
            </w:r>
          </w:p>
        </w:tc>
        <w:tc>
          <w:tcPr>
            <w:tcW w:type="dxa" w:w="876"/>
          </w:tcPr>
          <w:p>
            <w:r>
              <w:rPr>
                <w:sz w:val="14"/>
              </w:rPr>
              <w:t>15.1</w:t>
            </w:r>
          </w:p>
        </w:tc>
        <w:tc>
          <w:tcPr>
            <w:tcW w:type="dxa" w:w="876"/>
          </w:tcPr>
          <w:p>
            <w:r>
              <w:rPr>
                <w:sz w:val="14"/>
              </w:rPr>
              <w:t>23.5</w:t>
            </w:r>
          </w:p>
        </w:tc>
        <w:tc>
          <w:tcPr>
            <w:tcW w:type="dxa" w:w="876"/>
          </w:tcPr>
          <w:p>
            <w:r>
              <w:rPr>
                <w:sz w:val="14"/>
              </w:rPr>
              <w:t>0.9119</w:t>
            </w:r>
          </w:p>
        </w:tc>
        <w:tc>
          <w:tcPr>
            <w:tcW w:type="dxa" w:w="876"/>
          </w:tcPr>
          <w:p>
            <w:r>
              <w:rPr>
                <w:sz w:val="14"/>
              </w:rPr>
              <w:t>14.58</w:t>
            </w:r>
          </w:p>
        </w:tc>
        <w:tc>
          <w:tcPr>
            <w:tcW w:type="dxa" w:w="876"/>
          </w:tcPr>
          <w:p>
            <w:r>
              <w:rPr>
                <w:sz w:val="14"/>
              </w:rPr>
              <w:t>2.792</w:t>
            </w:r>
          </w:p>
        </w:tc>
        <w:tc>
          <w:tcPr>
            <w:tcW w:type="dxa" w:w="876"/>
          </w:tcPr>
          <w:p>
            <w:r>
              <w:rPr>
                <w:sz w:val="14"/>
              </w:rPr>
              <w:t>11.91</w:t>
            </w:r>
          </w:p>
        </w:tc>
        <w:tc>
          <w:tcPr>
            <w:tcW w:type="dxa" w:w="876"/>
          </w:tcPr>
          <w:p>
            <w:r>
              <w:rPr>
                <w:sz w:val="14"/>
              </w:rPr>
              <w:t>0.0635</w:t>
            </w:r>
          </w:p>
        </w:tc>
        <w:tc>
          <w:tcPr>
            <w:tcW w:type="dxa" w:w="876"/>
          </w:tcPr>
          <w:p>
            <w:r>
              <w:rPr>
                <w:sz w:val="14"/>
              </w:rPr>
              <w:t>5.02</w:t>
            </w:r>
          </w:p>
        </w:tc>
      </w:tr>
      <w:tr>
        <w:tc>
          <w:tcPr>
            <w:tcW w:type="dxa" w:w="876"/>
          </w:tcPr>
          <w:p>
            <w:r>
              <w:rPr>
                <w:sz w:val="14"/>
              </w:rPr>
              <w:t>Random Forest</w:t>
            </w:r>
          </w:p>
        </w:tc>
        <w:tc>
          <w:tcPr>
            <w:tcW w:type="dxa" w:w="876"/>
          </w:tcPr>
          <w:p>
            <w:r>
              <w:rPr>
                <w:sz w:val="14"/>
              </w:rPr>
              <w:t>bagged trees</w:t>
            </w:r>
          </w:p>
        </w:tc>
        <w:tc>
          <w:tcPr>
            <w:tcW w:type="dxa" w:w="876"/>
          </w:tcPr>
          <w:p>
            <w:r>
              <w:rPr>
                <w:sz w:val="14"/>
              </w:rPr>
              <w:t>29.88</w:t>
            </w:r>
          </w:p>
        </w:tc>
        <w:tc>
          <w:tcPr>
            <w:tcW w:type="dxa" w:w="876"/>
          </w:tcPr>
          <w:p>
            <w:r>
              <w:rPr>
                <w:sz w:val="14"/>
              </w:rPr>
              <w:t>15.28</w:t>
            </w:r>
          </w:p>
        </w:tc>
        <w:tc>
          <w:tcPr>
            <w:tcW w:type="dxa" w:w="876"/>
          </w:tcPr>
          <w:p>
            <w:r>
              <w:rPr>
                <w:sz w:val="14"/>
              </w:rPr>
              <w:t>23.96</w:t>
            </w:r>
          </w:p>
        </w:tc>
        <w:tc>
          <w:tcPr>
            <w:tcW w:type="dxa" w:w="876"/>
          </w:tcPr>
          <w:p>
            <w:r>
              <w:rPr>
                <w:sz w:val="14"/>
              </w:rPr>
              <w:t>0.9084</w:t>
            </w:r>
          </w:p>
        </w:tc>
        <w:tc>
          <w:tcPr>
            <w:tcW w:type="dxa" w:w="876"/>
          </w:tcPr>
          <w:p>
            <w:r>
              <w:rPr>
                <w:sz w:val="14"/>
              </w:rPr>
              <w:t>14.6</w:t>
            </w:r>
          </w:p>
        </w:tc>
        <w:tc>
          <w:tcPr>
            <w:tcW w:type="dxa" w:w="876"/>
          </w:tcPr>
          <w:p>
            <w:r>
              <w:rPr>
                <w:sz w:val="14"/>
              </w:rPr>
              <w:t>2.655</w:t>
            </w:r>
          </w:p>
        </w:tc>
        <w:tc>
          <w:tcPr>
            <w:tcW w:type="dxa" w:w="876"/>
          </w:tcPr>
          <w:p>
            <w:r>
              <w:rPr>
                <w:sz w:val="14"/>
              </w:rPr>
              <w:t>8.873</w:t>
            </w:r>
          </w:p>
        </w:tc>
        <w:tc>
          <w:tcPr>
            <w:tcW w:type="dxa" w:w="876"/>
          </w:tcPr>
          <w:p>
            <w:r>
              <w:rPr>
                <w:sz w:val="14"/>
              </w:rPr>
              <w:t>0.0729</w:t>
            </w:r>
          </w:p>
        </w:tc>
        <w:tc>
          <w:tcPr>
            <w:tcW w:type="dxa" w:w="876"/>
          </w:tcPr>
          <w:p>
            <w:r>
              <w:rPr>
                <w:sz w:val="14"/>
              </w:rPr>
              <w:t>67.65</w:t>
            </w:r>
          </w:p>
        </w:tc>
      </w:tr>
      <w:tr>
        <w:tc>
          <w:tcPr>
            <w:tcW w:type="dxa" w:w="876"/>
          </w:tcPr>
          <w:p>
            <w:r>
              <w:rPr>
                <w:sz w:val="14"/>
              </w:rPr>
              <w:t>XGBoost</w:t>
            </w:r>
          </w:p>
        </w:tc>
        <w:tc>
          <w:tcPr>
            <w:tcW w:type="dxa" w:w="876"/>
          </w:tcPr>
          <w:p>
            <w:r>
              <w:rPr>
                <w:sz w:val="14"/>
              </w:rPr>
              <w:t>gradient boosting</w:t>
            </w:r>
          </w:p>
        </w:tc>
        <w:tc>
          <w:tcPr>
            <w:tcW w:type="dxa" w:w="876"/>
          </w:tcPr>
          <w:p>
            <w:r>
              <w:rPr>
                <w:sz w:val="14"/>
              </w:rPr>
              <w:t>31.98</w:t>
            </w:r>
          </w:p>
        </w:tc>
        <w:tc>
          <w:tcPr>
            <w:tcW w:type="dxa" w:w="876"/>
          </w:tcPr>
          <w:p>
            <w:r>
              <w:rPr>
                <w:sz w:val="14"/>
              </w:rPr>
              <w:t>15.44</w:t>
            </w:r>
          </w:p>
        </w:tc>
        <w:tc>
          <w:tcPr>
            <w:tcW w:type="dxa" w:w="876"/>
          </w:tcPr>
          <w:p>
            <w:r>
              <w:rPr>
                <w:sz w:val="14"/>
              </w:rPr>
              <w:t>23.88</w:t>
            </w:r>
          </w:p>
        </w:tc>
        <w:tc>
          <w:tcPr>
            <w:tcW w:type="dxa" w:w="876"/>
          </w:tcPr>
          <w:p>
            <w:r>
              <w:rPr>
                <w:sz w:val="14"/>
              </w:rPr>
              <w:t>0.909</w:t>
            </w:r>
          </w:p>
        </w:tc>
        <w:tc>
          <w:tcPr>
            <w:tcW w:type="dxa" w:w="876"/>
          </w:tcPr>
          <w:p>
            <w:r>
              <w:rPr>
                <w:sz w:val="14"/>
              </w:rPr>
              <w:t>15.15</w:t>
            </w:r>
          </w:p>
        </w:tc>
        <w:tc>
          <w:tcPr>
            <w:tcW w:type="dxa" w:w="876"/>
          </w:tcPr>
          <w:p>
            <w:r>
              <w:rPr>
                <w:sz w:val="14"/>
              </w:rPr>
              <w:t>3.309</w:t>
            </w:r>
          </w:p>
        </w:tc>
        <w:tc>
          <w:tcPr>
            <w:tcW w:type="dxa" w:w="876"/>
          </w:tcPr>
          <w:p>
            <w:r>
              <w:rPr>
                <w:sz w:val="14"/>
              </w:rPr>
              <w:t>10.11</w:t>
            </w:r>
          </w:p>
        </w:tc>
        <w:tc>
          <w:tcPr>
            <w:tcW w:type="dxa" w:w="876"/>
          </w:tcPr>
          <w:p>
            <w:r>
              <w:rPr>
                <w:sz w:val="14"/>
              </w:rPr>
              <w:t>0.0746</w:t>
            </w:r>
          </w:p>
        </w:tc>
        <w:tc>
          <w:tcPr>
            <w:tcW w:type="dxa" w:w="876"/>
          </w:tcPr>
          <w:p>
            <w:r>
              <w:rPr>
                <w:sz w:val="14"/>
              </w:rPr>
              <w:t>10.14</w:t>
            </w:r>
          </w:p>
        </w:tc>
      </w:tr>
      <w:tr>
        <w:tc>
          <w:tcPr>
            <w:tcW w:type="dxa" w:w="876"/>
          </w:tcPr>
          <w:p>
            <w:r>
              <w:rPr>
                <w:sz w:val="14"/>
              </w:rPr>
              <w:t>Linear Regression</w:t>
            </w:r>
          </w:p>
        </w:tc>
        <w:tc>
          <w:tcPr>
            <w:tcW w:type="dxa" w:w="876"/>
          </w:tcPr>
          <w:p>
            <w:r>
              <w:rPr>
                <w:sz w:val="14"/>
              </w:rPr>
              <w:t>linear</w:t>
            </w:r>
          </w:p>
        </w:tc>
        <w:tc>
          <w:tcPr>
            <w:tcW w:type="dxa" w:w="876"/>
          </w:tcPr>
          <w:p>
            <w:r>
              <w:rPr>
                <w:sz w:val="14"/>
              </w:rPr>
              <w:t>28.63</w:t>
            </w:r>
          </w:p>
        </w:tc>
        <w:tc>
          <w:tcPr>
            <w:tcW w:type="dxa" w:w="876"/>
          </w:tcPr>
          <w:p>
            <w:r>
              <w:rPr>
                <w:sz w:val="14"/>
              </w:rPr>
              <w:t>15.9</w:t>
            </w:r>
          </w:p>
        </w:tc>
        <w:tc>
          <w:tcPr>
            <w:tcW w:type="dxa" w:w="876"/>
          </w:tcPr>
          <w:p>
            <w:r>
              <w:rPr>
                <w:sz w:val="14"/>
              </w:rPr>
              <w:t>24.62</w:t>
            </w:r>
          </w:p>
        </w:tc>
        <w:tc>
          <w:tcPr>
            <w:tcW w:type="dxa" w:w="876"/>
          </w:tcPr>
          <w:p>
            <w:r>
              <w:rPr>
                <w:sz w:val="14"/>
              </w:rPr>
              <w:t>0.9033</w:t>
            </w:r>
          </w:p>
        </w:tc>
        <w:tc>
          <w:tcPr>
            <w:tcW w:type="dxa" w:w="876"/>
          </w:tcPr>
          <w:p>
            <w:r>
              <w:rPr>
                <w:sz w:val="14"/>
              </w:rPr>
              <w:t>15.12</w:t>
            </w:r>
          </w:p>
        </w:tc>
        <w:tc>
          <w:tcPr>
            <w:tcW w:type="dxa" w:w="876"/>
          </w:tcPr>
          <w:p>
            <w:r>
              <w:rPr>
                <w:sz w:val="14"/>
              </w:rPr>
              <w:t>3.296</w:t>
            </w:r>
          </w:p>
        </w:tc>
        <w:tc>
          <w:tcPr>
            <w:tcW w:type="dxa" w:w="876"/>
          </w:tcPr>
          <w:p>
            <w:r>
              <w:rPr>
                <w:sz w:val="14"/>
              </w:rPr>
              <w:t>22.86</w:t>
            </w:r>
          </w:p>
        </w:tc>
        <w:tc>
          <w:tcPr>
            <w:tcW w:type="dxa" w:w="876"/>
          </w:tcPr>
          <w:p>
            <w:r>
              <w:rPr>
                <w:sz w:val="14"/>
              </w:rPr>
              <w:t>-0.0083</w:t>
            </w:r>
          </w:p>
        </w:tc>
        <w:tc>
          <w:tcPr>
            <w:tcW w:type="dxa" w:w="876"/>
          </w:tcPr>
          <w:p>
            <w:r>
              <w:rPr>
                <w:sz w:val="14"/>
              </w:rPr>
              <w:t>0.14</w:t>
            </w:r>
          </w:p>
        </w:tc>
      </w:tr>
      <w:tr>
        <w:tc>
          <w:tcPr>
            <w:tcW w:type="dxa" w:w="876"/>
          </w:tcPr>
          <w:p>
            <w:r>
              <w:rPr>
                <w:sz w:val="14"/>
              </w:rPr>
              <w:t>Ridge Regression</w:t>
            </w:r>
          </w:p>
        </w:tc>
        <w:tc>
          <w:tcPr>
            <w:tcW w:type="dxa" w:w="876"/>
          </w:tcPr>
          <w:p>
            <w:r>
              <w:rPr>
                <w:sz w:val="14"/>
              </w:rPr>
              <w:t>linear</w:t>
            </w:r>
          </w:p>
        </w:tc>
        <w:tc>
          <w:tcPr>
            <w:tcW w:type="dxa" w:w="876"/>
          </w:tcPr>
          <w:p>
            <w:r>
              <w:rPr>
                <w:sz w:val="14"/>
              </w:rPr>
              <w:t>28.5</w:t>
            </w:r>
          </w:p>
        </w:tc>
        <w:tc>
          <w:tcPr>
            <w:tcW w:type="dxa" w:w="876"/>
          </w:tcPr>
          <w:p>
            <w:r>
              <w:rPr>
                <w:sz w:val="14"/>
              </w:rPr>
              <w:t>15.91</w:t>
            </w:r>
          </w:p>
        </w:tc>
        <w:tc>
          <w:tcPr>
            <w:tcW w:type="dxa" w:w="876"/>
          </w:tcPr>
          <w:p>
            <w:r>
              <w:rPr>
                <w:sz w:val="14"/>
              </w:rPr>
              <w:t>24.62</w:t>
            </w:r>
          </w:p>
        </w:tc>
        <w:tc>
          <w:tcPr>
            <w:tcW w:type="dxa" w:w="876"/>
          </w:tcPr>
          <w:p>
            <w:r>
              <w:rPr>
                <w:sz w:val="14"/>
              </w:rPr>
              <w:t>0.9033</w:t>
            </w:r>
          </w:p>
        </w:tc>
        <w:tc>
          <w:tcPr>
            <w:tcW w:type="dxa" w:w="876"/>
          </w:tcPr>
          <w:p>
            <w:r>
              <w:rPr>
                <w:sz w:val="14"/>
              </w:rPr>
              <w:t>15.12</w:t>
            </w:r>
          </w:p>
        </w:tc>
        <w:tc>
          <w:tcPr>
            <w:tcW w:type="dxa" w:w="876"/>
          </w:tcPr>
          <w:p>
            <w:r>
              <w:rPr>
                <w:sz w:val="14"/>
              </w:rPr>
              <w:t>3.3</w:t>
            </w:r>
          </w:p>
        </w:tc>
        <w:tc>
          <w:tcPr>
            <w:tcW w:type="dxa" w:w="876"/>
          </w:tcPr>
          <w:p>
            <w:r>
              <w:rPr>
                <w:sz w:val="14"/>
              </w:rPr>
              <w:t>22.86</w:t>
            </w:r>
          </w:p>
        </w:tc>
        <w:tc>
          <w:tcPr>
            <w:tcW w:type="dxa" w:w="876"/>
          </w:tcPr>
          <w:p>
            <w:r>
              <w:rPr>
                <w:sz w:val="14"/>
              </w:rPr>
              <w:t>-0.0083</w:t>
            </w:r>
          </w:p>
        </w:tc>
        <w:tc>
          <w:tcPr>
            <w:tcW w:type="dxa" w:w="876"/>
          </w:tcPr>
          <w:p>
            <w:r>
              <w:rPr>
                <w:sz w:val="14"/>
              </w:rPr>
              <w:t>0.06</w:t>
            </w:r>
          </w:p>
        </w:tc>
      </w:tr>
      <w:tr>
        <w:tc>
          <w:tcPr>
            <w:tcW w:type="dxa" w:w="876"/>
          </w:tcPr>
          <w:p>
            <w:r>
              <w:rPr>
                <w:sz w:val="14"/>
              </w:rPr>
              <w:t>Persistence baseline (tomorrow = today)</w:t>
            </w:r>
          </w:p>
        </w:tc>
        <w:tc>
          <w:tcPr>
            <w:tcW w:type="dxa" w:w="876"/>
          </w:tcPr>
          <w:p>
            <w:r>
              <w:rPr>
                <w:sz w:val="14"/>
              </w:rPr>
              <w:t>baseline</w:t>
            </w:r>
          </w:p>
        </w:tc>
        <w:tc>
          <w:tcPr>
            <w:tcW w:type="dxa" w:w="876"/>
          </w:tcPr>
          <w:p>
            <w:r>
              <w:rPr>
                <w:sz w:val="14"/>
              </w:rPr>
            </w:r>
          </w:p>
        </w:tc>
        <w:tc>
          <w:tcPr>
            <w:tcW w:type="dxa" w:w="876"/>
          </w:tcPr>
          <w:p>
            <w:r>
              <w:rPr>
                <w:sz w:val="14"/>
              </w:rPr>
              <w:t>18.9</w:t>
            </w:r>
          </w:p>
        </w:tc>
        <w:tc>
          <w:tcPr>
            <w:tcW w:type="dxa" w:w="876"/>
          </w:tcPr>
          <w:p>
            <w:r>
              <w:rPr>
                <w:sz w:val="14"/>
              </w:rPr>
              <w:t>31.56</w:t>
            </w:r>
          </w:p>
        </w:tc>
        <w:tc>
          <w:tcPr>
            <w:tcW w:type="dxa" w:w="876"/>
          </w:tcPr>
          <w:p>
            <w:r>
              <w:rPr>
                <w:sz w:val="14"/>
              </w:rPr>
              <w:t>0.8411</w:t>
            </w:r>
          </w:p>
        </w:tc>
        <w:tc>
          <w:tcPr>
            <w:tcW w:type="dxa" w:w="876"/>
          </w:tcPr>
          <w:p>
            <w:r>
              <w:rPr>
                <w:sz w:val="14"/>
              </w:rPr>
              <w:t>16.36</w:t>
            </w:r>
          </w:p>
        </w:tc>
        <w:tc>
          <w:tcPr>
            <w:tcW w:type="dxa" w:w="876"/>
          </w:tcPr>
          <w:p>
            <w:r>
              <w:rPr>
                <w:sz w:val="14"/>
              </w:rPr>
              <w:t>0.0871</w:t>
            </w:r>
          </w:p>
        </w:tc>
        <w:tc>
          <w:tcPr>
            <w:tcW w:type="dxa" w:w="876"/>
          </w:tcPr>
          <w:p>
            <w:r>
              <w:rPr>
                <w:sz w:val="14"/>
              </w:rPr>
            </w:r>
          </w:p>
        </w:tc>
        <w:tc>
          <w:tcPr>
            <w:tcW w:type="dxa" w:w="876"/>
          </w:tcPr>
          <w:p>
            <w:r>
              <w:rPr>
                <w:sz w:val="14"/>
              </w:rPr>
            </w:r>
          </w:p>
        </w:tc>
        <w:tc>
          <w:tcPr>
            <w:tcW w:type="dxa" w:w="876"/>
          </w:tcPr>
          <w:p>
            <w:r>
              <w:rPr>
                <w:sz w:val="14"/>
              </w:rPr>
            </w:r>
          </w:p>
        </w:tc>
      </w:tr>
    </w:tbl>
    <w:p/>
    <w:p>
      <w:pPr>
        <w:jc w:val="center"/>
      </w:pPr>
      <w:r>
        <w:drawing>
          <wp:inline xmlns:a="http://schemas.openxmlformats.org/drawingml/2006/main" xmlns:pic="http://schemas.openxmlformats.org/drawingml/2006/picture">
            <wp:extent cx="5760720" cy="1814570"/>
            <wp:docPr id="3" name="Picture 3"/>
            <wp:cNvGraphicFramePr>
              <a:graphicFrameLocks noChangeAspect="1"/>
            </wp:cNvGraphicFramePr>
            <a:graphic>
              <a:graphicData uri="http://schemas.openxmlformats.org/drawingml/2006/picture">
                <pic:pic>
                  <pic:nvPicPr>
                    <pic:cNvPr id="0" name="27_regression_comparison.png"/>
                    <pic:cNvPicPr/>
                  </pic:nvPicPr>
                  <pic:blipFill>
                    <a:blip r:embed="rId11"/>
                    <a:stretch>
                      <a:fillRect/>
                    </a:stretch>
                  </pic:blipFill>
                  <pic:spPr>
                    <a:xfrm>
                      <a:off x="0" y="0"/>
                      <a:ext cx="5760720" cy="1814570"/>
                    </a:xfrm>
                    <a:prstGeom prst="rect"/>
                  </pic:spPr>
                </pic:pic>
              </a:graphicData>
            </a:graphic>
          </wp:inline>
        </w:drawing>
      </w:r>
    </w:p>
    <w:p>
      <w:pPr>
        <w:jc w:val="center"/>
      </w:pPr>
      <w:r>
        <w:rPr>
          <w:i/>
          <w:color w:val="555555"/>
          <w:sz w:val="18"/>
        </w:rPr>
        <w:t>Figure 3. Regression model comparison, with the persistence baseline marked on both panels.</w:t>
      </w:r>
      <w:r>
        <w:rPr>
          <w:color w:val="555555"/>
          <w:sz w:val="15"/>
        </w:rPr>
        <w:t xml:space="preserve">  [27_regression_comparison.png]</w:t>
      </w:r>
    </w:p>
    <w:p>
      <w:pPr>
        <w:jc w:val="both"/>
      </w:pPr>
      <w:r>
        <w:rPr>
          <w:b/>
          <w:i w:val="0"/>
          <w:sz w:val="21"/>
        </w:rPr>
        <w:t>The most important column in that table is the persistence baseline. Daily AQI is strongly autocorrelated, so carrying today forward already achieves an MAE of 18.9049 and an R-squared of 0.8411. Reporting an R-squared above 0.9 without that comparison would be misleading, because most of it is available for nothing. LightGBM reduces MAE by 20.11 per cent relative to persistence, and that reduction is the actual contribution of the learned model.</w:t>
      </w:r>
    </w:p>
    <w:p>
      <w:pPr>
        <w:pStyle w:val="Heading2"/>
      </w:pPr>
      <w:r>
        <w:rPr>
          <w:color w:val="0B3C5D"/>
        </w:rPr>
        <w:t>3.2 Master comparison: classification</w:t>
      </w:r>
    </w:p>
    <w:p>
      <w:r>
        <w:rPr>
          <w:b/>
          <w:color w:val="0B3C5D"/>
          <w:sz w:val="19"/>
        </w:rPr>
        <w:t>Table 11. Classification master comparison, ordered by test macro F1</w:t>
      </w:r>
    </w:p>
    <w:tbl>
      <w:tblPr>
        <w:tblStyle w:val="LightGrid-Accent1"/>
        <w:tblW w:type="auto" w:w="0"/>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r>
              <w:rPr>
                <w:b/>
                <w:sz w:val="13"/>
              </w:rPr>
              <w:t>Model</w:t>
            </w:r>
          </w:p>
        </w:tc>
        <w:tc>
          <w:tcPr>
            <w:tcW w:type="dxa" w:w="876"/>
          </w:tcPr>
          <w:p>
            <w:r>
              <w:rPr>
                <w:b/>
                <w:sz w:val="13"/>
              </w:rPr>
              <w:t>Imbalance strategy</w:t>
            </w:r>
          </w:p>
        </w:tc>
        <w:tc>
          <w:tcPr>
            <w:tcW w:type="dxa" w:w="876"/>
          </w:tcPr>
          <w:p>
            <w:r>
              <w:rPr>
                <w:b/>
                <w:sz w:val="13"/>
              </w:rPr>
              <w:t>CV macro F1</w:t>
            </w:r>
          </w:p>
        </w:tc>
        <w:tc>
          <w:tcPr>
            <w:tcW w:type="dxa" w:w="876"/>
          </w:tcPr>
          <w:p>
            <w:r>
              <w:rPr>
                <w:b/>
                <w:sz w:val="13"/>
              </w:rPr>
              <w:t>Test macro F1</w:t>
            </w:r>
          </w:p>
        </w:tc>
        <w:tc>
          <w:tcPr>
            <w:tcW w:type="dxa" w:w="876"/>
          </w:tcPr>
          <w:p>
            <w:r>
              <w:rPr>
                <w:b/>
                <w:sz w:val="13"/>
              </w:rPr>
              <w:t>Test accuracy</w:t>
            </w:r>
          </w:p>
        </w:tc>
        <w:tc>
          <w:tcPr>
            <w:tcW w:type="dxa" w:w="876"/>
          </w:tcPr>
          <w:p>
            <w:r>
              <w:rPr>
                <w:b/>
                <w:sz w:val="13"/>
              </w:rPr>
              <w:t>Balanced accuracy</w:t>
            </w:r>
          </w:p>
        </w:tc>
        <w:tc>
          <w:tcPr>
            <w:tcW w:type="dxa" w:w="876"/>
          </w:tcPr>
          <w:p>
            <w:r>
              <w:rPr>
                <w:b/>
                <w:sz w:val="13"/>
              </w:rPr>
              <w:t>ROC-AUC (OvR)</w:t>
            </w:r>
          </w:p>
        </w:tc>
        <w:tc>
          <w:tcPr>
            <w:tcW w:type="dxa" w:w="876"/>
          </w:tcPr>
          <w:p>
            <w:r>
              <w:rPr>
                <w:b/>
                <w:sz w:val="13"/>
              </w:rPr>
              <w:t>F1 Severe</w:t>
            </w:r>
          </w:p>
        </w:tc>
        <w:tc>
          <w:tcPr>
            <w:tcW w:type="dxa" w:w="876"/>
          </w:tcPr>
          <w:p>
            <w:r>
              <w:rPr>
                <w:b/>
                <w:sz w:val="13"/>
              </w:rPr>
              <w:t>F1 Good</w:t>
            </w:r>
          </w:p>
        </w:tc>
        <w:tc>
          <w:tcPr>
            <w:tcW w:type="dxa" w:w="876"/>
          </w:tcPr>
          <w:p>
            <w:r>
              <w:rPr>
                <w:b/>
                <w:sz w:val="13"/>
              </w:rPr>
              <w:t>Ordinal MAE</w:t>
            </w:r>
          </w:p>
        </w:tc>
        <w:tc>
          <w:tcPr>
            <w:tcW w:type="dxa" w:w="876"/>
          </w:tcPr>
          <w:p>
            <w:r>
              <w:rPr>
                <w:b/>
                <w:sz w:val="13"/>
              </w:rPr>
              <w:t>Train-test macro F1 gap</w:t>
            </w:r>
          </w:p>
        </w:tc>
      </w:tr>
      <w:tr>
        <w:tc>
          <w:tcPr>
            <w:tcW w:type="dxa" w:w="876"/>
          </w:tcPr>
          <w:p>
            <w:r>
              <w:rPr>
                <w:sz w:val="13"/>
              </w:rPr>
              <w:t>XGBoost + SMOTE</w:t>
            </w:r>
          </w:p>
        </w:tc>
        <w:tc>
          <w:tcPr>
            <w:tcW w:type="dxa" w:w="876"/>
          </w:tcPr>
          <w:p>
            <w:r>
              <w:rPr>
                <w:sz w:val="13"/>
              </w:rPr>
              <w:t>SMOTE oversampling inside each training fold</w:t>
            </w:r>
          </w:p>
        </w:tc>
        <w:tc>
          <w:tcPr>
            <w:tcW w:type="dxa" w:w="876"/>
          </w:tcPr>
          <w:p>
            <w:r>
              <w:rPr>
                <w:sz w:val="13"/>
              </w:rPr>
              <w:t>0.5709</w:t>
            </w:r>
          </w:p>
        </w:tc>
        <w:tc>
          <w:tcPr>
            <w:tcW w:type="dxa" w:w="876"/>
          </w:tcPr>
          <w:p>
            <w:r>
              <w:rPr>
                <w:sz w:val="13"/>
              </w:rPr>
              <w:t>0.7411</w:t>
            </w:r>
          </w:p>
        </w:tc>
        <w:tc>
          <w:tcPr>
            <w:tcW w:type="dxa" w:w="876"/>
          </w:tcPr>
          <w:p>
            <w:r>
              <w:rPr>
                <w:sz w:val="13"/>
              </w:rPr>
              <w:t>0.7783</w:t>
            </w:r>
          </w:p>
        </w:tc>
        <w:tc>
          <w:tcPr>
            <w:tcW w:type="dxa" w:w="876"/>
          </w:tcPr>
          <w:p>
            <w:r>
              <w:rPr>
                <w:sz w:val="13"/>
              </w:rPr>
              <w:t>0.7453</w:t>
            </w:r>
          </w:p>
        </w:tc>
        <w:tc>
          <w:tcPr>
            <w:tcW w:type="dxa" w:w="876"/>
          </w:tcPr>
          <w:p>
            <w:r>
              <w:rPr>
                <w:sz w:val="13"/>
              </w:rPr>
              <w:t>0.9591</w:t>
            </w:r>
          </w:p>
        </w:tc>
        <w:tc>
          <w:tcPr>
            <w:tcW w:type="dxa" w:w="876"/>
          </w:tcPr>
          <w:p>
            <w:r>
              <w:rPr>
                <w:sz w:val="13"/>
              </w:rPr>
              <w:t>0.7595</w:t>
            </w:r>
          </w:p>
        </w:tc>
        <w:tc>
          <w:tcPr>
            <w:tcW w:type="dxa" w:w="876"/>
          </w:tcPr>
          <w:p>
            <w:r>
              <w:rPr>
                <w:sz w:val="13"/>
              </w:rPr>
              <w:t>0.6689</w:t>
            </w:r>
          </w:p>
        </w:tc>
        <w:tc>
          <w:tcPr>
            <w:tcW w:type="dxa" w:w="876"/>
          </w:tcPr>
          <w:p>
            <w:r>
              <w:rPr>
                <w:sz w:val="13"/>
              </w:rPr>
              <w:t>0.2238</w:t>
            </w:r>
          </w:p>
        </w:tc>
        <w:tc>
          <w:tcPr>
            <w:tcW w:type="dxa" w:w="876"/>
          </w:tcPr>
          <w:p>
            <w:r>
              <w:rPr>
                <w:sz w:val="13"/>
              </w:rPr>
              <w:t>0.2541</w:t>
            </w:r>
          </w:p>
        </w:tc>
      </w:tr>
      <w:tr>
        <w:tc>
          <w:tcPr>
            <w:tcW w:type="dxa" w:w="876"/>
          </w:tcPr>
          <w:p>
            <w:r>
              <w:rPr>
                <w:sz w:val="13"/>
              </w:rPr>
              <w:t>Random Forest + SMOTE</w:t>
            </w:r>
          </w:p>
        </w:tc>
        <w:tc>
          <w:tcPr>
            <w:tcW w:type="dxa" w:w="876"/>
          </w:tcPr>
          <w:p>
            <w:r>
              <w:rPr>
                <w:sz w:val="13"/>
              </w:rPr>
              <w:t>SMOTE oversampling inside each training fold</w:t>
            </w:r>
          </w:p>
        </w:tc>
        <w:tc>
          <w:tcPr>
            <w:tcW w:type="dxa" w:w="876"/>
          </w:tcPr>
          <w:p>
            <w:r>
              <w:rPr>
                <w:sz w:val="13"/>
              </w:rPr>
              <w:t>0.5599</w:t>
            </w:r>
          </w:p>
        </w:tc>
        <w:tc>
          <w:tcPr>
            <w:tcW w:type="dxa" w:w="876"/>
          </w:tcPr>
          <w:p>
            <w:r>
              <w:rPr>
                <w:sz w:val="13"/>
              </w:rPr>
              <w:t>0.739</w:t>
            </w:r>
          </w:p>
        </w:tc>
        <w:tc>
          <w:tcPr>
            <w:tcW w:type="dxa" w:w="876"/>
          </w:tcPr>
          <w:p>
            <w:r>
              <w:rPr>
                <w:sz w:val="13"/>
              </w:rPr>
              <w:t>0.7771</w:t>
            </w:r>
          </w:p>
        </w:tc>
        <w:tc>
          <w:tcPr>
            <w:tcW w:type="dxa" w:w="876"/>
          </w:tcPr>
          <w:p>
            <w:r>
              <w:rPr>
                <w:sz w:val="13"/>
              </w:rPr>
              <w:t>0.7543</w:t>
            </w:r>
          </w:p>
        </w:tc>
        <w:tc>
          <w:tcPr>
            <w:tcW w:type="dxa" w:w="876"/>
          </w:tcPr>
          <w:p>
            <w:r>
              <w:rPr>
                <w:sz w:val="13"/>
              </w:rPr>
              <w:t>0.9594</w:t>
            </w:r>
          </w:p>
        </w:tc>
        <w:tc>
          <w:tcPr>
            <w:tcW w:type="dxa" w:w="876"/>
          </w:tcPr>
          <w:p>
            <w:r>
              <w:rPr>
                <w:sz w:val="13"/>
              </w:rPr>
              <w:t>0.7789</w:t>
            </w:r>
          </w:p>
        </w:tc>
        <w:tc>
          <w:tcPr>
            <w:tcW w:type="dxa" w:w="876"/>
          </w:tcPr>
          <w:p>
            <w:r>
              <w:rPr>
                <w:sz w:val="13"/>
              </w:rPr>
              <w:t>0.6154</w:t>
            </w:r>
          </w:p>
        </w:tc>
        <w:tc>
          <w:tcPr>
            <w:tcW w:type="dxa" w:w="876"/>
          </w:tcPr>
          <w:p>
            <w:r>
              <w:rPr>
                <w:sz w:val="13"/>
              </w:rPr>
              <w:t>0.2256</w:t>
            </w:r>
          </w:p>
        </w:tc>
        <w:tc>
          <w:tcPr>
            <w:tcW w:type="dxa" w:w="876"/>
          </w:tcPr>
          <w:p>
            <w:r>
              <w:rPr>
                <w:sz w:val="13"/>
              </w:rPr>
              <w:t>0.2578</w:t>
            </w:r>
          </w:p>
        </w:tc>
      </w:tr>
      <w:tr>
        <w:tc>
          <w:tcPr>
            <w:tcW w:type="dxa" w:w="876"/>
          </w:tcPr>
          <w:p>
            <w:r>
              <w:rPr>
                <w:sz w:val="13"/>
              </w:rPr>
              <w:t>XGBoost</w:t>
            </w:r>
          </w:p>
        </w:tc>
        <w:tc>
          <w:tcPr>
            <w:tcW w:type="dxa" w:w="876"/>
          </w:tcPr>
          <w:p>
            <w:r>
              <w:rPr>
                <w:sz w:val="13"/>
              </w:rPr>
              <w:t>none (compared against a SMOTE variant below)</w:t>
            </w:r>
          </w:p>
        </w:tc>
        <w:tc>
          <w:tcPr>
            <w:tcW w:type="dxa" w:w="876"/>
          </w:tcPr>
          <w:p>
            <w:r>
              <w:rPr>
                <w:sz w:val="13"/>
              </w:rPr>
              <w:t>0.5545</w:t>
            </w:r>
          </w:p>
        </w:tc>
        <w:tc>
          <w:tcPr>
            <w:tcW w:type="dxa" w:w="876"/>
          </w:tcPr>
          <w:p>
            <w:r>
              <w:rPr>
                <w:sz w:val="13"/>
              </w:rPr>
              <w:t>0.7342</w:t>
            </w:r>
          </w:p>
        </w:tc>
        <w:tc>
          <w:tcPr>
            <w:tcW w:type="dxa" w:w="876"/>
          </w:tcPr>
          <w:p>
            <w:r>
              <w:rPr>
                <w:sz w:val="13"/>
              </w:rPr>
              <w:t>0.7846</w:t>
            </w:r>
          </w:p>
        </w:tc>
        <w:tc>
          <w:tcPr>
            <w:tcW w:type="dxa" w:w="876"/>
          </w:tcPr>
          <w:p>
            <w:r>
              <w:rPr>
                <w:sz w:val="13"/>
              </w:rPr>
              <w:t>0.7075</w:t>
            </w:r>
          </w:p>
        </w:tc>
        <w:tc>
          <w:tcPr>
            <w:tcW w:type="dxa" w:w="876"/>
          </w:tcPr>
          <w:p>
            <w:r>
              <w:rPr>
                <w:sz w:val="13"/>
              </w:rPr>
              <w:t>0.9615</w:t>
            </w:r>
          </w:p>
        </w:tc>
        <w:tc>
          <w:tcPr>
            <w:tcW w:type="dxa" w:w="876"/>
          </w:tcPr>
          <w:p>
            <w:r>
              <w:rPr>
                <w:sz w:val="13"/>
              </w:rPr>
              <w:t>0.7532</w:t>
            </w:r>
          </w:p>
        </w:tc>
        <w:tc>
          <w:tcPr>
            <w:tcW w:type="dxa" w:w="876"/>
          </w:tcPr>
          <w:p>
            <w:r>
              <w:rPr>
                <w:sz w:val="13"/>
              </w:rPr>
              <w:t>0.628</w:t>
            </w:r>
          </w:p>
        </w:tc>
        <w:tc>
          <w:tcPr>
            <w:tcW w:type="dxa" w:w="876"/>
          </w:tcPr>
          <w:p>
            <w:r>
              <w:rPr>
                <w:sz w:val="13"/>
              </w:rPr>
              <w:t>0.2179</w:t>
            </w:r>
          </w:p>
        </w:tc>
        <w:tc>
          <w:tcPr>
            <w:tcW w:type="dxa" w:w="876"/>
          </w:tcPr>
          <w:p>
            <w:r>
              <w:rPr>
                <w:sz w:val="13"/>
              </w:rPr>
              <w:t>0.2651</w:t>
            </w:r>
          </w:p>
        </w:tc>
      </w:tr>
      <w:tr>
        <w:tc>
          <w:tcPr>
            <w:tcW w:type="dxa" w:w="876"/>
          </w:tcPr>
          <w:p>
            <w:r>
              <w:rPr>
                <w:sz w:val="13"/>
              </w:rPr>
              <w:t>Logistic Regression</w:t>
            </w:r>
          </w:p>
        </w:tc>
        <w:tc>
          <w:tcPr>
            <w:tcW w:type="dxa" w:w="876"/>
          </w:tcPr>
          <w:p>
            <w:r>
              <w:rPr>
                <w:sz w:val="13"/>
              </w:rPr>
              <w:t>class_weight='balanced'</w:t>
            </w:r>
          </w:p>
        </w:tc>
        <w:tc>
          <w:tcPr>
            <w:tcW w:type="dxa" w:w="876"/>
          </w:tcPr>
          <w:p>
            <w:r>
              <w:rPr>
                <w:sz w:val="13"/>
              </w:rPr>
              <w:t>0.4414</w:t>
            </w:r>
          </w:p>
        </w:tc>
        <w:tc>
          <w:tcPr>
            <w:tcW w:type="dxa" w:w="876"/>
          </w:tcPr>
          <w:p>
            <w:r>
              <w:rPr>
                <w:sz w:val="13"/>
              </w:rPr>
              <w:t>0.7236</w:t>
            </w:r>
          </w:p>
        </w:tc>
        <w:tc>
          <w:tcPr>
            <w:tcW w:type="dxa" w:w="876"/>
          </w:tcPr>
          <w:p>
            <w:r>
              <w:rPr>
                <w:sz w:val="13"/>
              </w:rPr>
              <w:t>0.7589</w:t>
            </w:r>
          </w:p>
        </w:tc>
        <w:tc>
          <w:tcPr>
            <w:tcW w:type="dxa" w:w="876"/>
          </w:tcPr>
          <w:p>
            <w:r>
              <w:rPr>
                <w:sz w:val="13"/>
              </w:rPr>
              <w:t>0.7393</w:t>
            </w:r>
          </w:p>
        </w:tc>
        <w:tc>
          <w:tcPr>
            <w:tcW w:type="dxa" w:w="876"/>
          </w:tcPr>
          <w:p>
            <w:r>
              <w:rPr>
                <w:sz w:val="13"/>
              </w:rPr>
              <w:t>0.9514</w:t>
            </w:r>
          </w:p>
        </w:tc>
        <w:tc>
          <w:tcPr>
            <w:tcW w:type="dxa" w:w="876"/>
          </w:tcPr>
          <w:p>
            <w:r>
              <w:rPr>
                <w:sz w:val="13"/>
              </w:rPr>
              <w:t>0.7191</w:t>
            </w:r>
          </w:p>
        </w:tc>
        <w:tc>
          <w:tcPr>
            <w:tcW w:type="dxa" w:w="876"/>
          </w:tcPr>
          <w:p>
            <w:r>
              <w:rPr>
                <w:sz w:val="13"/>
              </w:rPr>
              <w:t>0.6446</w:t>
            </w:r>
          </w:p>
        </w:tc>
        <w:tc>
          <w:tcPr>
            <w:tcW w:type="dxa" w:w="876"/>
          </w:tcPr>
          <w:p>
            <w:r>
              <w:rPr>
                <w:sz w:val="13"/>
              </w:rPr>
              <w:t>0.2449</w:t>
            </w:r>
          </w:p>
        </w:tc>
        <w:tc>
          <w:tcPr>
            <w:tcW w:type="dxa" w:w="876"/>
          </w:tcPr>
          <w:p>
            <w:r>
              <w:rPr>
                <w:sz w:val="13"/>
              </w:rPr>
              <w:t>-0.0538</w:t>
            </w:r>
          </w:p>
        </w:tc>
      </w:tr>
      <w:tr>
        <w:tc>
          <w:tcPr>
            <w:tcW w:type="dxa" w:w="876"/>
          </w:tcPr>
          <w:p>
            <w:r>
              <w:rPr>
                <w:sz w:val="13"/>
              </w:rPr>
              <w:t>Logistic Regression + SMOTE</w:t>
            </w:r>
          </w:p>
        </w:tc>
        <w:tc>
          <w:tcPr>
            <w:tcW w:type="dxa" w:w="876"/>
          </w:tcPr>
          <w:p>
            <w:r>
              <w:rPr>
                <w:sz w:val="13"/>
              </w:rPr>
              <w:t>SMOTE oversampling inside each training fold</w:t>
            </w:r>
          </w:p>
        </w:tc>
        <w:tc>
          <w:tcPr>
            <w:tcW w:type="dxa" w:w="876"/>
          </w:tcPr>
          <w:p>
            <w:r>
              <w:rPr>
                <w:sz w:val="13"/>
              </w:rPr>
              <w:t>0.4402</w:t>
            </w:r>
          </w:p>
        </w:tc>
        <w:tc>
          <w:tcPr>
            <w:tcW w:type="dxa" w:w="876"/>
          </w:tcPr>
          <w:p>
            <w:r>
              <w:rPr>
                <w:sz w:val="13"/>
              </w:rPr>
              <w:t>0.7197</w:t>
            </w:r>
          </w:p>
        </w:tc>
        <w:tc>
          <w:tcPr>
            <w:tcW w:type="dxa" w:w="876"/>
          </w:tcPr>
          <w:p>
            <w:r>
              <w:rPr>
                <w:sz w:val="13"/>
              </w:rPr>
              <w:t>0.7598</w:t>
            </w:r>
          </w:p>
        </w:tc>
        <w:tc>
          <w:tcPr>
            <w:tcW w:type="dxa" w:w="876"/>
          </w:tcPr>
          <w:p>
            <w:r>
              <w:rPr>
                <w:sz w:val="13"/>
              </w:rPr>
              <w:t>0.7378</w:t>
            </w:r>
          </w:p>
        </w:tc>
        <w:tc>
          <w:tcPr>
            <w:tcW w:type="dxa" w:w="876"/>
          </w:tcPr>
          <w:p>
            <w:r>
              <w:rPr>
                <w:sz w:val="13"/>
              </w:rPr>
              <w:t>0.9519</w:t>
            </w:r>
          </w:p>
        </w:tc>
        <w:tc>
          <w:tcPr>
            <w:tcW w:type="dxa" w:w="876"/>
          </w:tcPr>
          <w:p>
            <w:r>
              <w:rPr>
                <w:sz w:val="13"/>
              </w:rPr>
              <w:t>0.7234</w:t>
            </w:r>
          </w:p>
        </w:tc>
        <w:tc>
          <w:tcPr>
            <w:tcW w:type="dxa" w:w="876"/>
          </w:tcPr>
          <w:p>
            <w:r>
              <w:rPr>
                <w:sz w:val="13"/>
              </w:rPr>
              <w:t>0.6443</w:t>
            </w:r>
          </w:p>
        </w:tc>
        <w:tc>
          <w:tcPr>
            <w:tcW w:type="dxa" w:w="876"/>
          </w:tcPr>
          <w:p>
            <w:r>
              <w:rPr>
                <w:sz w:val="13"/>
              </w:rPr>
              <w:t>0.244</w:t>
            </w:r>
          </w:p>
        </w:tc>
        <w:tc>
          <w:tcPr>
            <w:tcW w:type="dxa" w:w="876"/>
          </w:tcPr>
          <w:p>
            <w:r>
              <w:rPr>
                <w:sz w:val="13"/>
              </w:rPr>
              <w:t>-0.0438</w:t>
            </w:r>
          </w:p>
        </w:tc>
      </w:tr>
      <w:tr>
        <w:tc>
          <w:tcPr>
            <w:tcW w:type="dxa" w:w="876"/>
          </w:tcPr>
          <w:p>
            <w:r>
              <w:rPr>
                <w:sz w:val="13"/>
              </w:rPr>
              <w:t>Random Forest</w:t>
            </w:r>
          </w:p>
        </w:tc>
        <w:tc>
          <w:tcPr>
            <w:tcW w:type="dxa" w:w="876"/>
          </w:tcPr>
          <w:p>
            <w:r>
              <w:rPr>
                <w:sz w:val="13"/>
              </w:rPr>
              <w:t>class_weight='balanced_subsample'</w:t>
            </w:r>
          </w:p>
        </w:tc>
        <w:tc>
          <w:tcPr>
            <w:tcW w:type="dxa" w:w="876"/>
          </w:tcPr>
          <w:p>
            <w:r>
              <w:rPr>
                <w:sz w:val="13"/>
              </w:rPr>
              <w:t>0.5472</w:t>
            </w:r>
          </w:p>
        </w:tc>
        <w:tc>
          <w:tcPr>
            <w:tcW w:type="dxa" w:w="876"/>
          </w:tcPr>
          <w:p>
            <w:r>
              <w:rPr>
                <w:sz w:val="13"/>
              </w:rPr>
              <w:t>0.7184</w:t>
            </w:r>
          </w:p>
        </w:tc>
        <w:tc>
          <w:tcPr>
            <w:tcW w:type="dxa" w:w="876"/>
          </w:tcPr>
          <w:p>
            <w:r>
              <w:rPr>
                <w:sz w:val="13"/>
              </w:rPr>
              <w:t>0.7789</w:t>
            </w:r>
          </w:p>
        </w:tc>
        <w:tc>
          <w:tcPr>
            <w:tcW w:type="dxa" w:w="876"/>
          </w:tcPr>
          <w:p>
            <w:r>
              <w:rPr>
                <w:sz w:val="13"/>
              </w:rPr>
              <w:t>0.704</w:t>
            </w:r>
          </w:p>
        </w:tc>
        <w:tc>
          <w:tcPr>
            <w:tcW w:type="dxa" w:w="876"/>
          </w:tcPr>
          <w:p>
            <w:r>
              <w:rPr>
                <w:sz w:val="13"/>
              </w:rPr>
              <w:t>0.9602</w:t>
            </w:r>
          </w:p>
        </w:tc>
        <w:tc>
          <w:tcPr>
            <w:tcW w:type="dxa" w:w="876"/>
          </w:tcPr>
          <w:p>
            <w:r>
              <w:rPr>
                <w:sz w:val="13"/>
              </w:rPr>
              <w:t>0.7765</w:t>
            </w:r>
          </w:p>
        </w:tc>
        <w:tc>
          <w:tcPr>
            <w:tcW w:type="dxa" w:w="876"/>
          </w:tcPr>
          <w:p>
            <w:r>
              <w:rPr>
                <w:sz w:val="13"/>
              </w:rPr>
              <w:t>0.4878</w:t>
            </w:r>
          </w:p>
        </w:tc>
        <w:tc>
          <w:tcPr>
            <w:tcW w:type="dxa" w:w="876"/>
          </w:tcPr>
          <w:p>
            <w:r>
              <w:rPr>
                <w:sz w:val="13"/>
              </w:rPr>
              <w:t>0.2229</w:t>
            </w:r>
          </w:p>
        </w:tc>
        <w:tc>
          <w:tcPr>
            <w:tcW w:type="dxa" w:w="876"/>
          </w:tcPr>
          <w:p>
            <w:r>
              <w:rPr>
                <w:sz w:val="13"/>
              </w:rPr>
              <w:t>0.276</w:t>
            </w:r>
          </w:p>
        </w:tc>
      </w:tr>
      <w:tr>
        <w:tc>
          <w:tcPr>
            <w:tcW w:type="dxa" w:w="876"/>
          </w:tcPr>
          <w:p>
            <w:r>
              <w:rPr>
                <w:sz w:val="13"/>
              </w:rPr>
              <w:t>Persistence baseline (tomorrow = today)</w:t>
            </w:r>
          </w:p>
        </w:tc>
        <w:tc>
          <w:tcPr>
            <w:tcW w:type="dxa" w:w="876"/>
          </w:tcPr>
          <w:p>
            <w:r>
              <w:rPr>
                <w:sz w:val="13"/>
              </w:rPr>
              <w:t>-</w:t>
            </w:r>
          </w:p>
        </w:tc>
        <w:tc>
          <w:tcPr>
            <w:tcW w:type="dxa" w:w="876"/>
          </w:tcPr>
          <w:p>
            <w:r>
              <w:rPr>
                <w:sz w:val="13"/>
              </w:rPr>
            </w:r>
          </w:p>
        </w:tc>
        <w:tc>
          <w:tcPr>
            <w:tcW w:type="dxa" w:w="876"/>
          </w:tcPr>
          <w:p>
            <w:r>
              <w:rPr>
                <w:sz w:val="13"/>
              </w:rPr>
              <w:t>0.6803</w:t>
            </w:r>
          </w:p>
        </w:tc>
        <w:tc>
          <w:tcPr>
            <w:tcW w:type="dxa" w:w="876"/>
          </w:tcPr>
          <w:p>
            <w:r>
              <w:rPr>
                <w:sz w:val="13"/>
              </w:rPr>
              <w:t>0.7512</w:t>
            </w:r>
          </w:p>
        </w:tc>
        <w:tc>
          <w:tcPr>
            <w:tcW w:type="dxa" w:w="876"/>
          </w:tcPr>
          <w:p>
            <w:r>
              <w:rPr>
                <w:sz w:val="13"/>
              </w:rPr>
              <w:t>0.6798</w:t>
            </w:r>
          </w:p>
        </w:tc>
        <w:tc>
          <w:tcPr>
            <w:tcW w:type="dxa" w:w="876"/>
          </w:tcPr>
          <w:p>
            <w:r>
              <w:rPr>
                <w:sz w:val="13"/>
              </w:rPr>
            </w:r>
          </w:p>
        </w:tc>
        <w:tc>
          <w:tcPr>
            <w:tcW w:type="dxa" w:w="876"/>
          </w:tcPr>
          <w:p>
            <w:r>
              <w:rPr>
                <w:sz w:val="13"/>
              </w:rPr>
              <w:t>0.6818</w:t>
            </w:r>
          </w:p>
        </w:tc>
        <w:tc>
          <w:tcPr>
            <w:tcW w:type="dxa" w:w="876"/>
          </w:tcPr>
          <w:p>
            <w:r>
              <w:rPr>
                <w:sz w:val="13"/>
              </w:rPr>
              <w:t>0.6833</w:t>
            </w:r>
          </w:p>
        </w:tc>
        <w:tc>
          <w:tcPr>
            <w:tcW w:type="dxa" w:w="876"/>
          </w:tcPr>
          <w:p>
            <w:r>
              <w:rPr>
                <w:sz w:val="13"/>
              </w:rPr>
              <w:t>0.2554</w:t>
            </w:r>
          </w:p>
        </w:tc>
        <w:tc>
          <w:tcPr>
            <w:tcW w:type="dxa" w:w="876"/>
          </w:tcPr>
          <w:p>
            <w:r>
              <w:rPr>
                <w:sz w:val="13"/>
              </w:rPr>
            </w:r>
          </w:p>
        </w:tc>
      </w:tr>
      <w:tr>
        <w:tc>
          <w:tcPr>
            <w:tcW w:type="dxa" w:w="876"/>
          </w:tcPr>
          <w:p>
            <w:r>
              <w:rPr>
                <w:sz w:val="13"/>
              </w:rPr>
              <w:t>Decision Tree</w:t>
            </w:r>
          </w:p>
        </w:tc>
        <w:tc>
          <w:tcPr>
            <w:tcW w:type="dxa" w:w="876"/>
          </w:tcPr>
          <w:p>
            <w:r>
              <w:rPr>
                <w:sz w:val="13"/>
              </w:rPr>
              <w:t>class_weight='balanced'</w:t>
            </w:r>
          </w:p>
        </w:tc>
        <w:tc>
          <w:tcPr>
            <w:tcW w:type="dxa" w:w="876"/>
          </w:tcPr>
          <w:p>
            <w:r>
              <w:rPr>
                <w:sz w:val="13"/>
              </w:rPr>
              <w:t>0.5121</w:t>
            </w:r>
          </w:p>
        </w:tc>
        <w:tc>
          <w:tcPr>
            <w:tcW w:type="dxa" w:w="876"/>
          </w:tcPr>
          <w:p>
            <w:r>
              <w:rPr>
                <w:sz w:val="13"/>
              </w:rPr>
              <w:t>0.6647</w:t>
            </w:r>
          </w:p>
        </w:tc>
        <w:tc>
          <w:tcPr>
            <w:tcW w:type="dxa" w:w="876"/>
          </w:tcPr>
          <w:p>
            <w:r>
              <w:rPr>
                <w:sz w:val="13"/>
              </w:rPr>
              <w:t>0.7118</w:t>
            </w:r>
          </w:p>
        </w:tc>
        <w:tc>
          <w:tcPr>
            <w:tcW w:type="dxa" w:w="876"/>
          </w:tcPr>
          <w:p>
            <w:r>
              <w:rPr>
                <w:sz w:val="13"/>
              </w:rPr>
              <w:t>0.733</w:t>
            </w:r>
          </w:p>
        </w:tc>
        <w:tc>
          <w:tcPr>
            <w:tcW w:type="dxa" w:w="876"/>
          </w:tcPr>
          <w:p>
            <w:r>
              <w:rPr>
                <w:sz w:val="13"/>
              </w:rPr>
              <w:t>0.9212</w:t>
            </w:r>
          </w:p>
        </w:tc>
        <w:tc>
          <w:tcPr>
            <w:tcW w:type="dxa" w:w="876"/>
          </w:tcPr>
          <w:p>
            <w:r>
              <w:rPr>
                <w:sz w:val="13"/>
              </w:rPr>
              <w:t>0.6786</w:t>
            </w:r>
          </w:p>
        </w:tc>
        <w:tc>
          <w:tcPr>
            <w:tcW w:type="dxa" w:w="876"/>
          </w:tcPr>
          <w:p>
            <w:r>
              <w:rPr>
                <w:sz w:val="13"/>
              </w:rPr>
              <w:t>0.5897</w:t>
            </w:r>
          </w:p>
        </w:tc>
        <w:tc>
          <w:tcPr>
            <w:tcW w:type="dxa" w:w="876"/>
          </w:tcPr>
          <w:p>
            <w:r>
              <w:rPr>
                <w:sz w:val="13"/>
              </w:rPr>
              <w:t>0.2968</w:t>
            </w:r>
          </w:p>
        </w:tc>
        <w:tc>
          <w:tcPr>
            <w:tcW w:type="dxa" w:w="876"/>
          </w:tcPr>
          <w:p>
            <w:r>
              <w:rPr>
                <w:sz w:val="13"/>
              </w:rPr>
              <w:t>0.051</w:t>
            </w:r>
          </w:p>
        </w:tc>
      </w:tr>
      <w:tr>
        <w:tc>
          <w:tcPr>
            <w:tcW w:type="dxa" w:w="876"/>
          </w:tcPr>
          <w:p>
            <w:r>
              <w:rPr>
                <w:sz w:val="13"/>
              </w:rPr>
              <w:t>SVM (RBF)</w:t>
            </w:r>
          </w:p>
        </w:tc>
        <w:tc>
          <w:tcPr>
            <w:tcW w:type="dxa" w:w="876"/>
          </w:tcPr>
          <w:p>
            <w:r>
              <w:rPr>
                <w:sz w:val="13"/>
              </w:rPr>
              <w:t>class_weight='balanced'</w:t>
            </w:r>
          </w:p>
        </w:tc>
        <w:tc>
          <w:tcPr>
            <w:tcW w:type="dxa" w:w="876"/>
          </w:tcPr>
          <w:p>
            <w:r>
              <w:rPr>
                <w:sz w:val="13"/>
              </w:rPr>
              <w:t>0.4593</w:t>
            </w:r>
          </w:p>
        </w:tc>
        <w:tc>
          <w:tcPr>
            <w:tcW w:type="dxa" w:w="876"/>
          </w:tcPr>
          <w:p>
            <w:r>
              <w:rPr>
                <w:sz w:val="13"/>
              </w:rPr>
              <w:t>0.6359</w:t>
            </w:r>
          </w:p>
        </w:tc>
        <w:tc>
          <w:tcPr>
            <w:tcW w:type="dxa" w:w="876"/>
          </w:tcPr>
          <w:p>
            <w:r>
              <w:rPr>
                <w:sz w:val="13"/>
              </w:rPr>
              <w:t>0.7196</w:t>
            </w:r>
          </w:p>
        </w:tc>
        <w:tc>
          <w:tcPr>
            <w:tcW w:type="dxa" w:w="876"/>
          </w:tcPr>
          <w:p>
            <w:r>
              <w:rPr>
                <w:sz w:val="13"/>
              </w:rPr>
              <w:t>0.6487</w:t>
            </w:r>
          </w:p>
        </w:tc>
        <w:tc>
          <w:tcPr>
            <w:tcW w:type="dxa" w:w="876"/>
          </w:tcPr>
          <w:p>
            <w:r>
              <w:rPr>
                <w:sz w:val="13"/>
              </w:rPr>
            </w:r>
          </w:p>
        </w:tc>
        <w:tc>
          <w:tcPr>
            <w:tcW w:type="dxa" w:w="876"/>
          </w:tcPr>
          <w:p>
            <w:r>
              <w:rPr>
                <w:sz w:val="13"/>
              </w:rPr>
              <w:t>0.4658</w:t>
            </w:r>
          </w:p>
        </w:tc>
        <w:tc>
          <w:tcPr>
            <w:tcW w:type="dxa" w:w="876"/>
          </w:tcPr>
          <w:p>
            <w:r>
              <w:rPr>
                <w:sz w:val="13"/>
              </w:rPr>
              <w:t>0.6142</w:t>
            </w:r>
          </w:p>
        </w:tc>
        <w:tc>
          <w:tcPr>
            <w:tcW w:type="dxa" w:w="876"/>
          </w:tcPr>
          <w:p>
            <w:r>
              <w:rPr>
                <w:sz w:val="13"/>
              </w:rPr>
              <w:t>0.2888</w:t>
            </w:r>
          </w:p>
        </w:tc>
        <w:tc>
          <w:tcPr>
            <w:tcW w:type="dxa" w:w="876"/>
          </w:tcPr>
          <w:p>
            <w:r>
              <w:rPr>
                <w:sz w:val="13"/>
              </w:rPr>
              <w:t>0.274</w:t>
            </w:r>
          </w:p>
        </w:tc>
      </w:tr>
      <w:tr>
        <w:tc>
          <w:tcPr>
            <w:tcW w:type="dxa" w:w="876"/>
          </w:tcPr>
          <w:p>
            <w:r>
              <w:rPr>
                <w:sz w:val="13"/>
              </w:rPr>
              <w:t>KNN (k=15)</w:t>
            </w:r>
          </w:p>
        </w:tc>
        <w:tc>
          <w:tcPr>
            <w:tcW w:type="dxa" w:w="876"/>
          </w:tcPr>
          <w:p>
            <w:r>
              <w:rPr>
                <w:sz w:val="13"/>
              </w:rPr>
              <w:t>distance weighting (no class weighting available)</w:t>
            </w:r>
          </w:p>
        </w:tc>
        <w:tc>
          <w:tcPr>
            <w:tcW w:type="dxa" w:w="876"/>
          </w:tcPr>
          <w:p>
            <w:r>
              <w:rPr>
                <w:sz w:val="13"/>
              </w:rPr>
              <w:t>0.4327</w:t>
            </w:r>
          </w:p>
        </w:tc>
        <w:tc>
          <w:tcPr>
            <w:tcW w:type="dxa" w:w="876"/>
          </w:tcPr>
          <w:p>
            <w:r>
              <w:rPr>
                <w:sz w:val="13"/>
              </w:rPr>
              <w:t>0.5635</w:t>
            </w:r>
          </w:p>
        </w:tc>
        <w:tc>
          <w:tcPr>
            <w:tcW w:type="dxa" w:w="876"/>
          </w:tcPr>
          <w:p>
            <w:r>
              <w:rPr>
                <w:sz w:val="13"/>
              </w:rPr>
              <w:t>0.6848</w:t>
            </w:r>
          </w:p>
        </w:tc>
        <w:tc>
          <w:tcPr>
            <w:tcW w:type="dxa" w:w="876"/>
          </w:tcPr>
          <w:p>
            <w:r>
              <w:rPr>
                <w:sz w:val="13"/>
              </w:rPr>
              <w:t>0.5421</w:t>
            </w:r>
          </w:p>
        </w:tc>
        <w:tc>
          <w:tcPr>
            <w:tcW w:type="dxa" w:w="876"/>
          </w:tcPr>
          <w:p>
            <w:r>
              <w:rPr>
                <w:sz w:val="13"/>
              </w:rPr>
              <w:t>0.9052</w:t>
            </w:r>
          </w:p>
        </w:tc>
        <w:tc>
          <w:tcPr>
            <w:tcW w:type="dxa" w:w="876"/>
          </w:tcPr>
          <w:p>
            <w:r>
              <w:rPr>
                <w:sz w:val="13"/>
              </w:rPr>
              <w:t>0.6197</w:t>
            </w:r>
          </w:p>
        </w:tc>
        <w:tc>
          <w:tcPr>
            <w:tcW w:type="dxa" w:w="876"/>
          </w:tcPr>
          <w:p>
            <w:r>
              <w:rPr>
                <w:sz w:val="13"/>
              </w:rPr>
              <w:t>0.1681</w:t>
            </w:r>
          </w:p>
        </w:tc>
        <w:tc>
          <w:tcPr>
            <w:tcW w:type="dxa" w:w="876"/>
          </w:tcPr>
          <w:p>
            <w:r>
              <w:rPr>
                <w:sz w:val="13"/>
              </w:rPr>
              <w:t>0.3241</w:t>
            </w:r>
          </w:p>
        </w:tc>
        <w:tc>
          <w:tcPr>
            <w:tcW w:type="dxa" w:w="876"/>
          </w:tcPr>
          <w:p>
            <w:r>
              <w:rPr>
                <w:sz w:val="13"/>
              </w:rPr>
              <w:t>0.4365</w:t>
            </w:r>
          </w:p>
        </w:tc>
      </w:tr>
    </w:tbl>
    <w:p/>
    <w:p>
      <w:pPr>
        <w:jc w:val="center"/>
      </w:pPr>
      <w:r>
        <w:drawing>
          <wp:inline xmlns:a="http://schemas.openxmlformats.org/drawingml/2006/main" xmlns:pic="http://schemas.openxmlformats.org/drawingml/2006/picture">
            <wp:extent cx="5760720" cy="1840553"/>
            <wp:docPr id="4" name="Picture 4"/>
            <wp:cNvGraphicFramePr>
              <a:graphicFrameLocks noChangeAspect="1"/>
            </wp:cNvGraphicFramePr>
            <a:graphic>
              <a:graphicData uri="http://schemas.openxmlformats.org/drawingml/2006/picture">
                <pic:pic>
                  <pic:nvPicPr>
                    <pic:cNvPr id="0" name="28_classification_comparison.png"/>
                    <pic:cNvPicPr/>
                  </pic:nvPicPr>
                  <pic:blipFill>
                    <a:blip r:embed="rId12"/>
                    <a:stretch>
                      <a:fillRect/>
                    </a:stretch>
                  </pic:blipFill>
                  <pic:spPr>
                    <a:xfrm>
                      <a:off x="0" y="0"/>
                      <a:ext cx="5760720" cy="1840553"/>
                    </a:xfrm>
                    <a:prstGeom prst="rect"/>
                  </pic:spPr>
                </pic:pic>
              </a:graphicData>
            </a:graphic>
          </wp:inline>
        </w:drawing>
      </w:r>
    </w:p>
    <w:p>
      <w:pPr>
        <w:jc w:val="center"/>
      </w:pPr>
      <w:r>
        <w:rPr>
          <w:i/>
          <w:color w:val="555555"/>
          <w:sz w:val="18"/>
        </w:rPr>
        <w:t>Figure 4. Classification comparison, per-class performance of the winner, and the imbalance remedy head to head.</w:t>
      </w:r>
      <w:r>
        <w:rPr>
          <w:color w:val="555555"/>
          <w:sz w:val="15"/>
        </w:rPr>
        <w:t xml:space="preserve">  [28_classification_comparison.png]</w:t>
      </w:r>
    </w:p>
    <w:p>
      <w:pPr>
        <w:jc w:val="both"/>
      </w:pPr>
      <w:r>
        <w:rPr>
          <w:b w:val="0"/>
          <w:i w:val="0"/>
          <w:sz w:val="21"/>
        </w:rPr>
        <w:t>Accuracy exceeds macro F1 for every model in the table, and the gap is the cost of the rare classes. A reader shown only accuracy would conclude that the models are performing better than they are on exactly the bands that matter most for health protection.</w:t>
      </w:r>
    </w:p>
    <w:p>
      <w:pPr>
        <w:pStyle w:val="Heading2"/>
      </w:pPr>
      <w:r>
        <w:rPr>
          <w:color w:val="0B3C5D"/>
        </w:rPr>
        <w:t>3.3 Per-class performance of the selected classifier</w:t>
      </w:r>
    </w:p>
    <w:p>
      <w:r>
        <w:rPr>
          <w:b/>
          <w:color w:val="0B3C5D"/>
          <w:sz w:val="19"/>
        </w:rPr>
        <w:t>Table 12. Per-class performance of XGBoost + SMOTE</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2041"/>
          </w:tcPr>
          <w:p>
            <w:r>
              <w:rPr>
                <w:b/>
                <w:sz w:val="17"/>
              </w:rPr>
              <w:t>Band</w:t>
            </w:r>
          </w:p>
        </w:tc>
        <w:tc>
          <w:tcPr>
            <w:tcW w:type="dxa" w:w="1701"/>
          </w:tcPr>
          <w:p>
            <w:r>
              <w:rPr>
                <w:b/>
                <w:sz w:val="17"/>
              </w:rPr>
              <w:t>Precision</w:t>
            </w:r>
          </w:p>
        </w:tc>
        <w:tc>
          <w:tcPr>
            <w:tcW w:type="dxa" w:w="1701"/>
          </w:tcPr>
          <w:p>
            <w:r>
              <w:rPr>
                <w:b/>
                <w:sz w:val="17"/>
              </w:rPr>
              <w:t>Recall</w:t>
            </w:r>
          </w:p>
        </w:tc>
        <w:tc>
          <w:tcPr>
            <w:tcW w:type="dxa" w:w="1701"/>
          </w:tcPr>
          <w:p>
            <w:r>
              <w:rPr>
                <w:b/>
                <w:sz w:val="17"/>
              </w:rPr>
              <w:t>F1</w:t>
            </w:r>
          </w:p>
        </w:tc>
        <w:tc>
          <w:tcPr>
            <w:tcW w:type="dxa" w:w="1928"/>
          </w:tcPr>
          <w:p>
            <w:r>
              <w:rPr>
                <w:b/>
                <w:sz w:val="17"/>
              </w:rPr>
              <w:t>Support</w:t>
            </w:r>
          </w:p>
        </w:tc>
      </w:tr>
      <w:tr>
        <w:tc>
          <w:tcPr>
            <w:tcW w:type="dxa" w:w="2041"/>
          </w:tcPr>
          <w:p>
            <w:r>
              <w:rPr>
                <w:sz w:val="17"/>
              </w:rPr>
              <w:t>Good</w:t>
            </w:r>
          </w:p>
        </w:tc>
        <w:tc>
          <w:tcPr>
            <w:tcW w:type="dxa" w:w="1701"/>
          </w:tcPr>
          <w:p>
            <w:r>
              <w:rPr>
                <w:sz w:val="17"/>
              </w:rPr>
              <w:t>0.642</w:t>
            </w:r>
          </w:p>
        </w:tc>
        <w:tc>
          <w:tcPr>
            <w:tcW w:type="dxa" w:w="1701"/>
          </w:tcPr>
          <w:p>
            <w:r>
              <w:rPr>
                <w:sz w:val="17"/>
              </w:rPr>
              <w:t>0.698</w:t>
            </w:r>
          </w:p>
        </w:tc>
        <w:tc>
          <w:tcPr>
            <w:tcW w:type="dxa" w:w="1701"/>
          </w:tcPr>
          <w:p>
            <w:r>
              <w:rPr>
                <w:sz w:val="17"/>
              </w:rPr>
              <w:t>0.669</w:t>
            </w:r>
          </w:p>
        </w:tc>
        <w:tc>
          <w:tcPr>
            <w:tcW w:type="dxa" w:w="1928"/>
          </w:tcPr>
          <w:p>
            <w:r>
              <w:rPr>
                <w:sz w:val="17"/>
              </w:rPr>
              <w:t>424</w:t>
            </w:r>
          </w:p>
        </w:tc>
      </w:tr>
      <w:tr>
        <w:tc>
          <w:tcPr>
            <w:tcW w:type="dxa" w:w="2041"/>
          </w:tcPr>
          <w:p>
            <w:r>
              <w:rPr>
                <w:sz w:val="17"/>
              </w:rPr>
              <w:t>Satisfactory</w:t>
            </w:r>
          </w:p>
        </w:tc>
        <w:tc>
          <w:tcPr>
            <w:tcW w:type="dxa" w:w="1701"/>
          </w:tcPr>
          <w:p>
            <w:r>
              <w:rPr>
                <w:sz w:val="17"/>
              </w:rPr>
              <w:t>0.843</w:t>
            </w:r>
          </w:p>
        </w:tc>
        <w:tc>
          <w:tcPr>
            <w:tcW w:type="dxa" w:w="1701"/>
          </w:tcPr>
          <w:p>
            <w:r>
              <w:rPr>
                <w:sz w:val="17"/>
              </w:rPr>
              <w:t>0.810</w:t>
            </w:r>
          </w:p>
        </w:tc>
        <w:tc>
          <w:tcPr>
            <w:tcW w:type="dxa" w:w="1701"/>
          </w:tcPr>
          <w:p>
            <w:r>
              <w:rPr>
                <w:sz w:val="17"/>
              </w:rPr>
              <w:t>0.827</w:t>
            </w:r>
          </w:p>
        </w:tc>
        <w:tc>
          <w:tcPr>
            <w:tcW w:type="dxa" w:w="1928"/>
          </w:tcPr>
          <w:p>
            <w:r>
              <w:rPr>
                <w:sz w:val="17"/>
              </w:rPr>
              <w:t>2,189</w:t>
            </w:r>
          </w:p>
        </w:tc>
      </w:tr>
      <w:tr>
        <w:tc>
          <w:tcPr>
            <w:tcW w:type="dxa" w:w="2041"/>
          </w:tcPr>
          <w:p>
            <w:r>
              <w:rPr>
                <w:sz w:val="17"/>
              </w:rPr>
              <w:t>Moderate</w:t>
            </w:r>
          </w:p>
        </w:tc>
        <w:tc>
          <w:tcPr>
            <w:tcW w:type="dxa" w:w="1701"/>
          </w:tcPr>
          <w:p>
            <w:r>
              <w:rPr>
                <w:sz w:val="17"/>
              </w:rPr>
              <w:t>0.761</w:t>
            </w:r>
          </w:p>
        </w:tc>
        <w:tc>
          <w:tcPr>
            <w:tcW w:type="dxa" w:w="1701"/>
          </w:tcPr>
          <w:p>
            <w:r>
              <w:rPr>
                <w:sz w:val="17"/>
              </w:rPr>
              <w:t>0.769</w:t>
            </w:r>
          </w:p>
        </w:tc>
        <w:tc>
          <w:tcPr>
            <w:tcW w:type="dxa" w:w="1701"/>
          </w:tcPr>
          <w:p>
            <w:r>
              <w:rPr>
                <w:sz w:val="17"/>
              </w:rPr>
              <w:t>0.765</w:t>
            </w:r>
          </w:p>
        </w:tc>
        <w:tc>
          <w:tcPr>
            <w:tcW w:type="dxa" w:w="1928"/>
          </w:tcPr>
          <w:p>
            <w:r>
              <w:rPr>
                <w:sz w:val="17"/>
              </w:rPr>
              <w:t>1,261</w:t>
            </w:r>
          </w:p>
        </w:tc>
      </w:tr>
      <w:tr>
        <w:tc>
          <w:tcPr>
            <w:tcW w:type="dxa" w:w="2041"/>
          </w:tcPr>
          <w:p>
            <w:r>
              <w:rPr>
                <w:sz w:val="17"/>
              </w:rPr>
              <w:t>Poor</w:t>
            </w:r>
          </w:p>
        </w:tc>
        <w:tc>
          <w:tcPr>
            <w:tcW w:type="dxa" w:w="1701"/>
          </w:tcPr>
          <w:p>
            <w:r>
              <w:rPr>
                <w:sz w:val="17"/>
              </w:rPr>
              <w:t>0.666</w:t>
            </w:r>
          </w:p>
        </w:tc>
        <w:tc>
          <w:tcPr>
            <w:tcW w:type="dxa" w:w="1701"/>
          </w:tcPr>
          <w:p>
            <w:r>
              <w:rPr>
                <w:sz w:val="17"/>
              </w:rPr>
              <w:t>0.687</w:t>
            </w:r>
          </w:p>
        </w:tc>
        <w:tc>
          <w:tcPr>
            <w:tcW w:type="dxa" w:w="1701"/>
          </w:tcPr>
          <w:p>
            <w:r>
              <w:rPr>
                <w:sz w:val="17"/>
              </w:rPr>
              <w:t>0.676</w:t>
            </w:r>
          </w:p>
        </w:tc>
        <w:tc>
          <w:tcPr>
            <w:tcW w:type="dxa" w:w="1928"/>
          </w:tcPr>
          <w:p>
            <w:r>
              <w:rPr>
                <w:sz w:val="17"/>
              </w:rPr>
              <w:t>313</w:t>
            </w:r>
          </w:p>
        </w:tc>
      </w:tr>
      <w:tr>
        <w:tc>
          <w:tcPr>
            <w:tcW w:type="dxa" w:w="2041"/>
          </w:tcPr>
          <w:p>
            <w:r>
              <w:rPr>
                <w:sz w:val="17"/>
              </w:rPr>
              <w:t>Very Poor</w:t>
            </w:r>
          </w:p>
        </w:tc>
        <w:tc>
          <w:tcPr>
            <w:tcW w:type="dxa" w:w="1701"/>
          </w:tcPr>
          <w:p>
            <w:r>
              <w:rPr>
                <w:sz w:val="17"/>
              </w:rPr>
              <w:t>0.688</w:t>
            </w:r>
          </w:p>
        </w:tc>
        <w:tc>
          <w:tcPr>
            <w:tcW w:type="dxa" w:w="1701"/>
          </w:tcPr>
          <w:p>
            <w:r>
              <w:rPr>
                <w:sz w:val="17"/>
              </w:rPr>
              <w:t>0.825</w:t>
            </w:r>
          </w:p>
        </w:tc>
        <w:tc>
          <w:tcPr>
            <w:tcW w:type="dxa" w:w="1701"/>
          </w:tcPr>
          <w:p>
            <w:r>
              <w:rPr>
                <w:sz w:val="17"/>
              </w:rPr>
              <w:t>0.751</w:t>
            </w:r>
          </w:p>
        </w:tc>
        <w:tc>
          <w:tcPr>
            <w:tcW w:type="dxa" w:w="1928"/>
          </w:tcPr>
          <w:p>
            <w:r>
              <w:rPr>
                <w:sz w:val="17"/>
              </w:rPr>
              <w:t>166</w:t>
            </w:r>
          </w:p>
        </w:tc>
      </w:tr>
      <w:tr>
        <w:tc>
          <w:tcPr>
            <w:tcW w:type="dxa" w:w="2041"/>
          </w:tcPr>
          <w:p>
            <w:r>
              <w:rPr>
                <w:sz w:val="17"/>
              </w:rPr>
              <w:t>Severe</w:t>
            </w:r>
          </w:p>
        </w:tc>
        <w:tc>
          <w:tcPr>
            <w:tcW w:type="dxa" w:w="1701"/>
          </w:tcPr>
          <w:p>
            <w:r>
              <w:rPr>
                <w:sz w:val="17"/>
              </w:rPr>
              <w:t>0.857</w:t>
            </w:r>
          </w:p>
        </w:tc>
        <w:tc>
          <w:tcPr>
            <w:tcW w:type="dxa" w:w="1701"/>
          </w:tcPr>
          <w:p>
            <w:r>
              <w:rPr>
                <w:sz w:val="17"/>
              </w:rPr>
              <w:t>0.682</w:t>
            </w:r>
          </w:p>
        </w:tc>
        <w:tc>
          <w:tcPr>
            <w:tcW w:type="dxa" w:w="1701"/>
          </w:tcPr>
          <w:p>
            <w:r>
              <w:rPr>
                <w:sz w:val="17"/>
              </w:rPr>
              <w:t>0.759</w:t>
            </w:r>
          </w:p>
        </w:tc>
        <w:tc>
          <w:tcPr>
            <w:tcW w:type="dxa" w:w="1928"/>
          </w:tcPr>
          <w:p>
            <w:r>
              <w:rPr>
                <w:sz w:val="17"/>
              </w:rPr>
              <w:t>44</w:t>
            </w:r>
          </w:p>
        </w:tc>
      </w:tr>
    </w:tbl>
    <w:p/>
    <w:p>
      <w:pPr>
        <w:jc w:val="center"/>
      </w:pPr>
      <w:r>
        <w:drawing>
          <wp:inline xmlns:a="http://schemas.openxmlformats.org/drawingml/2006/main" xmlns:pic="http://schemas.openxmlformats.org/drawingml/2006/picture">
            <wp:extent cx="5760720" cy="2437179"/>
            <wp:docPr id="5" name="Picture 5"/>
            <wp:cNvGraphicFramePr>
              <a:graphicFrameLocks noChangeAspect="1"/>
            </wp:cNvGraphicFramePr>
            <a:graphic>
              <a:graphicData uri="http://schemas.openxmlformats.org/drawingml/2006/picture">
                <pic:pic>
                  <pic:nvPicPr>
                    <pic:cNvPr id="0" name="29_confusion_matrices.png"/>
                    <pic:cNvPicPr/>
                  </pic:nvPicPr>
                  <pic:blipFill>
                    <a:blip r:embed="rId13"/>
                    <a:stretch>
                      <a:fillRect/>
                    </a:stretch>
                  </pic:blipFill>
                  <pic:spPr>
                    <a:xfrm>
                      <a:off x="0" y="0"/>
                      <a:ext cx="5760720" cy="2437179"/>
                    </a:xfrm>
                    <a:prstGeom prst="rect"/>
                  </pic:spPr>
                </pic:pic>
              </a:graphicData>
            </a:graphic>
          </wp:inline>
        </w:drawing>
      </w:r>
    </w:p>
    <w:p>
      <w:pPr>
        <w:jc w:val="center"/>
      </w:pPr>
      <w:r>
        <w:rPr>
          <w:i/>
          <w:color w:val="555555"/>
          <w:sz w:val="18"/>
        </w:rPr>
        <w:t>Figure 5. Confusion matrices, raw and normalised by actual class.</w:t>
      </w:r>
      <w:r>
        <w:rPr>
          <w:color w:val="555555"/>
          <w:sz w:val="15"/>
        </w:rPr>
        <w:t xml:space="preserve">  [29_confusion_matrices.png]</w:t>
      </w:r>
    </w:p>
    <w:p>
      <w:pPr>
        <w:jc w:val="center"/>
      </w:pPr>
      <w:r>
        <w:drawing>
          <wp:inline xmlns:a="http://schemas.openxmlformats.org/drawingml/2006/main" xmlns:pic="http://schemas.openxmlformats.org/drawingml/2006/picture">
            <wp:extent cx="5760720" cy="2372296"/>
            <wp:docPr id="6" name="Picture 6"/>
            <wp:cNvGraphicFramePr>
              <a:graphicFrameLocks noChangeAspect="1"/>
            </wp:cNvGraphicFramePr>
            <a:graphic>
              <a:graphicData uri="http://schemas.openxmlformats.org/drawingml/2006/picture">
                <pic:pic>
                  <pic:nvPicPr>
                    <pic:cNvPr id="0" name="30_roc_curves.png"/>
                    <pic:cNvPicPr/>
                  </pic:nvPicPr>
                  <pic:blipFill>
                    <a:blip r:embed="rId14"/>
                    <a:stretch>
                      <a:fillRect/>
                    </a:stretch>
                  </pic:blipFill>
                  <pic:spPr>
                    <a:xfrm>
                      <a:off x="0" y="0"/>
                      <a:ext cx="5760720" cy="2372296"/>
                    </a:xfrm>
                    <a:prstGeom prst="rect"/>
                  </pic:spPr>
                </pic:pic>
              </a:graphicData>
            </a:graphic>
          </wp:inline>
        </w:drawing>
      </w:r>
    </w:p>
    <w:p>
      <w:pPr>
        <w:jc w:val="center"/>
      </w:pPr>
      <w:r>
        <w:rPr>
          <w:i/>
          <w:color w:val="555555"/>
          <w:sz w:val="18"/>
        </w:rPr>
        <w:t>Figure 6. One-versus-rest ROC curves and area under the curve by class.</w:t>
      </w:r>
      <w:r>
        <w:rPr>
          <w:color w:val="555555"/>
          <w:sz w:val="15"/>
        </w:rPr>
        <w:t xml:space="preserve">  [30_roc_curves.png]</w:t>
      </w:r>
    </w:p>
    <w:p>
      <w:pPr>
        <w:pStyle w:val="Heading2"/>
      </w:pPr>
      <w:r>
        <w:rPr>
          <w:color w:val="0B3C5D"/>
        </w:rPr>
        <w:t>3.4 Overfitting diagnosis</w:t>
      </w:r>
    </w:p>
    <w:p>
      <w:pPr>
        <w:jc w:val="center"/>
      </w:pPr>
      <w:r>
        <w:drawing>
          <wp:inline xmlns:a="http://schemas.openxmlformats.org/drawingml/2006/main" xmlns:pic="http://schemas.openxmlformats.org/drawingml/2006/picture">
            <wp:extent cx="5760720" cy="2295267"/>
            <wp:docPr id="7" name="Picture 7"/>
            <wp:cNvGraphicFramePr>
              <a:graphicFrameLocks noChangeAspect="1"/>
            </wp:cNvGraphicFramePr>
            <a:graphic>
              <a:graphicData uri="http://schemas.openxmlformats.org/drawingml/2006/picture">
                <pic:pic>
                  <pic:nvPicPr>
                    <pic:cNvPr id="0" name="34_train_test_gap.png"/>
                    <pic:cNvPicPr/>
                  </pic:nvPicPr>
                  <pic:blipFill>
                    <a:blip r:embed="rId15"/>
                    <a:stretch>
                      <a:fillRect/>
                    </a:stretch>
                  </pic:blipFill>
                  <pic:spPr>
                    <a:xfrm>
                      <a:off x="0" y="0"/>
                      <a:ext cx="5760720" cy="2295267"/>
                    </a:xfrm>
                    <a:prstGeom prst="rect"/>
                  </pic:spPr>
                </pic:pic>
              </a:graphicData>
            </a:graphic>
          </wp:inline>
        </w:drawing>
      </w:r>
    </w:p>
    <w:p>
      <w:pPr>
        <w:jc w:val="center"/>
      </w:pPr>
      <w:r>
        <w:rPr>
          <w:i/>
          <w:color w:val="555555"/>
          <w:sz w:val="18"/>
        </w:rPr>
        <w:t>Figure 7. Training against test performance for every model. A large positive gap indicates a model that has memorised the training period rather than learned the process.</w:t>
      </w:r>
      <w:r>
        <w:rPr>
          <w:color w:val="555555"/>
          <w:sz w:val="15"/>
        </w:rPr>
        <w:t xml:space="preserve">  [34_train_test_gap.png]</w:t>
      </w:r>
    </w:p>
    <w:p>
      <w:pPr>
        <w:jc w:val="center"/>
      </w:pPr>
      <w:r>
        <w:drawing>
          <wp:inline xmlns:a="http://schemas.openxmlformats.org/drawingml/2006/main" xmlns:pic="http://schemas.openxmlformats.org/drawingml/2006/picture">
            <wp:extent cx="5760720" cy="3084985"/>
            <wp:docPr id="8" name="Picture 8"/>
            <wp:cNvGraphicFramePr>
              <a:graphicFrameLocks noChangeAspect="1"/>
            </wp:cNvGraphicFramePr>
            <a:graphic>
              <a:graphicData uri="http://schemas.openxmlformats.org/drawingml/2006/picture">
                <pic:pic>
                  <pic:nvPicPr>
                    <pic:cNvPr id="0" name="32_learning_curves.png"/>
                    <pic:cNvPicPr/>
                  </pic:nvPicPr>
                  <pic:blipFill>
                    <a:blip r:embed="rId16"/>
                    <a:stretch>
                      <a:fillRect/>
                    </a:stretch>
                  </pic:blipFill>
                  <pic:spPr>
                    <a:xfrm>
                      <a:off x="0" y="0"/>
                      <a:ext cx="5760720" cy="3084985"/>
                    </a:xfrm>
                    <a:prstGeom prst="rect"/>
                  </pic:spPr>
                </pic:pic>
              </a:graphicData>
            </a:graphic>
          </wp:inline>
        </w:drawing>
      </w:r>
    </w:p>
    <w:p>
      <w:pPr>
        <w:jc w:val="center"/>
      </w:pPr>
      <w:r>
        <w:rPr>
          <w:i/>
          <w:color w:val="555555"/>
          <w:sz w:val="18"/>
        </w:rPr>
        <w:t>Figure 8. Learning curves under expanding-window validation.</w:t>
      </w:r>
      <w:r>
        <w:rPr>
          <w:color w:val="555555"/>
          <w:sz w:val="15"/>
        </w:rPr>
        <w:t xml:space="preserve">  [32_learning_curves.png]</w:t>
      </w:r>
    </w:p>
    <w:p>
      <w:pPr>
        <w:jc w:val="both"/>
      </w:pPr>
      <w:r>
        <w:rPr>
          <w:b w:val="0"/>
          <w:i w:val="0"/>
          <w:sz w:val="21"/>
        </w:rPr>
        <w:t>The unconstrained tree ensembles fit the training period almost exactly, which is why test performance rather than training performance decides the selection. The learning curve is still falling at the full training size, which says the models are data-limited rather than capacity-limited: more historical record would help more than a larger model would.</w:t>
      </w:r>
    </w:p>
    <w:p>
      <w:pPr>
        <w:pStyle w:val="Heading2"/>
      </w:pPr>
      <w:r>
        <w:rPr>
          <w:color w:val="0B3C5D"/>
        </w:rPr>
        <w:t>3.5 Residual analysis</w:t>
      </w:r>
    </w:p>
    <w:p>
      <w:pPr>
        <w:jc w:val="center"/>
      </w:pPr>
      <w:r>
        <w:drawing>
          <wp:inline xmlns:a="http://schemas.openxmlformats.org/drawingml/2006/main" xmlns:pic="http://schemas.openxmlformats.org/drawingml/2006/picture">
            <wp:extent cx="5760720" cy="3547110"/>
            <wp:docPr id="9" name="Picture 9"/>
            <wp:cNvGraphicFramePr>
              <a:graphicFrameLocks noChangeAspect="1"/>
            </wp:cNvGraphicFramePr>
            <a:graphic>
              <a:graphicData uri="http://schemas.openxmlformats.org/drawingml/2006/picture">
                <pic:pic>
                  <pic:nvPicPr>
                    <pic:cNvPr id="0" name="31_residual_analysis.png"/>
                    <pic:cNvPicPr/>
                  </pic:nvPicPr>
                  <pic:blipFill>
                    <a:blip r:embed="rId17"/>
                    <a:stretch>
                      <a:fillRect/>
                    </a:stretch>
                  </pic:blipFill>
                  <pic:spPr>
                    <a:xfrm>
                      <a:off x="0" y="0"/>
                      <a:ext cx="5760720" cy="3547110"/>
                    </a:xfrm>
                    <a:prstGeom prst="rect"/>
                  </pic:spPr>
                </pic:pic>
              </a:graphicData>
            </a:graphic>
          </wp:inline>
        </w:drawing>
      </w:r>
    </w:p>
    <w:p>
      <w:pPr>
        <w:jc w:val="center"/>
      </w:pPr>
      <w:r>
        <w:rPr>
          <w:i/>
          <w:color w:val="555555"/>
          <w:sz w:val="18"/>
        </w:rPr>
        <w:t>Figure 9. Residual diagnostics for the selected regressor.</w:t>
      </w:r>
      <w:r>
        <w:rPr>
          <w:color w:val="555555"/>
          <w:sz w:val="15"/>
        </w:rPr>
        <w:t xml:space="preserve">  [31_residual_analysis.png]</w:t>
      </w:r>
    </w:p>
    <w:p>
      <w:r>
        <w:rPr>
          <w:b/>
          <w:color w:val="0B3C5D"/>
          <w:sz w:val="19"/>
        </w:rPr>
        <w:t>Table 13. Regression error by observed severity band</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2041"/>
          </w:tcPr>
          <w:p>
            <w:r>
              <w:rPr>
                <w:b/>
                <w:sz w:val="17"/>
              </w:rPr>
              <w:t>Observed band</w:t>
            </w:r>
          </w:p>
        </w:tc>
        <w:tc>
          <w:tcPr>
            <w:tcW w:type="dxa" w:w="1587"/>
          </w:tcPr>
          <w:p>
            <w:r>
              <w:rPr>
                <w:b/>
                <w:sz w:val="17"/>
              </w:rPr>
              <w:t>n</w:t>
            </w:r>
          </w:p>
        </w:tc>
        <w:tc>
          <w:tcPr>
            <w:tcW w:type="dxa" w:w="1701"/>
          </w:tcPr>
          <w:p>
            <w:r>
              <w:rPr>
                <w:b/>
                <w:sz w:val="17"/>
              </w:rPr>
              <w:t>MAE</w:t>
            </w:r>
          </w:p>
        </w:tc>
        <w:tc>
          <w:tcPr>
            <w:tcW w:type="dxa" w:w="1701"/>
          </w:tcPr>
          <w:p>
            <w:r>
              <w:rPr>
                <w:b/>
                <w:sz w:val="17"/>
              </w:rPr>
              <w:t>Bias</w:t>
            </w:r>
          </w:p>
        </w:tc>
        <w:tc>
          <w:tcPr>
            <w:tcW w:type="dxa" w:w="2041"/>
          </w:tcPr>
          <w:p>
            <w:r>
              <w:rPr>
                <w:b/>
                <w:sz w:val="17"/>
              </w:rPr>
              <w:t>Mean observed AQI</w:t>
            </w:r>
          </w:p>
        </w:tc>
      </w:tr>
      <w:tr>
        <w:tc>
          <w:tcPr>
            <w:tcW w:type="dxa" w:w="2041"/>
          </w:tcPr>
          <w:p>
            <w:r>
              <w:rPr>
                <w:sz w:val="17"/>
              </w:rPr>
              <w:t>Good</w:t>
            </w:r>
          </w:p>
        </w:tc>
        <w:tc>
          <w:tcPr>
            <w:tcW w:type="dxa" w:w="1587"/>
          </w:tcPr>
          <w:p>
            <w:r>
              <w:rPr>
                <w:sz w:val="17"/>
              </w:rPr>
              <w:t>424</w:t>
            </w:r>
          </w:p>
        </w:tc>
        <w:tc>
          <w:tcPr>
            <w:tcW w:type="dxa" w:w="1701"/>
          </w:tcPr>
          <w:p>
            <w:r>
              <w:rPr>
                <w:sz w:val="17"/>
              </w:rPr>
              <w:t>10.19</w:t>
            </w:r>
          </w:p>
        </w:tc>
        <w:tc>
          <w:tcPr>
            <w:tcW w:type="dxa" w:w="1701"/>
          </w:tcPr>
          <w:p>
            <w:r>
              <w:rPr>
                <w:sz w:val="17"/>
              </w:rPr>
              <w:t>+9.67</w:t>
            </w:r>
          </w:p>
        </w:tc>
        <w:tc>
          <w:tcPr>
            <w:tcW w:type="dxa" w:w="2041"/>
          </w:tcPr>
          <w:p>
            <w:r>
              <w:rPr>
                <w:sz w:val="17"/>
              </w:rPr>
              <w:t>43.2</w:t>
            </w:r>
          </w:p>
        </w:tc>
      </w:tr>
      <w:tr>
        <w:tc>
          <w:tcPr>
            <w:tcW w:type="dxa" w:w="2041"/>
          </w:tcPr>
          <w:p>
            <w:r>
              <w:rPr>
                <w:sz w:val="17"/>
              </w:rPr>
              <w:t>Satisfactory</w:t>
            </w:r>
          </w:p>
        </w:tc>
        <w:tc>
          <w:tcPr>
            <w:tcW w:type="dxa" w:w="1587"/>
          </w:tcPr>
          <w:p>
            <w:r>
              <w:rPr>
                <w:sz w:val="17"/>
              </w:rPr>
              <w:t>2,189</w:t>
            </w:r>
          </w:p>
        </w:tc>
        <w:tc>
          <w:tcPr>
            <w:tcW w:type="dxa" w:w="1701"/>
          </w:tcPr>
          <w:p>
            <w:r>
              <w:rPr>
                <w:sz w:val="17"/>
              </w:rPr>
              <w:t>10.11</w:t>
            </w:r>
          </w:p>
        </w:tc>
        <w:tc>
          <w:tcPr>
            <w:tcW w:type="dxa" w:w="1701"/>
          </w:tcPr>
          <w:p>
            <w:r>
              <w:rPr>
                <w:sz w:val="17"/>
              </w:rPr>
              <w:t>+5.67</w:t>
            </w:r>
          </w:p>
        </w:tc>
        <w:tc>
          <w:tcPr>
            <w:tcW w:type="dxa" w:w="2041"/>
          </w:tcPr>
          <w:p>
            <w:r>
              <w:rPr>
                <w:sz w:val="17"/>
              </w:rPr>
              <w:t>74.1</w:t>
            </w:r>
          </w:p>
        </w:tc>
      </w:tr>
      <w:tr>
        <w:tc>
          <w:tcPr>
            <w:tcW w:type="dxa" w:w="2041"/>
          </w:tcPr>
          <w:p>
            <w:r>
              <w:rPr>
                <w:sz w:val="17"/>
              </w:rPr>
              <w:t>Moderate</w:t>
            </w:r>
          </w:p>
        </w:tc>
        <w:tc>
          <w:tcPr>
            <w:tcW w:type="dxa" w:w="1587"/>
          </w:tcPr>
          <w:p>
            <w:r>
              <w:rPr>
                <w:sz w:val="17"/>
              </w:rPr>
              <w:t>1,261</w:t>
            </w:r>
          </w:p>
        </w:tc>
        <w:tc>
          <w:tcPr>
            <w:tcW w:type="dxa" w:w="1701"/>
          </w:tcPr>
          <w:p>
            <w:r>
              <w:rPr>
                <w:sz w:val="17"/>
              </w:rPr>
              <w:t>19.20</w:t>
            </w:r>
          </w:p>
        </w:tc>
        <w:tc>
          <w:tcPr>
            <w:tcW w:type="dxa" w:w="1701"/>
          </w:tcPr>
          <w:p>
            <w:r>
              <w:rPr>
                <w:sz w:val="17"/>
              </w:rPr>
              <w:t>+0.56</w:t>
            </w:r>
          </w:p>
        </w:tc>
        <w:tc>
          <w:tcPr>
            <w:tcW w:type="dxa" w:w="2041"/>
          </w:tcPr>
          <w:p>
            <w:r>
              <w:rPr>
                <w:sz w:val="17"/>
              </w:rPr>
              <w:t>134.7</w:t>
            </w:r>
          </w:p>
        </w:tc>
      </w:tr>
      <w:tr>
        <w:tc>
          <w:tcPr>
            <w:tcW w:type="dxa" w:w="2041"/>
          </w:tcPr>
          <w:p>
            <w:r>
              <w:rPr>
                <w:sz w:val="17"/>
              </w:rPr>
              <w:t>Poor</w:t>
            </w:r>
          </w:p>
        </w:tc>
        <w:tc>
          <w:tcPr>
            <w:tcW w:type="dxa" w:w="1587"/>
          </w:tcPr>
          <w:p>
            <w:r>
              <w:rPr>
                <w:sz w:val="17"/>
              </w:rPr>
              <w:t>313</w:t>
            </w:r>
          </w:p>
        </w:tc>
        <w:tc>
          <w:tcPr>
            <w:tcW w:type="dxa" w:w="1701"/>
          </w:tcPr>
          <w:p>
            <w:r>
              <w:rPr>
                <w:sz w:val="17"/>
              </w:rPr>
              <w:t>28.37</w:t>
            </w:r>
          </w:p>
        </w:tc>
        <w:tc>
          <w:tcPr>
            <w:tcW w:type="dxa" w:w="1701"/>
          </w:tcPr>
          <w:p>
            <w:r>
              <w:rPr>
                <w:sz w:val="17"/>
              </w:rPr>
              <w:t>-6.02</w:t>
            </w:r>
          </w:p>
        </w:tc>
        <w:tc>
          <w:tcPr>
            <w:tcW w:type="dxa" w:w="2041"/>
          </w:tcPr>
          <w:p>
            <w:r>
              <w:rPr>
                <w:sz w:val="17"/>
              </w:rPr>
              <w:t>246.6</w:t>
            </w:r>
          </w:p>
        </w:tc>
      </w:tr>
      <w:tr>
        <w:tc>
          <w:tcPr>
            <w:tcW w:type="dxa" w:w="2041"/>
          </w:tcPr>
          <w:p>
            <w:r>
              <w:rPr>
                <w:sz w:val="17"/>
              </w:rPr>
              <w:t>Very Poor</w:t>
            </w:r>
          </w:p>
        </w:tc>
        <w:tc>
          <w:tcPr>
            <w:tcW w:type="dxa" w:w="1587"/>
          </w:tcPr>
          <w:p>
            <w:r>
              <w:rPr>
                <w:sz w:val="17"/>
              </w:rPr>
              <w:t>166</w:t>
            </w:r>
          </w:p>
        </w:tc>
        <w:tc>
          <w:tcPr>
            <w:tcW w:type="dxa" w:w="1701"/>
          </w:tcPr>
          <w:p>
            <w:r>
              <w:rPr>
                <w:sz w:val="17"/>
              </w:rPr>
              <w:t>25.80</w:t>
            </w:r>
          </w:p>
        </w:tc>
        <w:tc>
          <w:tcPr>
            <w:tcW w:type="dxa" w:w="1701"/>
          </w:tcPr>
          <w:p>
            <w:r>
              <w:rPr>
                <w:sz w:val="17"/>
              </w:rPr>
              <w:t>-12.34</w:t>
            </w:r>
          </w:p>
        </w:tc>
        <w:tc>
          <w:tcPr>
            <w:tcW w:type="dxa" w:w="2041"/>
          </w:tcPr>
          <w:p>
            <w:r>
              <w:rPr>
                <w:sz w:val="17"/>
              </w:rPr>
              <w:t>339.7</w:t>
            </w:r>
          </w:p>
        </w:tc>
      </w:tr>
      <w:tr>
        <w:tc>
          <w:tcPr>
            <w:tcW w:type="dxa" w:w="2041"/>
          </w:tcPr>
          <w:p>
            <w:r>
              <w:rPr>
                <w:sz w:val="17"/>
              </w:rPr>
              <w:t>Severe</w:t>
            </w:r>
          </w:p>
        </w:tc>
        <w:tc>
          <w:tcPr>
            <w:tcW w:type="dxa" w:w="1587"/>
          </w:tcPr>
          <w:p>
            <w:r>
              <w:rPr>
                <w:sz w:val="17"/>
              </w:rPr>
              <w:t>44</w:t>
            </w:r>
          </w:p>
        </w:tc>
        <w:tc>
          <w:tcPr>
            <w:tcW w:type="dxa" w:w="1701"/>
          </w:tcPr>
          <w:p>
            <w:r>
              <w:rPr>
                <w:sz w:val="17"/>
              </w:rPr>
              <w:t>58.80</w:t>
            </w:r>
          </w:p>
        </w:tc>
        <w:tc>
          <w:tcPr>
            <w:tcW w:type="dxa" w:w="1701"/>
          </w:tcPr>
          <w:p>
            <w:r>
              <w:rPr>
                <w:sz w:val="17"/>
              </w:rPr>
              <w:t>-22.58</w:t>
            </w:r>
          </w:p>
        </w:tc>
        <w:tc>
          <w:tcPr>
            <w:tcW w:type="dxa" w:w="2041"/>
          </w:tcPr>
          <w:p>
            <w:r>
              <w:rPr>
                <w:sz w:val="17"/>
              </w:rPr>
              <w:t>471.0</w:t>
            </w:r>
          </w:p>
        </w:tc>
      </w:tr>
    </w:tbl>
    <w:p/>
    <w:p>
      <w:pPr>
        <w:jc w:val="both"/>
      </w:pPr>
      <w:r>
        <w:rPr>
          <w:b/>
          <w:i w:val="0"/>
          <w:sz w:val="21"/>
        </w:rPr>
        <w:t>Residual bias turns negative in the upper bands, meaning the model under-predicts the most severe days. This is the expected consequence of fitting a squared or absolute loss on a right-skewed target: the optimiser buys accuracy on the many ordinary days at the cost of the few extreme ones. It is stated plainly because it is precisely the regime in which an advisory system must not be over-confident, and it is the reason the deployed application presents the predicted band with its classification confidence rather than the point estimate alone.</w:t>
      </w:r>
    </w:p>
    <w:p>
      <w:pPr>
        <w:pStyle w:val="Heading2"/>
      </w:pPr>
      <w:r>
        <w:rPr>
          <w:color w:val="0B3C5D"/>
        </w:rPr>
        <w:t>3.6 Per-city error breakdown</w:t>
      </w:r>
    </w:p>
    <w:p>
      <w:pPr>
        <w:jc w:val="center"/>
      </w:pPr>
      <w:r>
        <w:drawing>
          <wp:inline xmlns:a="http://schemas.openxmlformats.org/drawingml/2006/main" xmlns:pic="http://schemas.openxmlformats.org/drawingml/2006/picture">
            <wp:extent cx="5760720" cy="2402587"/>
            <wp:docPr id="10" name="Picture 10"/>
            <wp:cNvGraphicFramePr>
              <a:graphicFrameLocks noChangeAspect="1"/>
            </wp:cNvGraphicFramePr>
            <a:graphic>
              <a:graphicData uri="http://schemas.openxmlformats.org/drawingml/2006/picture">
                <pic:pic>
                  <pic:nvPicPr>
                    <pic:cNvPr id="0" name="33_per_city_error.png"/>
                    <pic:cNvPicPr/>
                  </pic:nvPicPr>
                  <pic:blipFill>
                    <a:blip r:embed="rId18"/>
                    <a:stretch>
                      <a:fillRect/>
                    </a:stretch>
                  </pic:blipFill>
                  <pic:spPr>
                    <a:xfrm>
                      <a:off x="0" y="0"/>
                      <a:ext cx="5760720" cy="2402587"/>
                    </a:xfrm>
                    <a:prstGeom prst="rect"/>
                  </pic:spPr>
                </pic:pic>
              </a:graphicData>
            </a:graphic>
          </wp:inline>
        </w:drawing>
      </w:r>
    </w:p>
    <w:p>
      <w:pPr>
        <w:jc w:val="center"/>
      </w:pPr>
      <w:r>
        <w:rPr>
          <w:i/>
          <w:color w:val="555555"/>
          <w:sz w:val="18"/>
        </w:rPr>
        <w:t>Figure 10. Error broken down by city for both tasks, against the pooled figure.</w:t>
      </w:r>
      <w:r>
        <w:rPr>
          <w:color w:val="555555"/>
          <w:sz w:val="15"/>
        </w:rPr>
        <w:t xml:space="preserve">  [33_per_city_error.png]</w:t>
      </w:r>
    </w:p>
    <w:p>
      <w:r>
        <w:rPr>
          <w:b/>
          <w:color w:val="0B3C5D"/>
          <w:sz w:val="19"/>
        </w:rPr>
        <w:t>Table 14. Per-city regression error for LightGBM</w:t>
      </w:r>
    </w:p>
    <w:tbl>
      <w:tblPr>
        <w:tblStyle w:val="LightGrid-Accent1"/>
        <w:tblW w:type="auto" w:w="0"/>
        <w:tblLayout w:type="fixed"/>
        <w:tblLook w:firstColumn="1" w:firstRow="1" w:lastColumn="0" w:lastRow="0" w:noHBand="0" w:noVBand="1" w:val="04A0"/>
      </w:tblPr>
      <w:tblGrid>
        <w:gridCol w:w="1605"/>
        <w:gridCol w:w="1605"/>
        <w:gridCol w:w="1605"/>
        <w:gridCol w:w="1605"/>
        <w:gridCol w:w="1605"/>
        <w:gridCol w:w="1605"/>
      </w:tblGrid>
      <w:tr>
        <w:tc>
          <w:tcPr>
            <w:tcW w:type="dxa" w:w="1928"/>
          </w:tcPr>
          <w:p>
            <w:r>
              <w:rPr>
                <w:b/>
                <w:sz w:val="16"/>
              </w:rPr>
              <w:t>City</w:t>
            </w:r>
          </w:p>
        </w:tc>
        <w:tc>
          <w:tcPr>
            <w:tcW w:type="dxa" w:w="1361"/>
          </w:tcPr>
          <w:p>
            <w:r>
              <w:rPr>
                <w:b/>
                <w:sz w:val="16"/>
              </w:rPr>
              <w:t>n</w:t>
            </w:r>
          </w:p>
        </w:tc>
        <w:tc>
          <w:tcPr>
            <w:tcW w:type="dxa" w:w="1474"/>
          </w:tcPr>
          <w:p>
            <w:r>
              <w:rPr>
                <w:b/>
                <w:sz w:val="16"/>
              </w:rPr>
              <w:t>MAE</w:t>
            </w:r>
          </w:p>
        </w:tc>
        <w:tc>
          <w:tcPr>
            <w:tcW w:type="dxa" w:w="1474"/>
          </w:tcPr>
          <w:p>
            <w:r>
              <w:rPr>
                <w:b/>
                <w:sz w:val="16"/>
              </w:rPr>
              <w:t>RMSE</w:t>
            </w:r>
          </w:p>
        </w:tc>
        <w:tc>
          <w:tcPr>
            <w:tcW w:type="dxa" w:w="1474"/>
          </w:tcPr>
          <w:p>
            <w:r>
              <w:rPr>
                <w:b/>
                <w:sz w:val="16"/>
              </w:rPr>
              <w:t>R-squared</w:t>
            </w:r>
          </w:p>
        </w:tc>
        <w:tc>
          <w:tcPr>
            <w:tcW w:type="dxa" w:w="1361"/>
          </w:tcPr>
          <w:p>
            <w:r>
              <w:rPr>
                <w:b/>
                <w:sz w:val="16"/>
              </w:rPr>
              <w:t>Bias</w:t>
            </w:r>
          </w:p>
        </w:tc>
      </w:tr>
      <w:tr>
        <w:tc>
          <w:tcPr>
            <w:tcW w:type="dxa" w:w="1928"/>
          </w:tcPr>
          <w:p>
            <w:r>
              <w:rPr>
                <w:sz w:val="16"/>
              </w:rPr>
              <w:t>Bengaluru</w:t>
            </w:r>
          </w:p>
        </w:tc>
        <w:tc>
          <w:tcPr>
            <w:tcW w:type="dxa" w:w="1361"/>
          </w:tcPr>
          <w:p>
            <w:r>
              <w:rPr>
                <w:sz w:val="16"/>
              </w:rPr>
              <w:t>402</w:t>
            </w:r>
          </w:p>
        </w:tc>
        <w:tc>
          <w:tcPr>
            <w:tcW w:type="dxa" w:w="1474"/>
          </w:tcPr>
          <w:p>
            <w:r>
              <w:rPr>
                <w:sz w:val="16"/>
              </w:rPr>
              <w:t>6.70</w:t>
            </w:r>
          </w:p>
        </w:tc>
        <w:tc>
          <w:tcPr>
            <w:tcW w:type="dxa" w:w="1474"/>
          </w:tcPr>
          <w:p>
            <w:r>
              <w:rPr>
                <w:sz w:val="16"/>
              </w:rPr>
              <w:t>9.09</w:t>
            </w:r>
          </w:p>
        </w:tc>
        <w:tc>
          <w:tcPr>
            <w:tcW w:type="dxa" w:w="1474"/>
          </w:tcPr>
          <w:p>
            <w:r>
              <w:rPr>
                <w:sz w:val="16"/>
              </w:rPr>
              <w:t>0.785</w:t>
            </w:r>
          </w:p>
        </w:tc>
        <w:tc>
          <w:tcPr>
            <w:tcW w:type="dxa" w:w="1361"/>
          </w:tcPr>
          <w:p>
            <w:r>
              <w:rPr>
                <w:sz w:val="16"/>
              </w:rPr>
              <w:t>+0.68</w:t>
            </w:r>
          </w:p>
        </w:tc>
      </w:tr>
      <w:tr>
        <w:tc>
          <w:tcPr>
            <w:tcW w:type="dxa" w:w="1928"/>
          </w:tcPr>
          <w:p>
            <w:r>
              <w:rPr>
                <w:sz w:val="16"/>
              </w:rPr>
              <w:t>Hyderabad</w:t>
            </w:r>
          </w:p>
        </w:tc>
        <w:tc>
          <w:tcPr>
            <w:tcW w:type="dxa" w:w="1361"/>
          </w:tcPr>
          <w:p>
            <w:r>
              <w:rPr>
                <w:sz w:val="16"/>
              </w:rPr>
              <w:t>402</w:t>
            </w:r>
          </w:p>
        </w:tc>
        <w:tc>
          <w:tcPr>
            <w:tcW w:type="dxa" w:w="1474"/>
          </w:tcPr>
          <w:p>
            <w:r>
              <w:rPr>
                <w:sz w:val="16"/>
              </w:rPr>
              <w:t>7.94</w:t>
            </w:r>
          </w:p>
        </w:tc>
        <w:tc>
          <w:tcPr>
            <w:tcW w:type="dxa" w:w="1474"/>
          </w:tcPr>
          <w:p>
            <w:r>
              <w:rPr>
                <w:sz w:val="16"/>
              </w:rPr>
              <w:t>10.61</w:t>
            </w:r>
          </w:p>
        </w:tc>
        <w:tc>
          <w:tcPr>
            <w:tcW w:type="dxa" w:w="1474"/>
          </w:tcPr>
          <w:p>
            <w:r>
              <w:rPr>
                <w:sz w:val="16"/>
              </w:rPr>
              <w:t>0.908</w:t>
            </w:r>
          </w:p>
        </w:tc>
        <w:tc>
          <w:tcPr>
            <w:tcW w:type="dxa" w:w="1361"/>
          </w:tcPr>
          <w:p>
            <w:r>
              <w:rPr>
                <w:sz w:val="16"/>
              </w:rPr>
              <w:t>+2.31</w:t>
            </w:r>
          </w:p>
        </w:tc>
      </w:tr>
      <w:tr>
        <w:tc>
          <w:tcPr>
            <w:tcW w:type="dxa" w:w="1928"/>
          </w:tcPr>
          <w:p>
            <w:r>
              <w:rPr>
                <w:sz w:val="16"/>
              </w:rPr>
              <w:t>Thiruvananthapuram</w:t>
            </w:r>
          </w:p>
        </w:tc>
        <w:tc>
          <w:tcPr>
            <w:tcW w:type="dxa" w:w="1361"/>
          </w:tcPr>
          <w:p>
            <w:r>
              <w:rPr>
                <w:sz w:val="16"/>
              </w:rPr>
              <w:t>350</w:t>
            </w:r>
          </w:p>
        </w:tc>
        <w:tc>
          <w:tcPr>
            <w:tcW w:type="dxa" w:w="1474"/>
          </w:tcPr>
          <w:p>
            <w:r>
              <w:rPr>
                <w:sz w:val="16"/>
              </w:rPr>
              <w:t>8.71</w:t>
            </w:r>
          </w:p>
        </w:tc>
        <w:tc>
          <w:tcPr>
            <w:tcW w:type="dxa" w:w="1474"/>
          </w:tcPr>
          <w:p>
            <w:r>
              <w:rPr>
                <w:sz w:val="16"/>
              </w:rPr>
              <w:t>15.47</w:t>
            </w:r>
          </w:p>
        </w:tc>
        <w:tc>
          <w:tcPr>
            <w:tcW w:type="dxa" w:w="1474"/>
          </w:tcPr>
          <w:p>
            <w:r>
              <w:rPr>
                <w:sz w:val="16"/>
              </w:rPr>
              <w:t>0.442</w:t>
            </w:r>
          </w:p>
        </w:tc>
        <w:tc>
          <w:tcPr>
            <w:tcW w:type="dxa" w:w="1361"/>
          </w:tcPr>
          <w:p>
            <w:r>
              <w:rPr>
                <w:sz w:val="16"/>
              </w:rPr>
              <w:t>+2.55</w:t>
            </w:r>
          </w:p>
        </w:tc>
      </w:tr>
      <w:tr>
        <w:tc>
          <w:tcPr>
            <w:tcW w:type="dxa" w:w="1928"/>
          </w:tcPr>
          <w:p>
            <w:r>
              <w:rPr>
                <w:sz w:val="16"/>
              </w:rPr>
              <w:t>Amaravati</w:t>
            </w:r>
          </w:p>
        </w:tc>
        <w:tc>
          <w:tcPr>
            <w:tcW w:type="dxa" w:w="1361"/>
          </w:tcPr>
          <w:p>
            <w:r>
              <w:rPr>
                <w:sz w:val="16"/>
              </w:rPr>
              <w:t>306</w:t>
            </w:r>
          </w:p>
        </w:tc>
        <w:tc>
          <w:tcPr>
            <w:tcW w:type="dxa" w:w="1474"/>
          </w:tcPr>
          <w:p>
            <w:r>
              <w:rPr>
                <w:sz w:val="16"/>
              </w:rPr>
              <w:t>11.57</w:t>
            </w:r>
          </w:p>
        </w:tc>
        <w:tc>
          <w:tcPr>
            <w:tcW w:type="dxa" w:w="1474"/>
          </w:tcPr>
          <w:p>
            <w:r>
              <w:rPr>
                <w:sz w:val="16"/>
              </w:rPr>
              <w:t>15.02</w:t>
            </w:r>
          </w:p>
        </w:tc>
        <w:tc>
          <w:tcPr>
            <w:tcW w:type="dxa" w:w="1474"/>
          </w:tcPr>
          <w:p>
            <w:r>
              <w:rPr>
                <w:sz w:val="16"/>
              </w:rPr>
              <w:t>0.823</w:t>
            </w:r>
          </w:p>
        </w:tc>
        <w:tc>
          <w:tcPr>
            <w:tcW w:type="dxa" w:w="1361"/>
          </w:tcPr>
          <w:p>
            <w:r>
              <w:rPr>
                <w:sz w:val="16"/>
              </w:rPr>
              <w:t>+4.54</w:t>
            </w:r>
          </w:p>
        </w:tc>
      </w:tr>
      <w:tr>
        <w:tc>
          <w:tcPr>
            <w:tcW w:type="dxa" w:w="1928"/>
          </w:tcPr>
          <w:p>
            <w:r>
              <w:rPr>
                <w:sz w:val="16"/>
              </w:rPr>
              <w:t>Jaipur</w:t>
            </w:r>
          </w:p>
        </w:tc>
        <w:tc>
          <w:tcPr>
            <w:tcW w:type="dxa" w:w="1361"/>
          </w:tcPr>
          <w:p>
            <w:r>
              <w:rPr>
                <w:sz w:val="16"/>
              </w:rPr>
              <w:t>402</w:t>
            </w:r>
          </w:p>
        </w:tc>
        <w:tc>
          <w:tcPr>
            <w:tcW w:type="dxa" w:w="1474"/>
          </w:tcPr>
          <w:p>
            <w:r>
              <w:rPr>
                <w:sz w:val="16"/>
              </w:rPr>
              <w:t>12.00</w:t>
            </w:r>
          </w:p>
        </w:tc>
        <w:tc>
          <w:tcPr>
            <w:tcW w:type="dxa" w:w="1474"/>
          </w:tcPr>
          <w:p>
            <w:r>
              <w:rPr>
                <w:sz w:val="16"/>
              </w:rPr>
              <w:t>18.15</w:t>
            </w:r>
          </w:p>
        </w:tc>
        <w:tc>
          <w:tcPr>
            <w:tcW w:type="dxa" w:w="1474"/>
          </w:tcPr>
          <w:p>
            <w:r>
              <w:rPr>
                <w:sz w:val="16"/>
              </w:rPr>
              <w:t>0.782</w:t>
            </w:r>
          </w:p>
        </w:tc>
        <w:tc>
          <w:tcPr>
            <w:tcW w:type="dxa" w:w="1361"/>
          </w:tcPr>
          <w:p>
            <w:r>
              <w:rPr>
                <w:sz w:val="16"/>
              </w:rPr>
              <w:t>+2.15</w:t>
            </w:r>
          </w:p>
        </w:tc>
      </w:tr>
      <w:tr>
        <w:tc>
          <w:tcPr>
            <w:tcW w:type="dxa" w:w="1928"/>
          </w:tcPr>
          <w:p>
            <w:r>
              <w:rPr>
                <w:sz w:val="16"/>
              </w:rPr>
              <w:t>Visakhapatnam</w:t>
            </w:r>
          </w:p>
        </w:tc>
        <w:tc>
          <w:tcPr>
            <w:tcW w:type="dxa" w:w="1361"/>
          </w:tcPr>
          <w:p>
            <w:r>
              <w:rPr>
                <w:sz w:val="16"/>
              </w:rPr>
              <w:t>204</w:t>
            </w:r>
          </w:p>
        </w:tc>
        <w:tc>
          <w:tcPr>
            <w:tcW w:type="dxa" w:w="1474"/>
          </w:tcPr>
          <w:p>
            <w:r>
              <w:rPr>
                <w:sz w:val="16"/>
              </w:rPr>
              <w:t>13.59</w:t>
            </w:r>
          </w:p>
        </w:tc>
        <w:tc>
          <w:tcPr>
            <w:tcW w:type="dxa" w:w="1474"/>
          </w:tcPr>
          <w:p>
            <w:r>
              <w:rPr>
                <w:sz w:val="16"/>
              </w:rPr>
              <w:t>18.05</w:t>
            </w:r>
          </w:p>
        </w:tc>
        <w:tc>
          <w:tcPr>
            <w:tcW w:type="dxa" w:w="1474"/>
          </w:tcPr>
          <w:p>
            <w:r>
              <w:rPr>
                <w:sz w:val="16"/>
              </w:rPr>
              <w:t>0.777</w:t>
            </w:r>
          </w:p>
        </w:tc>
        <w:tc>
          <w:tcPr>
            <w:tcW w:type="dxa" w:w="1361"/>
          </w:tcPr>
          <w:p>
            <w:r>
              <w:rPr>
                <w:sz w:val="16"/>
              </w:rPr>
              <w:t>+2.11</w:t>
            </w:r>
          </w:p>
        </w:tc>
      </w:tr>
      <w:tr>
        <w:tc>
          <w:tcPr>
            <w:tcW w:type="dxa" w:w="1928"/>
          </w:tcPr>
          <w:p>
            <w:r>
              <w:rPr>
                <w:sz w:val="16"/>
              </w:rPr>
              <w:t>Kolkata</w:t>
            </w:r>
          </w:p>
        </w:tc>
        <w:tc>
          <w:tcPr>
            <w:tcW w:type="dxa" w:w="1361"/>
          </w:tcPr>
          <w:p>
            <w:r>
              <w:rPr>
                <w:sz w:val="16"/>
              </w:rPr>
              <w:t>402</w:t>
            </w:r>
          </w:p>
        </w:tc>
        <w:tc>
          <w:tcPr>
            <w:tcW w:type="dxa" w:w="1474"/>
          </w:tcPr>
          <w:p>
            <w:r>
              <w:rPr>
                <w:sz w:val="16"/>
              </w:rPr>
              <w:t>15.15</w:t>
            </w:r>
          </w:p>
        </w:tc>
        <w:tc>
          <w:tcPr>
            <w:tcW w:type="dxa" w:w="1474"/>
          </w:tcPr>
          <w:p>
            <w:r>
              <w:rPr>
                <w:sz w:val="16"/>
              </w:rPr>
              <w:t>20.85</w:t>
            </w:r>
          </w:p>
        </w:tc>
        <w:tc>
          <w:tcPr>
            <w:tcW w:type="dxa" w:w="1474"/>
          </w:tcPr>
          <w:p>
            <w:r>
              <w:rPr>
                <w:sz w:val="16"/>
              </w:rPr>
              <w:t>0.926</w:t>
            </w:r>
          </w:p>
        </w:tc>
        <w:tc>
          <w:tcPr>
            <w:tcW w:type="dxa" w:w="1361"/>
          </w:tcPr>
          <w:p>
            <w:r>
              <w:rPr>
                <w:sz w:val="16"/>
              </w:rPr>
              <w:t>+1.78</w:t>
            </w:r>
          </w:p>
        </w:tc>
      </w:tr>
      <w:tr>
        <w:tc>
          <w:tcPr>
            <w:tcW w:type="dxa" w:w="1928"/>
          </w:tcPr>
          <w:p>
            <w:r>
              <w:rPr>
                <w:sz w:val="16"/>
              </w:rPr>
              <w:t>Chennai</w:t>
            </w:r>
          </w:p>
        </w:tc>
        <w:tc>
          <w:tcPr>
            <w:tcW w:type="dxa" w:w="1361"/>
          </w:tcPr>
          <w:p>
            <w:r>
              <w:rPr>
                <w:sz w:val="16"/>
              </w:rPr>
              <w:t>402</w:t>
            </w:r>
          </w:p>
        </w:tc>
        <w:tc>
          <w:tcPr>
            <w:tcW w:type="dxa" w:w="1474"/>
          </w:tcPr>
          <w:p>
            <w:r>
              <w:rPr>
                <w:sz w:val="16"/>
              </w:rPr>
              <w:t>15.77</w:t>
            </w:r>
          </w:p>
        </w:tc>
        <w:tc>
          <w:tcPr>
            <w:tcW w:type="dxa" w:w="1474"/>
          </w:tcPr>
          <w:p>
            <w:r>
              <w:rPr>
                <w:sz w:val="16"/>
              </w:rPr>
              <w:t>23.80</w:t>
            </w:r>
          </w:p>
        </w:tc>
        <w:tc>
          <w:tcPr>
            <w:tcW w:type="dxa" w:w="1474"/>
          </w:tcPr>
          <w:p>
            <w:r>
              <w:rPr>
                <w:sz w:val="16"/>
              </w:rPr>
              <w:t>0.563</w:t>
            </w:r>
          </w:p>
        </w:tc>
        <w:tc>
          <w:tcPr>
            <w:tcW w:type="dxa" w:w="1361"/>
          </w:tcPr>
          <w:p>
            <w:r>
              <w:rPr>
                <w:sz w:val="16"/>
              </w:rPr>
              <w:t>+1.91</w:t>
            </w:r>
          </w:p>
        </w:tc>
      </w:tr>
      <w:tr>
        <w:tc>
          <w:tcPr>
            <w:tcW w:type="dxa" w:w="1928"/>
          </w:tcPr>
          <w:p>
            <w:r>
              <w:rPr>
                <w:sz w:val="16"/>
              </w:rPr>
              <w:t>Lucknow</w:t>
            </w:r>
          </w:p>
        </w:tc>
        <w:tc>
          <w:tcPr>
            <w:tcW w:type="dxa" w:w="1361"/>
          </w:tcPr>
          <w:p>
            <w:r>
              <w:rPr>
                <w:sz w:val="16"/>
              </w:rPr>
              <w:t>402</w:t>
            </w:r>
          </w:p>
        </w:tc>
        <w:tc>
          <w:tcPr>
            <w:tcW w:type="dxa" w:w="1474"/>
          </w:tcPr>
          <w:p>
            <w:r>
              <w:rPr>
                <w:sz w:val="16"/>
              </w:rPr>
              <w:t>20.07</w:t>
            </w:r>
          </w:p>
        </w:tc>
        <w:tc>
          <w:tcPr>
            <w:tcW w:type="dxa" w:w="1474"/>
          </w:tcPr>
          <w:p>
            <w:r>
              <w:rPr>
                <w:sz w:val="16"/>
              </w:rPr>
              <w:t>27.28</w:t>
            </w:r>
          </w:p>
        </w:tc>
        <w:tc>
          <w:tcPr>
            <w:tcW w:type="dxa" w:w="1474"/>
          </w:tcPr>
          <w:p>
            <w:r>
              <w:rPr>
                <w:sz w:val="16"/>
              </w:rPr>
              <w:t>0.921</w:t>
            </w:r>
          </w:p>
        </w:tc>
        <w:tc>
          <w:tcPr>
            <w:tcW w:type="dxa" w:w="1361"/>
          </w:tcPr>
          <w:p>
            <w:r>
              <w:rPr>
                <w:sz w:val="16"/>
              </w:rPr>
              <w:t>+4.43</w:t>
            </w:r>
          </w:p>
        </w:tc>
      </w:tr>
      <w:tr>
        <w:tc>
          <w:tcPr>
            <w:tcW w:type="dxa" w:w="1928"/>
          </w:tcPr>
          <w:p>
            <w:r>
              <w:rPr>
                <w:sz w:val="16"/>
              </w:rPr>
              <w:t>Amritsar</w:t>
            </w:r>
          </w:p>
        </w:tc>
        <w:tc>
          <w:tcPr>
            <w:tcW w:type="dxa" w:w="1361"/>
          </w:tcPr>
          <w:p>
            <w:r>
              <w:rPr>
                <w:sz w:val="16"/>
              </w:rPr>
              <w:t>336</w:t>
            </w:r>
          </w:p>
        </w:tc>
        <w:tc>
          <w:tcPr>
            <w:tcW w:type="dxa" w:w="1474"/>
          </w:tcPr>
          <w:p>
            <w:r>
              <w:rPr>
                <w:sz w:val="16"/>
              </w:rPr>
              <w:t>21.07</w:t>
            </w:r>
          </w:p>
        </w:tc>
        <w:tc>
          <w:tcPr>
            <w:tcW w:type="dxa" w:w="1474"/>
          </w:tcPr>
          <w:p>
            <w:r>
              <w:rPr>
                <w:sz w:val="16"/>
              </w:rPr>
              <w:t>35.57</w:t>
            </w:r>
          </w:p>
        </w:tc>
        <w:tc>
          <w:tcPr>
            <w:tcW w:type="dxa" w:w="1474"/>
          </w:tcPr>
          <w:p>
            <w:r>
              <w:rPr>
                <w:sz w:val="16"/>
              </w:rPr>
              <w:t>0.705</w:t>
            </w:r>
          </w:p>
        </w:tc>
        <w:tc>
          <w:tcPr>
            <w:tcW w:type="dxa" w:w="1361"/>
          </w:tcPr>
          <w:p>
            <w:r>
              <w:rPr>
                <w:sz w:val="16"/>
              </w:rPr>
              <w:t>+2.65</w:t>
            </w:r>
          </w:p>
        </w:tc>
      </w:tr>
      <w:tr>
        <w:tc>
          <w:tcPr>
            <w:tcW w:type="dxa" w:w="1928"/>
          </w:tcPr>
          <w:p>
            <w:r>
              <w:rPr>
                <w:sz w:val="16"/>
              </w:rPr>
              <w:t>Delhi</w:t>
            </w:r>
          </w:p>
        </w:tc>
        <w:tc>
          <w:tcPr>
            <w:tcW w:type="dxa" w:w="1361"/>
          </w:tcPr>
          <w:p>
            <w:r>
              <w:rPr>
                <w:sz w:val="16"/>
              </w:rPr>
              <w:t>402</w:t>
            </w:r>
          </w:p>
        </w:tc>
        <w:tc>
          <w:tcPr>
            <w:tcW w:type="dxa" w:w="1474"/>
          </w:tcPr>
          <w:p>
            <w:r>
              <w:rPr>
                <w:sz w:val="16"/>
              </w:rPr>
              <w:t>23.08</w:t>
            </w:r>
          </w:p>
        </w:tc>
        <w:tc>
          <w:tcPr>
            <w:tcW w:type="dxa" w:w="1474"/>
          </w:tcPr>
          <w:p>
            <w:r>
              <w:rPr>
                <w:sz w:val="16"/>
              </w:rPr>
              <w:t>32.60</w:t>
            </w:r>
          </w:p>
        </w:tc>
        <w:tc>
          <w:tcPr>
            <w:tcW w:type="dxa" w:w="1474"/>
          </w:tcPr>
          <w:p>
            <w:r>
              <w:rPr>
                <w:sz w:val="16"/>
              </w:rPr>
              <w:t>0.917</w:t>
            </w:r>
          </w:p>
        </w:tc>
        <w:tc>
          <w:tcPr>
            <w:tcW w:type="dxa" w:w="1361"/>
          </w:tcPr>
          <w:p>
            <w:r>
              <w:rPr>
                <w:sz w:val="16"/>
              </w:rPr>
              <w:t>+3.36</w:t>
            </w:r>
          </w:p>
        </w:tc>
      </w:tr>
      <w:tr>
        <w:tc>
          <w:tcPr>
            <w:tcW w:type="dxa" w:w="1928"/>
          </w:tcPr>
          <w:p>
            <w:r>
              <w:rPr>
                <w:sz w:val="16"/>
              </w:rPr>
              <w:t>Gurugram</w:t>
            </w:r>
          </w:p>
        </w:tc>
        <w:tc>
          <w:tcPr>
            <w:tcW w:type="dxa" w:w="1361"/>
          </w:tcPr>
          <w:p>
            <w:r>
              <w:rPr>
                <w:sz w:val="16"/>
              </w:rPr>
              <w:t>387</w:t>
            </w:r>
          </w:p>
        </w:tc>
        <w:tc>
          <w:tcPr>
            <w:tcW w:type="dxa" w:w="1474"/>
          </w:tcPr>
          <w:p>
            <w:r>
              <w:rPr>
                <w:sz w:val="16"/>
              </w:rPr>
              <w:t>24.51</w:t>
            </w:r>
          </w:p>
        </w:tc>
        <w:tc>
          <w:tcPr>
            <w:tcW w:type="dxa" w:w="1474"/>
          </w:tcPr>
          <w:p>
            <w:r>
              <w:rPr>
                <w:sz w:val="16"/>
              </w:rPr>
              <w:t>33.86</w:t>
            </w:r>
          </w:p>
        </w:tc>
        <w:tc>
          <w:tcPr>
            <w:tcW w:type="dxa" w:w="1474"/>
          </w:tcPr>
          <w:p>
            <w:r>
              <w:rPr>
                <w:sz w:val="16"/>
              </w:rPr>
              <w:t>0.888</w:t>
            </w:r>
          </w:p>
        </w:tc>
        <w:tc>
          <w:tcPr>
            <w:tcW w:type="dxa" w:w="1361"/>
          </w:tcPr>
          <w:p>
            <w:r>
              <w:rPr>
                <w:sz w:val="16"/>
              </w:rPr>
              <w:t>+5.15</w:t>
            </w:r>
          </w:p>
        </w:tc>
      </w:tr>
    </w:tbl>
    <w:p/>
    <w:p>
      <w:pPr>
        <w:jc w:val="both"/>
      </w:pPr>
      <w:r>
        <w:rPr>
          <w:b w:val="0"/>
          <w:i w:val="0"/>
          <w:sz w:val="21"/>
        </w:rPr>
        <w:t>The pooled figure conceals a wide spread. Reporting only the national average would hide systematic failure in the cities where the health burden is highest, which is why the breakdown is presented rather than summarised.</w:t>
      </w:r>
    </w:p>
    <w:p>
      <w:pPr>
        <w:pStyle w:val="Heading2"/>
      </w:pPr>
      <w:r>
        <w:rPr>
          <w:color w:val="0B3C5D"/>
        </w:rPr>
        <w:t>3.7 The 2020 stress test</w:t>
      </w:r>
    </w:p>
    <w:p>
      <w:r>
        <w:rPr>
          <w:b/>
          <w:color w:val="0B3C5D"/>
          <w:sz w:val="19"/>
        </w:rPr>
        <w:t>Table 15. Regression error by period, isolating the lockdown as a stress test</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2154"/>
          </w:tcPr>
          <w:p>
            <w:r>
              <w:rPr>
                <w:b/>
                <w:sz w:val="16"/>
              </w:rPr>
              <w:t>Period</w:t>
            </w:r>
          </w:p>
        </w:tc>
        <w:tc>
          <w:tcPr>
            <w:tcW w:type="dxa" w:w="2494"/>
          </w:tcPr>
          <w:p>
            <w:r>
              <w:rPr>
                <w:b/>
                <w:sz w:val="16"/>
              </w:rPr>
              <w:t>Dates</w:t>
            </w:r>
          </w:p>
        </w:tc>
        <w:tc>
          <w:tcPr>
            <w:tcW w:type="dxa" w:w="1361"/>
          </w:tcPr>
          <w:p>
            <w:r>
              <w:rPr>
                <w:b/>
                <w:sz w:val="16"/>
              </w:rPr>
              <w:t>n</w:t>
            </w:r>
          </w:p>
        </w:tc>
        <w:tc>
          <w:tcPr>
            <w:tcW w:type="dxa" w:w="1474"/>
          </w:tcPr>
          <w:p>
            <w:r>
              <w:rPr>
                <w:b/>
                <w:sz w:val="16"/>
              </w:rPr>
              <w:t>MAE</w:t>
            </w:r>
          </w:p>
        </w:tc>
        <w:tc>
          <w:tcPr>
            <w:tcW w:type="dxa" w:w="1587"/>
          </w:tcPr>
          <w:p>
            <w:r>
              <w:rPr>
                <w:b/>
                <w:sz w:val="16"/>
              </w:rPr>
              <w:t>R-squared</w:t>
            </w:r>
          </w:p>
        </w:tc>
      </w:tr>
      <w:tr>
        <w:tc>
          <w:tcPr>
            <w:tcW w:type="dxa" w:w="2154"/>
          </w:tcPr>
          <w:p>
            <w:r>
              <w:rPr>
                <w:sz w:val="16"/>
              </w:rPr>
              <w:t>pre 2020</w:t>
            </w:r>
          </w:p>
        </w:tc>
        <w:tc>
          <w:tcPr>
            <w:tcW w:type="dxa" w:w="2494"/>
          </w:tcPr>
          <w:p>
            <w:r>
              <w:rPr>
                <w:sz w:val="16"/>
              </w:rPr>
              <w:t>2019-05-26 to 2019-12-31</w:t>
            </w:r>
          </w:p>
        </w:tc>
        <w:tc>
          <w:tcPr>
            <w:tcW w:type="dxa" w:w="1361"/>
          </w:tcPr>
          <w:p>
            <w:r>
              <w:rPr>
                <w:sz w:val="16"/>
              </w:rPr>
              <w:t>2,331</w:t>
            </w:r>
          </w:p>
        </w:tc>
        <w:tc>
          <w:tcPr>
            <w:tcW w:type="dxa" w:w="1474"/>
          </w:tcPr>
          <w:p>
            <w:r>
              <w:rPr>
                <w:sz w:val="16"/>
              </w:rPr>
              <w:t>15.73</w:t>
            </w:r>
          </w:p>
        </w:tc>
        <w:tc>
          <w:tcPr>
            <w:tcW w:type="dxa" w:w="1587"/>
          </w:tcPr>
          <w:p>
            <w:r>
              <w:rPr>
                <w:sz w:val="16"/>
              </w:rPr>
              <w:t>0.928</w:t>
            </w:r>
          </w:p>
        </w:tc>
      </w:tr>
      <w:tr>
        <w:tc>
          <w:tcPr>
            <w:tcW w:type="dxa" w:w="2154"/>
          </w:tcPr>
          <w:p>
            <w:r>
              <w:rPr>
                <w:sz w:val="16"/>
              </w:rPr>
              <w:t>2020 before lockdown</w:t>
            </w:r>
          </w:p>
        </w:tc>
        <w:tc>
          <w:tcPr>
            <w:tcW w:type="dxa" w:w="2494"/>
          </w:tcPr>
          <w:p>
            <w:r>
              <w:rPr>
                <w:sz w:val="16"/>
              </w:rPr>
              <w:t>2020-01-01 to 2020-03-24</w:t>
            </w:r>
          </w:p>
        </w:tc>
        <w:tc>
          <w:tcPr>
            <w:tcW w:type="dxa" w:w="1361"/>
          </w:tcPr>
          <w:p>
            <w:r>
              <w:rPr>
                <w:sz w:val="16"/>
              </w:rPr>
              <w:t>927</w:t>
            </w:r>
          </w:p>
        </w:tc>
        <w:tc>
          <w:tcPr>
            <w:tcW w:type="dxa" w:w="1474"/>
          </w:tcPr>
          <w:p>
            <w:r>
              <w:rPr>
                <w:sz w:val="16"/>
              </w:rPr>
              <w:t>17.33</w:t>
            </w:r>
          </w:p>
        </w:tc>
        <w:tc>
          <w:tcPr>
            <w:tcW w:type="dxa" w:w="1587"/>
          </w:tcPr>
          <w:p>
            <w:r>
              <w:rPr>
                <w:sz w:val="16"/>
              </w:rPr>
              <w:t>0.894</w:t>
            </w:r>
          </w:p>
        </w:tc>
      </w:tr>
      <w:tr>
        <w:tc>
          <w:tcPr>
            <w:tcW w:type="dxa" w:w="2154"/>
          </w:tcPr>
          <w:p>
            <w:r>
              <w:rPr>
                <w:sz w:val="16"/>
              </w:rPr>
              <w:t>lockdown stress test</w:t>
            </w:r>
          </w:p>
        </w:tc>
        <w:tc>
          <w:tcPr>
            <w:tcW w:type="dxa" w:w="2494"/>
          </w:tcPr>
          <w:p>
            <w:r>
              <w:rPr>
                <w:sz w:val="16"/>
              </w:rPr>
              <w:t>2020-03-25 to 2020-05-31</w:t>
            </w:r>
          </w:p>
        </w:tc>
        <w:tc>
          <w:tcPr>
            <w:tcW w:type="dxa" w:w="1361"/>
          </w:tcPr>
          <w:p>
            <w:r>
              <w:rPr>
                <w:sz w:val="16"/>
              </w:rPr>
              <w:t>779</w:t>
            </w:r>
          </w:p>
        </w:tc>
        <w:tc>
          <w:tcPr>
            <w:tcW w:type="dxa" w:w="1474"/>
          </w:tcPr>
          <w:p>
            <w:r>
              <w:rPr>
                <w:sz w:val="16"/>
              </w:rPr>
              <w:t>11.48</w:t>
            </w:r>
          </w:p>
        </w:tc>
        <w:tc>
          <w:tcPr>
            <w:tcW w:type="dxa" w:w="1587"/>
          </w:tcPr>
          <w:p>
            <w:r>
              <w:rPr>
                <w:sz w:val="16"/>
              </w:rPr>
              <w:t>0.739</w:t>
            </w:r>
          </w:p>
        </w:tc>
      </w:tr>
      <w:tr>
        <w:tc>
          <w:tcPr>
            <w:tcW w:type="dxa" w:w="2154"/>
          </w:tcPr>
          <w:p>
            <w:r>
              <w:rPr>
                <w:sz w:val="16"/>
              </w:rPr>
              <w:t>post lockdown</w:t>
            </w:r>
          </w:p>
        </w:tc>
        <w:tc>
          <w:tcPr>
            <w:tcW w:type="dxa" w:w="2494"/>
          </w:tcPr>
          <w:p>
            <w:r>
              <w:rPr>
                <w:sz w:val="16"/>
              </w:rPr>
              <w:t>2020-06-01 to 2020-06-30</w:t>
            </w:r>
          </w:p>
        </w:tc>
        <w:tc>
          <w:tcPr>
            <w:tcW w:type="dxa" w:w="1361"/>
          </w:tcPr>
          <w:p>
            <w:r>
              <w:rPr>
                <w:sz w:val="16"/>
              </w:rPr>
              <w:t>360</w:t>
            </w:r>
          </w:p>
        </w:tc>
        <w:tc>
          <w:tcPr>
            <w:tcW w:type="dxa" w:w="1474"/>
          </w:tcPr>
          <w:p>
            <w:r>
              <w:rPr>
                <w:sz w:val="16"/>
              </w:rPr>
              <w:t>13.16</w:t>
            </w:r>
          </w:p>
        </w:tc>
        <w:tc>
          <w:tcPr>
            <w:tcW w:type="dxa" w:w="1587"/>
          </w:tcPr>
          <w:p>
            <w:r>
              <w:rPr>
                <w:sz w:val="16"/>
              </w:rPr>
              <w:t>0.598</w:t>
            </w:r>
          </w:p>
        </w:tc>
      </w:tr>
    </w:tbl>
    <w:p/>
    <w:p>
      <w:pPr>
        <w:jc w:val="both"/>
      </w:pPr>
      <w:r>
        <w:rPr>
          <w:b w:val="0"/>
          <w:i w:val="0"/>
          <w:sz w:val="21"/>
        </w:rPr>
        <w:t>The 2020 lockdown was retained in the test period with an explicit flag rather than excluded. It is a genuine regime change: the exploratory analysis measured a -33.99 per cent change in national mean AQI against the preceding 60 days, significant at the 5 per cent level in 12 of 12 cities. Excluding it would have flattered the headline error by removing the hardest period; reporting it separately shows what a forecasting system does when the world changes.</w:t>
      </w:r>
    </w:p>
    <w:p>
      <w:pPr>
        <w:pStyle w:val="Heading2"/>
      </w:pPr>
      <w:r>
        <w:rPr>
          <w:color w:val="0B3C5D"/>
        </w:rPr>
        <w:t>3.8 Error analysis</w:t>
      </w:r>
    </w:p>
    <w:p>
      <w:pPr>
        <w:jc w:val="center"/>
      </w:pPr>
      <w:r>
        <w:drawing>
          <wp:inline xmlns:a="http://schemas.openxmlformats.org/drawingml/2006/main" xmlns:pic="http://schemas.openxmlformats.org/drawingml/2006/picture">
            <wp:extent cx="5760720" cy="2221136"/>
            <wp:docPr id="11" name="Picture 11"/>
            <wp:cNvGraphicFramePr>
              <a:graphicFrameLocks noChangeAspect="1"/>
            </wp:cNvGraphicFramePr>
            <a:graphic>
              <a:graphicData uri="http://schemas.openxmlformats.org/drawingml/2006/picture">
                <pic:pic>
                  <pic:nvPicPr>
                    <pic:cNvPr id="0" name="35_error_analysis.png"/>
                    <pic:cNvPicPr/>
                  </pic:nvPicPr>
                  <pic:blipFill>
                    <a:blip r:embed="rId19"/>
                    <a:stretch>
                      <a:fillRect/>
                    </a:stretch>
                  </pic:blipFill>
                  <pic:spPr>
                    <a:xfrm>
                      <a:off x="0" y="0"/>
                      <a:ext cx="5760720" cy="2221136"/>
                    </a:xfrm>
                    <a:prstGeom prst="rect"/>
                  </pic:spPr>
                </pic:pic>
              </a:graphicData>
            </a:graphic>
          </wp:inline>
        </w:drawing>
      </w:r>
    </w:p>
    <w:p>
      <w:pPr>
        <w:jc w:val="center"/>
      </w:pPr>
      <w:r>
        <w:rPr>
          <w:i/>
          <w:color w:val="555555"/>
          <w:sz w:val="18"/>
        </w:rPr>
        <w:t>Figure 11. Signed band error and the most frequent misclassification transitions.</w:t>
      </w:r>
      <w:r>
        <w:rPr>
          <w:color w:val="555555"/>
          <w:sz w:val="15"/>
        </w:rPr>
        <w:t xml:space="preserve">  [35_error_analysis.png]</w:t>
      </w:r>
    </w:p>
    <w:p>
      <w:r>
        <w:rPr>
          <w:b/>
          <w:color w:val="0B3C5D"/>
          <w:sz w:val="19"/>
        </w:rPr>
        <w:t>Table 16. Error magnitude, with the health-critical failure mode isolated</w:t>
      </w:r>
    </w:p>
    <w:tbl>
      <w:tblPr>
        <w:tblStyle w:val="LightGrid-Accent1"/>
        <w:tblW w:type="auto" w:w="0"/>
        <w:tblLayout w:type="fixed"/>
        <w:tblLook w:firstColumn="1" w:firstRow="1" w:lastColumn="0" w:lastRow="0" w:noHBand="0" w:noVBand="1" w:val="04A0"/>
      </w:tblPr>
      <w:tblGrid>
        <w:gridCol w:w="4816"/>
        <w:gridCol w:w="4816"/>
      </w:tblGrid>
      <w:tr>
        <w:tc>
          <w:tcPr>
            <w:tcW w:type="dxa" w:w="4535"/>
          </w:tcPr>
          <w:p>
            <w:r>
              <w:rPr>
                <w:b/>
                <w:sz w:val="17"/>
              </w:rPr>
              <w:t>Statistic</w:t>
            </w:r>
          </w:p>
        </w:tc>
        <w:tc>
          <w:tcPr>
            <w:tcW w:type="dxa" w:w="4535"/>
          </w:tcPr>
          <w:p>
            <w:r>
              <w:rPr>
                <w:b/>
                <w:sz w:val="17"/>
              </w:rPr>
              <w:t>Value</w:t>
            </w:r>
          </w:p>
        </w:tc>
      </w:tr>
      <w:tr>
        <w:tc>
          <w:tcPr>
            <w:tcW w:type="dxa" w:w="4535"/>
          </w:tcPr>
          <w:p>
            <w:r>
              <w:rPr>
                <w:sz w:val="17"/>
              </w:rPr>
              <w:t>Test predictions</w:t>
            </w:r>
          </w:p>
        </w:tc>
        <w:tc>
          <w:tcPr>
            <w:tcW w:type="dxa" w:w="4535"/>
          </w:tcPr>
          <w:p>
            <w:r>
              <w:rPr>
                <w:sz w:val="17"/>
              </w:rPr>
              <w:t>4,397</w:t>
            </w:r>
          </w:p>
        </w:tc>
      </w:tr>
      <w:tr>
        <w:tc>
          <w:tcPr>
            <w:tcW w:type="dxa" w:w="4535"/>
          </w:tcPr>
          <w:p>
            <w:r>
              <w:rPr>
                <w:sz w:val="17"/>
              </w:rPr>
              <w:t>Wrong</w:t>
            </w:r>
          </w:p>
        </w:tc>
        <w:tc>
          <w:tcPr>
            <w:tcW w:type="dxa" w:w="4535"/>
          </w:tcPr>
          <w:p>
            <w:r>
              <w:rPr>
                <w:sz w:val="17"/>
              </w:rPr>
              <w:t>975 (22.17%)</w:t>
            </w:r>
          </w:p>
        </w:tc>
      </w:tr>
      <w:tr>
        <w:tc>
          <w:tcPr>
            <w:tcW w:type="dxa" w:w="4535"/>
          </w:tcPr>
          <w:p>
            <w:r>
              <w:rPr>
                <w:sz w:val="17"/>
              </w:rPr>
              <w:t>Wrong by two bands or more</w:t>
            </w:r>
          </w:p>
        </w:tc>
        <w:tc>
          <w:tcPr>
            <w:tcW w:type="dxa" w:w="4535"/>
          </w:tcPr>
          <w:p>
            <w:r>
              <w:rPr>
                <w:sz w:val="17"/>
              </w:rPr>
              <w:t>8 (0.182%)</w:t>
            </w:r>
          </w:p>
        </w:tc>
      </w:tr>
      <w:tr>
        <w:tc>
          <w:tcPr>
            <w:tcW w:type="dxa" w:w="4535"/>
          </w:tcPr>
          <w:p>
            <w:r>
              <w:rPr>
                <w:sz w:val="17"/>
              </w:rPr>
              <w:t>Understating severity by two bands or more</w:t>
            </w:r>
          </w:p>
        </w:tc>
        <w:tc>
          <w:tcPr>
            <w:tcW w:type="dxa" w:w="4535"/>
          </w:tcPr>
          <w:p>
            <w:r>
              <w:rPr>
                <w:sz w:val="17"/>
              </w:rPr>
              <w:t>5 (0.114%)</w:t>
            </w:r>
          </w:p>
        </w:tc>
      </w:tr>
    </w:tbl>
    <w:p/>
    <w:p>
      <w:r>
        <w:rPr>
          <w:b/>
          <w:color w:val="0B3C5D"/>
          <w:sz w:val="19"/>
        </w:rPr>
        <w:t>Table 17. Ten most frequent misclassification transitions</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3061"/>
          </w:tcPr>
          <w:p>
            <w:r>
              <w:rPr>
                <w:b/>
                <w:sz w:val="16"/>
              </w:rPr>
              <w:t>Actual band</w:t>
            </w:r>
          </w:p>
        </w:tc>
        <w:tc>
          <w:tcPr>
            <w:tcW w:type="dxa" w:w="3061"/>
          </w:tcPr>
          <w:p>
            <w:r>
              <w:rPr>
                <w:b/>
                <w:sz w:val="16"/>
              </w:rPr>
              <w:t>Predicted band</w:t>
            </w:r>
          </w:p>
        </w:tc>
        <w:tc>
          <w:tcPr>
            <w:tcW w:type="dxa" w:w="2948"/>
          </w:tcPr>
          <w:p>
            <w:r>
              <w:rPr>
                <w:b/>
                <w:sz w:val="16"/>
              </w:rPr>
              <w:t>Occurrences</w:t>
            </w:r>
          </w:p>
        </w:tc>
      </w:tr>
      <w:tr>
        <w:tc>
          <w:tcPr>
            <w:tcW w:type="dxa" w:w="3061"/>
          </w:tcPr>
          <w:p>
            <w:r>
              <w:rPr>
                <w:sz w:val="16"/>
              </w:rPr>
              <w:t>Satisfactory</w:t>
            </w:r>
          </w:p>
        </w:tc>
        <w:tc>
          <w:tcPr>
            <w:tcW w:type="dxa" w:w="3061"/>
          </w:tcPr>
          <w:p>
            <w:r>
              <w:rPr>
                <w:sz w:val="16"/>
              </w:rPr>
              <w:t>Moderate</w:t>
            </w:r>
          </w:p>
        </w:tc>
        <w:tc>
          <w:tcPr>
            <w:tcW w:type="dxa" w:w="2948"/>
          </w:tcPr>
          <w:p>
            <w:r>
              <w:rPr>
                <w:sz w:val="16"/>
              </w:rPr>
              <w:t>252</w:t>
            </w:r>
          </w:p>
        </w:tc>
      </w:tr>
      <w:tr>
        <w:tc>
          <w:tcPr>
            <w:tcW w:type="dxa" w:w="3061"/>
          </w:tcPr>
          <w:p>
            <w:r>
              <w:rPr>
                <w:sz w:val="16"/>
              </w:rPr>
              <w:t>Moderate</w:t>
            </w:r>
          </w:p>
        </w:tc>
        <w:tc>
          <w:tcPr>
            <w:tcW w:type="dxa" w:w="3061"/>
          </w:tcPr>
          <w:p>
            <w:r>
              <w:rPr>
                <w:sz w:val="16"/>
              </w:rPr>
              <w:t>Satisfactory</w:t>
            </w:r>
          </w:p>
        </w:tc>
        <w:tc>
          <w:tcPr>
            <w:tcW w:type="dxa" w:w="2948"/>
          </w:tcPr>
          <w:p>
            <w:r>
              <w:rPr>
                <w:sz w:val="16"/>
              </w:rPr>
              <w:t>202</w:t>
            </w:r>
          </w:p>
        </w:tc>
      </w:tr>
      <w:tr>
        <w:tc>
          <w:tcPr>
            <w:tcW w:type="dxa" w:w="3061"/>
          </w:tcPr>
          <w:p>
            <w:r>
              <w:rPr>
                <w:sz w:val="16"/>
              </w:rPr>
              <w:t>Satisfactory</w:t>
            </w:r>
          </w:p>
        </w:tc>
        <w:tc>
          <w:tcPr>
            <w:tcW w:type="dxa" w:w="3061"/>
          </w:tcPr>
          <w:p>
            <w:r>
              <w:rPr>
                <w:sz w:val="16"/>
              </w:rPr>
              <w:t>Good</w:t>
            </w:r>
          </w:p>
        </w:tc>
        <w:tc>
          <w:tcPr>
            <w:tcW w:type="dxa" w:w="2948"/>
          </w:tcPr>
          <w:p>
            <w:r>
              <w:rPr>
                <w:sz w:val="16"/>
              </w:rPr>
              <w:t>163</w:t>
            </w:r>
          </w:p>
        </w:tc>
      </w:tr>
      <w:tr>
        <w:tc>
          <w:tcPr>
            <w:tcW w:type="dxa" w:w="3061"/>
          </w:tcPr>
          <w:p>
            <w:r>
              <w:rPr>
                <w:sz w:val="16"/>
              </w:rPr>
              <w:t>Good</w:t>
            </w:r>
          </w:p>
        </w:tc>
        <w:tc>
          <w:tcPr>
            <w:tcW w:type="dxa" w:w="3061"/>
          </w:tcPr>
          <w:p>
            <w:r>
              <w:rPr>
                <w:sz w:val="16"/>
              </w:rPr>
              <w:t>Satisfactory</w:t>
            </w:r>
          </w:p>
        </w:tc>
        <w:tc>
          <w:tcPr>
            <w:tcW w:type="dxa" w:w="2948"/>
          </w:tcPr>
          <w:p>
            <w:r>
              <w:rPr>
                <w:sz w:val="16"/>
              </w:rPr>
              <w:t>127</w:t>
            </w:r>
          </w:p>
        </w:tc>
      </w:tr>
      <w:tr>
        <w:tc>
          <w:tcPr>
            <w:tcW w:type="dxa" w:w="3061"/>
          </w:tcPr>
          <w:p>
            <w:r>
              <w:rPr>
                <w:sz w:val="16"/>
              </w:rPr>
              <w:t>Moderate</w:t>
            </w:r>
          </w:p>
        </w:tc>
        <w:tc>
          <w:tcPr>
            <w:tcW w:type="dxa" w:w="3061"/>
          </w:tcPr>
          <w:p>
            <w:r>
              <w:rPr>
                <w:sz w:val="16"/>
              </w:rPr>
              <w:t>Poor</w:t>
            </w:r>
          </w:p>
        </w:tc>
        <w:tc>
          <w:tcPr>
            <w:tcW w:type="dxa" w:w="2948"/>
          </w:tcPr>
          <w:p>
            <w:r>
              <w:rPr>
                <w:sz w:val="16"/>
              </w:rPr>
              <w:t>85</w:t>
            </w:r>
          </w:p>
        </w:tc>
      </w:tr>
      <w:tr>
        <w:tc>
          <w:tcPr>
            <w:tcW w:type="dxa" w:w="3061"/>
          </w:tcPr>
          <w:p>
            <w:r>
              <w:rPr>
                <w:sz w:val="16"/>
              </w:rPr>
              <w:t>Poor</w:t>
            </w:r>
          </w:p>
        </w:tc>
        <w:tc>
          <w:tcPr>
            <w:tcW w:type="dxa" w:w="3061"/>
          </w:tcPr>
          <w:p>
            <w:r>
              <w:rPr>
                <w:sz w:val="16"/>
              </w:rPr>
              <w:t>Moderate</w:t>
            </w:r>
          </w:p>
        </w:tc>
        <w:tc>
          <w:tcPr>
            <w:tcW w:type="dxa" w:w="2948"/>
          </w:tcPr>
          <w:p>
            <w:r>
              <w:rPr>
                <w:sz w:val="16"/>
              </w:rPr>
              <w:t>50</w:t>
            </w:r>
          </w:p>
        </w:tc>
      </w:tr>
      <w:tr>
        <w:tc>
          <w:tcPr>
            <w:tcW w:type="dxa" w:w="3061"/>
          </w:tcPr>
          <w:p>
            <w:r>
              <w:rPr>
                <w:sz w:val="16"/>
              </w:rPr>
              <w:t>Poor</w:t>
            </w:r>
          </w:p>
        </w:tc>
        <w:tc>
          <w:tcPr>
            <w:tcW w:type="dxa" w:w="3061"/>
          </w:tcPr>
          <w:p>
            <w:r>
              <w:rPr>
                <w:sz w:val="16"/>
              </w:rPr>
              <w:t>Very Poor</w:t>
            </w:r>
          </w:p>
        </w:tc>
        <w:tc>
          <w:tcPr>
            <w:tcW w:type="dxa" w:w="2948"/>
          </w:tcPr>
          <w:p>
            <w:r>
              <w:rPr>
                <w:sz w:val="16"/>
              </w:rPr>
              <w:t>47</w:t>
            </w:r>
          </w:p>
        </w:tc>
      </w:tr>
      <w:tr>
        <w:tc>
          <w:tcPr>
            <w:tcW w:type="dxa" w:w="3061"/>
          </w:tcPr>
          <w:p>
            <w:r>
              <w:rPr>
                <w:sz w:val="16"/>
              </w:rPr>
              <w:t>Very Poor</w:t>
            </w:r>
          </w:p>
        </w:tc>
        <w:tc>
          <w:tcPr>
            <w:tcW w:type="dxa" w:w="3061"/>
          </w:tcPr>
          <w:p>
            <w:r>
              <w:rPr>
                <w:sz w:val="16"/>
              </w:rPr>
              <w:t>Poor</w:t>
            </w:r>
          </w:p>
        </w:tc>
        <w:tc>
          <w:tcPr>
            <w:tcW w:type="dxa" w:w="2948"/>
          </w:tcPr>
          <w:p>
            <w:r>
              <w:rPr>
                <w:sz w:val="16"/>
              </w:rPr>
              <w:t>23</w:t>
            </w:r>
          </w:p>
        </w:tc>
      </w:tr>
      <w:tr>
        <w:tc>
          <w:tcPr>
            <w:tcW w:type="dxa" w:w="3061"/>
          </w:tcPr>
          <w:p>
            <w:r>
              <w:rPr>
                <w:sz w:val="16"/>
              </w:rPr>
              <w:t>Severe</w:t>
            </w:r>
          </w:p>
        </w:tc>
        <w:tc>
          <w:tcPr>
            <w:tcW w:type="dxa" w:w="3061"/>
          </w:tcPr>
          <w:p>
            <w:r>
              <w:rPr>
                <w:sz w:val="16"/>
              </w:rPr>
              <w:t>Very Poor</w:t>
            </w:r>
          </w:p>
        </w:tc>
        <w:tc>
          <w:tcPr>
            <w:tcW w:type="dxa" w:w="2948"/>
          </w:tcPr>
          <w:p>
            <w:r>
              <w:rPr>
                <w:sz w:val="16"/>
              </w:rPr>
              <w:t>13</w:t>
            </w:r>
          </w:p>
        </w:tc>
      </w:tr>
      <w:tr>
        <w:tc>
          <w:tcPr>
            <w:tcW w:type="dxa" w:w="3061"/>
          </w:tcPr>
          <w:p>
            <w:r>
              <w:rPr>
                <w:sz w:val="16"/>
              </w:rPr>
              <w:t>Very Poor</w:t>
            </w:r>
          </w:p>
        </w:tc>
        <w:tc>
          <w:tcPr>
            <w:tcW w:type="dxa" w:w="3061"/>
          </w:tcPr>
          <w:p>
            <w:r>
              <w:rPr>
                <w:sz w:val="16"/>
              </w:rPr>
              <w:t>Severe</w:t>
            </w:r>
          </w:p>
        </w:tc>
        <w:tc>
          <w:tcPr>
            <w:tcW w:type="dxa" w:w="2948"/>
          </w:tcPr>
          <w:p>
            <w:r>
              <w:rPr>
                <w:sz w:val="16"/>
              </w:rPr>
              <w:t>5</w:t>
            </w:r>
          </w:p>
        </w:tc>
      </w:tr>
    </w:tbl>
    <w:p/>
    <w:p>
      <w:pPr>
        <w:jc w:val="both"/>
      </w:pPr>
      <w:r>
        <w:rPr>
          <w:b w:val="0"/>
          <w:i w:val="0"/>
          <w:sz w:val="21"/>
        </w:rPr>
        <w:t>The signed error distribution is sharply peaked at zero and decays fast, and almost all remaining error is a single band in either direction. The subset that matters operationally is the tail that understates severity by two bands or more, because that is the case in which a reader is told the air is acceptable when it is not. Its size is reported above as an explicit safety statistic rather than being left implicit inside the macro-F1.</w:t>
      </w:r>
    </w:p>
    <w:p>
      <w:pPr>
        <w:pStyle w:val="Heading2"/>
      </w:pPr>
      <w:r>
        <w:rPr>
          <w:color w:val="0B3C5D"/>
        </w:rPr>
        <w:t>3.9 Strengths and limitations of each model family</w:t>
      </w:r>
    </w:p>
    <w:p>
      <w:r>
        <w:rPr>
          <w:b/>
          <w:color w:val="0B3C5D"/>
          <w:sz w:val="19"/>
        </w:rPr>
        <w:t>Table 18. Honest strengths and limitations per model family</w:t>
      </w:r>
    </w:p>
    <w:tbl>
      <w:tblPr>
        <w:tblStyle w:val="LightGrid-Accent1"/>
        <w:tblW w:type="auto" w:w="0"/>
        <w:tblLayout w:type="fixed"/>
        <w:tblLook w:firstColumn="1" w:firstRow="1" w:lastColumn="0" w:lastRow="0" w:noHBand="0" w:noVBand="1" w:val="04A0"/>
      </w:tblPr>
      <w:tblGrid>
        <w:gridCol w:w="3211"/>
        <w:gridCol w:w="3211"/>
        <w:gridCol w:w="3211"/>
      </w:tblGrid>
      <w:tr>
        <w:tc>
          <w:tcPr>
            <w:tcW w:type="dxa" w:w="1701"/>
          </w:tcPr>
          <w:p>
            <w:r>
              <w:rPr>
                <w:b/>
                <w:sz w:val="15"/>
              </w:rPr>
              <w:t>Family</w:t>
            </w:r>
          </w:p>
        </w:tc>
        <w:tc>
          <w:tcPr>
            <w:tcW w:type="dxa" w:w="3061"/>
          </w:tcPr>
          <w:p>
            <w:r>
              <w:rPr>
                <w:b/>
                <w:sz w:val="15"/>
              </w:rPr>
              <w:t>Strengths</w:t>
            </w:r>
          </w:p>
        </w:tc>
        <w:tc>
          <w:tcPr>
            <w:tcW w:type="dxa" w:w="4309"/>
          </w:tcPr>
          <w:p>
            <w:r>
              <w:rPr>
                <w:b/>
                <w:sz w:val="15"/>
              </w:rPr>
              <w:t>Limitations observed in this project</w:t>
            </w:r>
          </w:p>
        </w:tc>
      </w:tr>
      <w:tr>
        <w:tc>
          <w:tcPr>
            <w:tcW w:type="dxa" w:w="1701"/>
          </w:tcPr>
          <w:p>
            <w:r>
              <w:rPr>
                <w:sz w:val="15"/>
              </w:rPr>
              <w:t>Persistence baseline</w:t>
            </w:r>
          </w:p>
        </w:tc>
        <w:tc>
          <w:tcPr>
            <w:tcW w:type="dxa" w:w="3061"/>
          </w:tcPr>
          <w:p>
            <w:r>
              <w:rPr>
                <w:sz w:val="15"/>
              </w:rPr>
              <w:t>Free, always available, and strong because the series is autocorrelated.</w:t>
            </w:r>
          </w:p>
        </w:tc>
        <w:tc>
          <w:tcPr>
            <w:tcW w:type="dxa" w:w="4309"/>
          </w:tcPr>
          <w:p>
            <w:r>
              <w:rPr>
                <w:sz w:val="15"/>
              </w:rPr>
              <w:t>Cannot anticipate a change of direction, which is precisely what an advisory needs. It carries today's error into tomorrow.</w:t>
            </w:r>
          </w:p>
        </w:tc>
      </w:tr>
      <w:tr>
        <w:tc>
          <w:tcPr>
            <w:tcW w:type="dxa" w:w="1701"/>
          </w:tcPr>
          <w:p>
            <w:r>
              <w:rPr>
                <w:sz w:val="15"/>
              </w:rPr>
              <w:t>Linear and Logistic Regression</w:t>
            </w:r>
          </w:p>
        </w:tc>
        <w:tc>
          <w:tcPr>
            <w:tcW w:type="dxa" w:w="3061"/>
          </w:tcPr>
          <w:p>
            <w:r>
              <w:rPr>
                <w:sz w:val="15"/>
              </w:rPr>
              <w:t>Interpretable coefficients; fastest to fit; no capacity to overfit this sample size.</w:t>
            </w:r>
          </w:p>
        </w:tc>
        <w:tc>
          <w:tcPr>
            <w:tcW w:type="dxa" w:w="4309"/>
          </w:tcPr>
          <w:p>
            <w:r>
              <w:rPr>
                <w:sz w:val="15"/>
              </w:rPr>
              <w:t>Cannot express the curved boundaries and city-by-season interactions the exploratory analysis found. Sensitive to the multicollinearity among the lag family.</w:t>
            </w:r>
          </w:p>
        </w:tc>
      </w:tr>
      <w:tr>
        <w:tc>
          <w:tcPr>
            <w:tcW w:type="dxa" w:w="1701"/>
          </w:tcPr>
          <w:p>
            <w:r>
              <w:rPr>
                <w:sz w:val="15"/>
              </w:rPr>
              <w:t>Ridge Regression</w:t>
            </w:r>
          </w:p>
        </w:tc>
        <w:tc>
          <w:tcPr>
            <w:tcW w:type="dxa" w:w="3061"/>
          </w:tcPr>
          <w:p>
            <w:r>
              <w:rPr>
                <w:sz w:val="15"/>
              </w:rPr>
              <w:t>Stabilises coefficients under collinearity.</w:t>
            </w:r>
          </w:p>
        </w:tc>
        <w:tc>
          <w:tcPr>
            <w:tcW w:type="dxa" w:w="4309"/>
          </w:tcPr>
          <w:p>
            <w:r>
              <w:rPr>
                <w:sz w:val="15"/>
              </w:rPr>
              <w:t>The penalty barely moves validation error here, which says the limitation is the functional form rather than the regularisation.</w:t>
            </w:r>
          </w:p>
        </w:tc>
      </w:tr>
      <w:tr>
        <w:tc>
          <w:tcPr>
            <w:tcW w:type="dxa" w:w="1701"/>
          </w:tcPr>
          <w:p>
            <w:r>
              <w:rPr>
                <w:sz w:val="15"/>
              </w:rPr>
              <w:t>Decision Tree</w:t>
            </w:r>
          </w:p>
        </w:tc>
        <w:tc>
          <w:tcPr>
            <w:tcW w:type="dxa" w:w="3061"/>
          </w:tcPr>
          <w:p>
            <w:r>
              <w:rPr>
                <w:sz w:val="15"/>
              </w:rPr>
              <w:t>The decision path can be read directly, which has value for a health advisory.</w:t>
            </w:r>
          </w:p>
        </w:tc>
        <w:tc>
          <w:tcPr>
            <w:tcW w:type="dxa" w:w="4309"/>
          </w:tcPr>
          <w:p>
            <w:r>
              <w:rPr>
                <w:sz w:val="15"/>
              </w:rPr>
              <w:t>High variance; the weakest of the tree family on every metric.</w:t>
            </w:r>
          </w:p>
        </w:tc>
      </w:tr>
      <w:tr>
        <w:tc>
          <w:tcPr>
            <w:tcW w:type="dxa" w:w="1701"/>
          </w:tcPr>
          <w:p>
            <w:r>
              <w:rPr>
                <w:sz w:val="15"/>
              </w:rPr>
              <w:t>Random Forest</w:t>
            </w:r>
          </w:p>
        </w:tc>
        <w:tc>
          <w:tcPr>
            <w:tcW w:type="dxa" w:w="3061"/>
          </w:tcPr>
          <w:p>
            <w:r>
              <w:rPr>
                <w:sz w:val="15"/>
              </w:rPr>
              <w:t>Robust, needs little tuning, handles interactions and the heavy tail well.</w:t>
            </w:r>
          </w:p>
        </w:tc>
        <w:tc>
          <w:tcPr>
            <w:tcW w:type="dxa" w:w="4309"/>
          </w:tcPr>
          <w:p>
            <w:r>
              <w:rPr>
                <w:sz w:val="15"/>
              </w:rPr>
              <w:t>Fits the training period almost exactly; larger artefact; slower to predict than a boosted model of similar accuracy.</w:t>
            </w:r>
          </w:p>
        </w:tc>
      </w:tr>
      <w:tr>
        <w:tc>
          <w:tcPr>
            <w:tcW w:type="dxa" w:w="1701"/>
          </w:tcPr>
          <w:p>
            <w:r>
              <w:rPr>
                <w:sz w:val="15"/>
              </w:rPr>
              <w:t>XGBoost and LightGBM</w:t>
            </w:r>
          </w:p>
        </w:tc>
        <w:tc>
          <w:tcPr>
            <w:tcW w:type="dxa" w:w="3061"/>
          </w:tcPr>
          <w:p>
            <w:r>
              <w:rPr>
                <w:sz w:val="15"/>
              </w:rPr>
              <w:t>Best accuracy on both tasks; fast; handle mixed feature types without preprocessing.</w:t>
            </w:r>
          </w:p>
        </w:tc>
        <w:tc>
          <w:tcPr>
            <w:tcW w:type="dxa" w:w="4309"/>
          </w:tcPr>
          <w:p>
            <w:r>
              <w:rPr>
                <w:sz w:val="15"/>
              </w:rPr>
              <w:t>More hyperparameters to set; less directly interpretable, which is why SHAP is a required component rather than an optional extra.</w:t>
            </w:r>
          </w:p>
        </w:tc>
      </w:tr>
      <w:tr>
        <w:tc>
          <w:tcPr>
            <w:tcW w:type="dxa" w:w="1701"/>
          </w:tcPr>
          <w:p>
            <w:r>
              <w:rPr>
                <w:sz w:val="15"/>
              </w:rPr>
              <w:t>SVM with an RBF kernel</w:t>
            </w:r>
          </w:p>
        </w:tc>
        <w:tc>
          <w:tcPr>
            <w:tcW w:type="dxa" w:w="3061"/>
          </w:tcPr>
          <w:p>
            <w:r>
              <w:rPr>
                <w:sz w:val="15"/>
              </w:rPr>
              <w:t>Expresses a genuinely non-linear boundary.</w:t>
            </w:r>
          </w:p>
        </w:tc>
        <w:tc>
          <w:tcPr>
            <w:tcW w:type="dxa" w:w="4309"/>
          </w:tcPr>
          <w:p>
            <w:r>
              <w:rPr>
                <w:sz w:val="15"/>
              </w:rPr>
              <w:t>Substantially the slowest to fit, scales poorly with sample size, and did not repay the cost here. Probabilities were not calibrated, so one-versus-rest ROC-AUC could not be computed for it.</w:t>
            </w:r>
          </w:p>
        </w:tc>
      </w:tr>
      <w:tr>
        <w:tc>
          <w:tcPr>
            <w:tcW w:type="dxa" w:w="1701"/>
          </w:tcPr>
          <w:p>
            <w:r>
              <w:rPr>
                <w:sz w:val="15"/>
              </w:rPr>
              <w:t>K-Nearest Neighbours</w:t>
            </w:r>
          </w:p>
        </w:tc>
        <w:tc>
          <w:tcPr>
            <w:tcW w:type="dxa" w:w="3061"/>
          </w:tcPr>
          <w:p>
            <w:r>
              <w:rPr>
                <w:sz w:val="15"/>
              </w:rPr>
              <w:t>No training cost; a useful benchmark for how much local similarity explains.</w:t>
            </w:r>
          </w:p>
        </w:tc>
        <w:tc>
          <w:tcPr>
            <w:tcW w:type="dxa" w:w="4309"/>
          </w:tcPr>
          <w:p>
            <w:r>
              <w:rPr>
                <w:sz w:val="15"/>
              </w:rPr>
              <w:t>Weakest classifier in the comparison; suffers in this feature dimensionality and has no mechanism for class weighting.</w:t>
            </w:r>
          </w:p>
        </w:tc>
      </w:tr>
      <w:tr>
        <w:tc>
          <w:tcPr>
            <w:tcW w:type="dxa" w:w="1701"/>
          </w:tcPr>
          <w:p>
            <w:r>
              <w:rPr>
                <w:sz w:val="15"/>
              </w:rPr>
              <w:t>K-Means and Ward</w:t>
            </w:r>
          </w:p>
        </w:tc>
        <w:tc>
          <w:tcPr>
            <w:tcW w:type="dxa" w:w="3061"/>
          </w:tcPr>
          <w:p>
            <w:r>
              <w:rPr>
                <w:sz w:val="15"/>
              </w:rPr>
              <w:t>Simple, fast, and the partition reproduced exactly across both algorithms.</w:t>
            </w:r>
          </w:p>
        </w:tc>
        <w:tc>
          <w:tcPr>
            <w:tcW w:type="dxa" w:w="4309"/>
          </w:tcPr>
          <w:p>
            <w:r>
              <w:rPr>
                <w:sz w:val="15"/>
              </w:rPr>
              <w:t>Twelve cities is a small sample for clustering; silhouette values indicate moderate rather than sharp separation.</w:t>
            </w:r>
          </w:p>
        </w:tc>
      </w:tr>
    </w:tbl>
    <w:p/>
    <w:p>
      <w:pPr>
        <w:pStyle w:val="Heading1"/>
      </w:pPr>
      <w:r>
        <w:rPr>
          <w:color w:val="0B3C5D"/>
        </w:rPr>
        <w:t>4. Hyperparameter Tuning and Optimisation</w:t>
      </w:r>
    </w:p>
    <w:p>
      <w:pPr>
        <w:jc w:val="both"/>
      </w:pPr>
      <w:r>
        <w:rPr>
          <w:b w:val="0"/>
          <w:i w:val="0"/>
          <w:sz w:val="21"/>
        </w:rPr>
        <w:t>RandomizedSearchCV over large spaces, GridSearchCV over the one-dimensional Ridge penalty. Every search uses TimeSeriesSplit, so each validation fold lies strictly after its training folds.</w:t>
      </w:r>
    </w:p>
    <w:p>
      <w:pPr>
        <w:pStyle w:val="Heading2"/>
      </w:pPr>
      <w:r>
        <w:rPr>
          <w:color w:val="0B3C5D"/>
        </w:rPr>
        <w:t>4.1 Search spaces and why each parameter is included</w:t>
      </w:r>
    </w:p>
    <w:p>
      <w:r>
        <w:rPr>
          <w:b/>
          <w:color w:val="0B3C5D"/>
          <w:sz w:val="19"/>
        </w:rPr>
        <w:t>Table 19. Search space rationale</w:t>
      </w:r>
    </w:p>
    <w:tbl>
      <w:tblPr>
        <w:tblStyle w:val="LightGrid-Accent1"/>
        <w:tblW w:type="auto" w:w="0"/>
        <w:tblLayout w:type="fixed"/>
        <w:tblLook w:firstColumn="1" w:firstRow="1" w:lastColumn="0" w:lastRow="0" w:noHBand="0" w:noVBand="1" w:val="04A0"/>
      </w:tblPr>
      <w:tblGrid>
        <w:gridCol w:w="4816"/>
        <w:gridCol w:w="4816"/>
      </w:tblGrid>
      <w:tr>
        <w:tc>
          <w:tcPr>
            <w:tcW w:type="dxa" w:w="2494"/>
          </w:tcPr>
          <w:p>
            <w:r>
              <w:rPr>
                <w:b/>
                <w:sz w:val="16"/>
              </w:rPr>
              <w:t>Parameter group</w:t>
            </w:r>
          </w:p>
        </w:tc>
        <w:tc>
          <w:tcPr>
            <w:tcW w:type="dxa" w:w="6576"/>
          </w:tcPr>
          <w:p>
            <w:r>
              <w:rPr>
                <w:b/>
                <w:sz w:val="16"/>
              </w:rPr>
              <w:t>Why it is searched</w:t>
            </w:r>
          </w:p>
        </w:tc>
      </w:tr>
      <w:tr>
        <w:tc>
          <w:tcPr>
            <w:tcW w:type="dxa" w:w="2494"/>
          </w:tcPr>
          <w:p>
            <w:r>
              <w:rPr>
                <w:sz w:val="16"/>
              </w:rPr>
              <w:t>n_estimators</w:t>
            </w:r>
          </w:p>
        </w:tc>
        <w:tc>
          <w:tcPr>
            <w:tcW w:type="dxa" w:w="6576"/>
          </w:tcPr>
          <w:p>
            <w:r>
              <w:rPr>
                <w:sz w:val="16"/>
              </w:rPr>
              <w:t>Boosting rounds. Ranges from well below to well above the untuned 400 so that both under- and over-fitting regimes are reachable.</w:t>
            </w:r>
          </w:p>
        </w:tc>
      </w:tr>
      <w:tr>
        <w:tc>
          <w:tcPr>
            <w:tcW w:type="dxa" w:w="2494"/>
          </w:tcPr>
          <w:p>
            <w:r>
              <w:rPr>
                <w:sz w:val="16"/>
              </w:rPr>
              <w:t>learning_rate</w:t>
            </w:r>
          </w:p>
        </w:tc>
        <w:tc>
          <w:tcPr>
            <w:tcW w:type="dxa" w:w="6576"/>
          </w:tcPr>
          <w:p>
            <w:r>
              <w:rPr>
                <w:sz w:val="16"/>
              </w:rPr>
              <w:t>Step size. Trades off against the number of rounds; the two are searched jointly because the optimum of each depends on the other.</w:t>
            </w:r>
          </w:p>
        </w:tc>
      </w:tr>
      <w:tr>
        <w:tc>
          <w:tcPr>
            <w:tcW w:type="dxa" w:w="2494"/>
          </w:tcPr>
          <w:p>
            <w:r>
              <w:rPr>
                <w:sz w:val="16"/>
              </w:rPr>
              <w:t>num_leaves / max_depth</w:t>
            </w:r>
          </w:p>
        </w:tc>
        <w:tc>
          <w:tcPr>
            <w:tcW w:type="dxa" w:w="6576"/>
          </w:tcPr>
          <w:p>
            <w:r>
              <w:rPr>
                <w:sz w:val="16"/>
              </w:rPr>
              <w:t>Tree capacity, the dominant control on the bias-variance balance for boosted trees on tabular data.</w:t>
            </w:r>
          </w:p>
        </w:tc>
      </w:tr>
      <w:tr>
        <w:tc>
          <w:tcPr>
            <w:tcW w:type="dxa" w:w="2494"/>
          </w:tcPr>
          <w:p>
            <w:r>
              <w:rPr>
                <w:sz w:val="16"/>
              </w:rPr>
              <w:t>min_child_samples / min_child_weight</w:t>
            </w:r>
          </w:p>
        </w:tc>
        <w:tc>
          <w:tcPr>
            <w:tcW w:type="dxa" w:w="6576"/>
          </w:tcPr>
          <w:p>
            <w:r>
              <w:rPr>
                <w:sz w:val="16"/>
              </w:rPr>
              <w:t>Minimum leaf occupancy. Directly regularises the rare-class splits that matter most for the Severe bucket.</w:t>
            </w:r>
          </w:p>
        </w:tc>
      </w:tr>
      <w:tr>
        <w:tc>
          <w:tcPr>
            <w:tcW w:type="dxa" w:w="2494"/>
          </w:tcPr>
          <w:p>
            <w:r>
              <w:rPr>
                <w:sz w:val="16"/>
              </w:rPr>
              <w:t>subsample / colsample_bytree</w:t>
            </w:r>
          </w:p>
        </w:tc>
        <w:tc>
          <w:tcPr>
            <w:tcW w:type="dxa" w:w="6576"/>
          </w:tcPr>
          <w:p>
            <w:r>
              <w:rPr>
                <w:sz w:val="16"/>
              </w:rPr>
              <w:t>Stochastic row and column sampling, which decorrelates successive trees and is the ensemble's principal variance-reduction mechanism.</w:t>
            </w:r>
          </w:p>
        </w:tc>
      </w:tr>
      <w:tr>
        <w:tc>
          <w:tcPr>
            <w:tcW w:type="dxa" w:w="2494"/>
          </w:tcPr>
          <w:p>
            <w:r>
              <w:rPr>
                <w:sz w:val="16"/>
              </w:rPr>
              <w:t>reg_alpha / reg_lambda / gamma</w:t>
            </w:r>
          </w:p>
        </w:tc>
        <w:tc>
          <w:tcPr>
            <w:tcW w:type="dxa" w:w="6576"/>
          </w:tcPr>
          <w:p>
            <w:r>
              <w:rPr>
                <w:sz w:val="16"/>
              </w:rPr>
              <w:t>Explicit L1, L2 and split-gain penalties, included because the feature matrix retains groups of highly correlated lag and rolling features.</w:t>
            </w:r>
          </w:p>
        </w:tc>
      </w:tr>
    </w:tbl>
    <w:p/>
    <w:p>
      <w:r>
        <w:rPr>
          <w:b/>
          <w:color w:val="0B3C5D"/>
          <w:sz w:val="19"/>
        </w:rPr>
        <w:t>Table 20. Search configuration per task</w:t>
      </w:r>
    </w:p>
    <w:tbl>
      <w:tblPr>
        <w:tblStyle w:val="LightGrid-Accent1"/>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1474"/>
          </w:tcPr>
          <w:p>
            <w:r>
              <w:rPr>
                <w:b/>
                <w:sz w:val="15"/>
              </w:rPr>
              <w:t>Task</w:t>
            </w:r>
          </w:p>
        </w:tc>
        <w:tc>
          <w:tcPr>
            <w:tcW w:type="dxa" w:w="1474"/>
          </w:tcPr>
          <w:p>
            <w:r>
              <w:rPr>
                <w:b/>
                <w:sz w:val="15"/>
              </w:rPr>
              <w:t>Model</w:t>
            </w:r>
          </w:p>
        </w:tc>
        <w:tc>
          <w:tcPr>
            <w:tcW w:type="dxa" w:w="1587"/>
          </w:tcPr>
          <w:p>
            <w:r>
              <w:rPr>
                <w:b/>
                <w:sz w:val="15"/>
              </w:rPr>
              <w:t>Search</w:t>
            </w:r>
          </w:p>
        </w:tc>
        <w:tc>
          <w:tcPr>
            <w:tcW w:type="dxa" w:w="1247"/>
          </w:tcPr>
          <w:p>
            <w:r>
              <w:rPr>
                <w:b/>
                <w:sz w:val="15"/>
              </w:rPr>
              <w:t>Grid points</w:t>
            </w:r>
          </w:p>
        </w:tc>
        <w:tc>
          <w:tcPr>
            <w:tcW w:type="dxa" w:w="1020"/>
          </w:tcPr>
          <w:p>
            <w:r>
              <w:rPr>
                <w:b/>
                <w:sz w:val="15"/>
              </w:rPr>
              <w:t>Sampled</w:t>
            </w:r>
          </w:p>
        </w:tc>
        <w:tc>
          <w:tcPr>
            <w:tcW w:type="dxa" w:w="1020"/>
          </w:tcPr>
          <w:p>
            <w:r>
              <w:rPr>
                <w:b/>
                <w:sz w:val="15"/>
              </w:rPr>
              <w:t>Explored</w:t>
            </w:r>
          </w:p>
        </w:tc>
        <w:tc>
          <w:tcPr>
            <w:tcW w:type="dxa" w:w="1247"/>
          </w:tcPr>
          <w:p>
            <w:r>
              <w:rPr>
                <w:b/>
                <w:sz w:val="15"/>
              </w:rPr>
              <w:t>Total fits</w:t>
            </w:r>
          </w:p>
        </w:tc>
      </w:tr>
      <w:tr>
        <w:tc>
          <w:tcPr>
            <w:tcW w:type="dxa" w:w="1474"/>
          </w:tcPr>
          <w:p>
            <w:r>
              <w:rPr>
                <w:sz w:val="15"/>
              </w:rPr>
              <w:t>Regression</w:t>
            </w:r>
          </w:p>
        </w:tc>
        <w:tc>
          <w:tcPr>
            <w:tcW w:type="dxa" w:w="1474"/>
          </w:tcPr>
          <w:p>
            <w:r>
              <w:rPr>
                <w:sz w:val="15"/>
              </w:rPr>
              <w:t>LightGBM</w:t>
            </w:r>
          </w:p>
        </w:tc>
        <w:tc>
          <w:tcPr>
            <w:tcW w:type="dxa" w:w="1587"/>
          </w:tcPr>
          <w:p>
            <w:r>
              <w:rPr>
                <w:sz w:val="15"/>
              </w:rPr>
              <w:t>RandomizedSearchCV</w:t>
            </w:r>
          </w:p>
        </w:tc>
        <w:tc>
          <w:tcPr>
            <w:tcW w:type="dxa" w:w="1247"/>
          </w:tcPr>
          <w:p>
            <w:r>
              <w:rPr>
                <w:sz w:val="15"/>
              </w:rPr>
              <w:t>2,250,000</w:t>
            </w:r>
          </w:p>
        </w:tc>
        <w:tc>
          <w:tcPr>
            <w:tcW w:type="dxa" w:w="1020"/>
          </w:tcPr>
          <w:p>
            <w:r>
              <w:rPr>
                <w:sz w:val="15"/>
              </w:rPr>
              <w:t>40</w:t>
            </w:r>
          </w:p>
        </w:tc>
        <w:tc>
          <w:tcPr>
            <w:tcW w:type="dxa" w:w="1020"/>
          </w:tcPr>
          <w:p>
            <w:r>
              <w:rPr>
                <w:sz w:val="15"/>
              </w:rPr>
              <w:t>0.0018%</w:t>
            </w:r>
          </w:p>
        </w:tc>
        <w:tc>
          <w:tcPr>
            <w:tcW w:type="dxa" w:w="1247"/>
          </w:tcPr>
          <w:p>
            <w:r>
              <w:rPr>
                <w:sz w:val="15"/>
              </w:rPr>
              <w:t>161</w:t>
            </w:r>
          </w:p>
        </w:tc>
      </w:tr>
      <w:tr>
        <w:tc>
          <w:tcPr>
            <w:tcW w:type="dxa" w:w="1474"/>
          </w:tcPr>
          <w:p>
            <w:r>
              <w:rPr>
                <w:sz w:val="15"/>
              </w:rPr>
              <w:t>Classification</w:t>
            </w:r>
          </w:p>
        </w:tc>
        <w:tc>
          <w:tcPr>
            <w:tcW w:type="dxa" w:w="1474"/>
          </w:tcPr>
          <w:p>
            <w:r>
              <w:rPr>
                <w:sz w:val="15"/>
              </w:rPr>
              <w:t>XGBoost</w:t>
            </w:r>
          </w:p>
        </w:tc>
        <w:tc>
          <w:tcPr>
            <w:tcW w:type="dxa" w:w="1587"/>
          </w:tcPr>
          <w:p>
            <w:r>
              <w:rPr>
                <w:sz w:val="15"/>
              </w:rPr>
              <w:t>RandomizedSearchCV</w:t>
            </w:r>
          </w:p>
        </w:tc>
        <w:tc>
          <w:tcPr>
            <w:tcW w:type="dxa" w:w="1247"/>
          </w:tcPr>
          <w:p>
            <w:r>
              <w:rPr>
                <w:sz w:val="15"/>
              </w:rPr>
              <w:t>153,600</w:t>
            </w:r>
          </w:p>
        </w:tc>
        <w:tc>
          <w:tcPr>
            <w:tcW w:type="dxa" w:w="1020"/>
          </w:tcPr>
          <w:p>
            <w:r>
              <w:rPr>
                <w:sz w:val="15"/>
              </w:rPr>
              <w:t>40</w:t>
            </w:r>
          </w:p>
        </w:tc>
        <w:tc>
          <w:tcPr>
            <w:tcW w:type="dxa" w:w="1020"/>
          </w:tcPr>
          <w:p>
            <w:r>
              <w:rPr>
                <w:sz w:val="15"/>
              </w:rPr>
              <w:t>0.0260%</w:t>
            </w:r>
          </w:p>
        </w:tc>
        <w:tc>
          <w:tcPr>
            <w:tcW w:type="dxa" w:w="1247"/>
          </w:tcPr>
          <w:p>
            <w:r>
              <w:rPr>
                <w:sz w:val="15"/>
              </w:rPr>
              <w:t>161</w:t>
            </w:r>
          </w:p>
        </w:tc>
      </w:tr>
      <w:tr>
        <w:tc>
          <w:tcPr>
            <w:tcW w:type="dxa" w:w="1474"/>
          </w:tcPr>
          <w:p>
            <w:r>
              <w:rPr>
                <w:sz w:val="15"/>
              </w:rPr>
              <w:t>Regression (Ridge)</w:t>
            </w:r>
          </w:p>
        </w:tc>
        <w:tc>
          <w:tcPr>
            <w:tcW w:type="dxa" w:w="1474"/>
          </w:tcPr>
          <w:p>
            <w:r>
              <w:rPr>
                <w:sz w:val="15"/>
              </w:rPr>
              <w:t>Ridge Regression</w:t>
            </w:r>
          </w:p>
        </w:tc>
        <w:tc>
          <w:tcPr>
            <w:tcW w:type="dxa" w:w="1587"/>
          </w:tcPr>
          <w:p>
            <w:r>
              <w:rPr>
                <w:sz w:val="15"/>
              </w:rPr>
              <w:t>GridSearchCV (exhaustive)</w:t>
            </w:r>
          </w:p>
        </w:tc>
        <w:tc>
          <w:tcPr>
            <w:tcW w:type="dxa" w:w="1247"/>
          </w:tcPr>
          <w:p>
            <w:r>
              <w:rPr>
                <w:sz w:val="15"/>
              </w:rPr>
              <w:t>11</w:t>
            </w:r>
          </w:p>
        </w:tc>
        <w:tc>
          <w:tcPr>
            <w:tcW w:type="dxa" w:w="1020"/>
          </w:tcPr>
          <w:p>
            <w:r>
              <w:rPr>
                <w:sz w:val="15"/>
              </w:rPr>
              <w:t>all</w:t>
            </w:r>
          </w:p>
        </w:tc>
        <w:tc>
          <w:tcPr>
            <w:tcW w:type="dxa" w:w="1020"/>
          </w:tcPr>
          <w:p>
            <w:r>
              <w:rPr>
                <w:sz w:val="15"/>
              </w:rPr>
              <w:t>100%</w:t>
            </w:r>
          </w:p>
        </w:tc>
        <w:tc>
          <w:tcPr>
            <w:tcW w:type="dxa" w:w="1247"/>
          </w:tcPr>
          <w:p>
            <w:r>
              <w:rPr>
                <w:sz w:val="15"/>
              </w:rPr>
              <w:t>45</w:t>
            </w:r>
          </w:p>
        </w:tc>
      </w:tr>
    </w:tbl>
    <w:p/>
    <w:p>
      <w:pPr>
        <w:jc w:val="both"/>
      </w:pPr>
      <w:r>
        <w:rPr>
          <w:b w:val="0"/>
          <w:i w:val="0"/>
          <w:sz w:val="21"/>
        </w:rPr>
        <w:t>An exhaustive grid is used for the Ridge penalty because that space is one-dimensional and genuinely small, and a randomised search is used elsewhere because an exhaustive sweep of spaces containing thousands of points, multiplied by four time-series folds, would cost tens of thousands of fits for a gain that random search reaches in a small fraction of the budget. Both methods therefore appear, each on the problem it suits.</w:t>
      </w:r>
    </w:p>
    <w:p>
      <w:pPr>
        <w:pStyle w:val="Heading2"/>
      </w:pPr>
      <w:r>
        <w:rPr>
          <w:color w:val="0B3C5D"/>
        </w:rPr>
        <w:t>4.2 Before and after</w:t>
      </w:r>
    </w:p>
    <w:p>
      <w:r>
        <w:rPr>
          <w:b/>
          <w:color w:val="0B3C5D"/>
          <w:sz w:val="19"/>
        </w:rPr>
        <w:t>Table 21. Effect of hyperparameter optimisation</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2381"/>
          </w:tcPr>
          <w:p>
            <w:r>
              <w:rPr>
                <w:b/>
                <w:sz w:val="17"/>
              </w:rPr>
              <w:t>Metric</w:t>
            </w:r>
          </w:p>
        </w:tc>
        <w:tc>
          <w:tcPr>
            <w:tcW w:type="dxa" w:w="1814"/>
          </w:tcPr>
          <w:p>
            <w:r>
              <w:rPr>
                <w:b/>
                <w:sz w:val="17"/>
              </w:rPr>
              <w:t>Default parameters</w:t>
            </w:r>
          </w:p>
        </w:tc>
        <w:tc>
          <w:tcPr>
            <w:tcW w:type="dxa" w:w="1587"/>
          </w:tcPr>
          <w:p>
            <w:r>
              <w:rPr>
                <w:b/>
                <w:sz w:val="17"/>
              </w:rPr>
              <w:t>Tuned</w:t>
            </w:r>
          </w:p>
        </w:tc>
        <w:tc>
          <w:tcPr>
            <w:tcW w:type="dxa" w:w="1587"/>
          </w:tcPr>
          <w:p>
            <w:r>
              <w:rPr>
                <w:b/>
                <w:sz w:val="17"/>
              </w:rPr>
              <w:t>Delta</w:t>
            </w:r>
          </w:p>
        </w:tc>
        <w:tc>
          <w:tcPr>
            <w:tcW w:type="dxa" w:w="1701"/>
          </w:tcPr>
          <w:p>
            <w:r>
              <w:rPr>
                <w:b/>
                <w:sz w:val="17"/>
              </w:rPr>
              <w:t>Relative change</w:t>
            </w:r>
          </w:p>
        </w:tc>
      </w:tr>
      <w:tr>
        <w:tc>
          <w:tcPr>
            <w:tcW w:type="dxa" w:w="2381"/>
          </w:tcPr>
          <w:p>
            <w:r>
              <w:rPr>
                <w:sz w:val="17"/>
              </w:rPr>
              <w:t>Regression MAE</w:t>
            </w:r>
          </w:p>
        </w:tc>
        <w:tc>
          <w:tcPr>
            <w:tcW w:type="dxa" w:w="1814"/>
          </w:tcPr>
          <w:p>
            <w:r>
              <w:rPr>
                <w:sz w:val="17"/>
              </w:rPr>
              <w:t>15.1028</w:t>
            </w:r>
          </w:p>
        </w:tc>
        <w:tc>
          <w:tcPr>
            <w:tcW w:type="dxa" w:w="1587"/>
          </w:tcPr>
          <w:p>
            <w:r>
              <w:rPr>
                <w:sz w:val="17"/>
              </w:rPr>
              <w:t>15.0488</w:t>
            </w:r>
          </w:p>
        </w:tc>
        <w:tc>
          <w:tcPr>
            <w:tcW w:type="dxa" w:w="1587"/>
          </w:tcPr>
          <w:p>
            <w:r>
              <w:rPr>
                <w:sz w:val="17"/>
              </w:rPr>
              <w:t>-0.0540</w:t>
            </w:r>
          </w:p>
        </w:tc>
        <w:tc>
          <w:tcPr>
            <w:tcW w:type="dxa" w:w="1701"/>
          </w:tcPr>
          <w:p>
            <w:r>
              <w:rPr>
                <w:sz w:val="17"/>
              </w:rPr>
              <w:t>+0.36%</w:t>
            </w:r>
          </w:p>
        </w:tc>
      </w:tr>
      <w:tr>
        <w:tc>
          <w:tcPr>
            <w:tcW w:type="dxa" w:w="2381"/>
          </w:tcPr>
          <w:p>
            <w:r>
              <w:rPr>
                <w:sz w:val="17"/>
              </w:rPr>
              <w:t>Regression RMSE</w:t>
            </w:r>
          </w:p>
        </w:tc>
        <w:tc>
          <w:tcPr>
            <w:tcW w:type="dxa" w:w="1814"/>
          </w:tcPr>
          <w:p>
            <w:r>
              <w:rPr>
                <w:sz w:val="17"/>
              </w:rPr>
              <w:t>23.4986</w:t>
            </w:r>
          </w:p>
        </w:tc>
        <w:tc>
          <w:tcPr>
            <w:tcW w:type="dxa" w:w="1587"/>
          </w:tcPr>
          <w:p>
            <w:r>
              <w:rPr>
                <w:sz w:val="17"/>
              </w:rPr>
              <w:t>23.4130</w:t>
            </w:r>
          </w:p>
        </w:tc>
        <w:tc>
          <w:tcPr>
            <w:tcW w:type="dxa" w:w="1587"/>
          </w:tcPr>
          <w:p>
            <w:r>
              <w:rPr>
                <w:sz w:val="17"/>
              </w:rPr>
              <w:t>-0.0856</w:t>
            </w:r>
          </w:p>
        </w:tc>
        <w:tc>
          <w:tcPr>
            <w:tcW w:type="dxa" w:w="1701"/>
          </w:tcPr>
          <w:p>
            <w:r>
              <w:rPr>
                <w:sz w:val="17"/>
              </w:rPr>
              <w:t>-</w:t>
            </w:r>
          </w:p>
        </w:tc>
      </w:tr>
      <w:tr>
        <w:tc>
          <w:tcPr>
            <w:tcW w:type="dxa" w:w="2381"/>
          </w:tcPr>
          <w:p>
            <w:r>
              <w:rPr>
                <w:sz w:val="17"/>
              </w:rPr>
              <w:t>Regression R-squared</w:t>
            </w:r>
          </w:p>
        </w:tc>
        <w:tc>
          <w:tcPr>
            <w:tcW w:type="dxa" w:w="1814"/>
          </w:tcPr>
          <w:p>
            <w:r>
              <w:rPr>
                <w:sz w:val="17"/>
              </w:rPr>
              <w:t>0.9119</w:t>
            </w:r>
          </w:p>
        </w:tc>
        <w:tc>
          <w:tcPr>
            <w:tcW w:type="dxa" w:w="1587"/>
          </w:tcPr>
          <w:p>
            <w:r>
              <w:rPr>
                <w:sz w:val="17"/>
              </w:rPr>
              <w:t>0.9125</w:t>
            </w:r>
          </w:p>
        </w:tc>
        <w:tc>
          <w:tcPr>
            <w:tcW w:type="dxa" w:w="1587"/>
          </w:tcPr>
          <w:p>
            <w:r>
              <w:rPr>
                <w:sz w:val="17"/>
              </w:rPr>
              <w:t>+0.0006</w:t>
            </w:r>
          </w:p>
        </w:tc>
        <w:tc>
          <w:tcPr>
            <w:tcW w:type="dxa" w:w="1701"/>
          </w:tcPr>
          <w:p>
            <w:r>
              <w:rPr>
                <w:sz w:val="17"/>
              </w:rPr>
              <w:t>-</w:t>
            </w:r>
          </w:p>
        </w:tc>
      </w:tr>
      <w:tr>
        <w:tc>
          <w:tcPr>
            <w:tcW w:type="dxa" w:w="2381"/>
          </w:tcPr>
          <w:p>
            <w:r>
              <w:rPr>
                <w:sz w:val="17"/>
              </w:rPr>
              <w:t>Classification macro F1</w:t>
            </w:r>
          </w:p>
        </w:tc>
        <w:tc>
          <w:tcPr>
            <w:tcW w:type="dxa" w:w="1814"/>
          </w:tcPr>
          <w:p>
            <w:r>
              <w:rPr>
                <w:sz w:val="17"/>
              </w:rPr>
              <w:t>0.7342</w:t>
            </w:r>
          </w:p>
        </w:tc>
        <w:tc>
          <w:tcPr>
            <w:tcW w:type="dxa" w:w="1587"/>
          </w:tcPr>
          <w:p>
            <w:r>
              <w:rPr>
                <w:sz w:val="17"/>
              </w:rPr>
              <w:t>0.7452</w:t>
            </w:r>
          </w:p>
        </w:tc>
        <w:tc>
          <w:tcPr>
            <w:tcW w:type="dxa" w:w="1587"/>
          </w:tcPr>
          <w:p>
            <w:r>
              <w:rPr>
                <w:sz w:val="17"/>
              </w:rPr>
              <w:t>+0.0110</w:t>
            </w:r>
          </w:p>
        </w:tc>
        <w:tc>
          <w:tcPr>
            <w:tcW w:type="dxa" w:w="1701"/>
          </w:tcPr>
          <w:p>
            <w:r>
              <w:rPr>
                <w:sz w:val="17"/>
              </w:rPr>
              <w:t>+1.50%</w:t>
            </w:r>
          </w:p>
        </w:tc>
      </w:tr>
      <w:tr>
        <w:tc>
          <w:tcPr>
            <w:tcW w:type="dxa" w:w="2381"/>
          </w:tcPr>
          <w:p>
            <w:r>
              <w:rPr>
                <w:sz w:val="17"/>
              </w:rPr>
              <w:t>Classification accuracy</w:t>
            </w:r>
          </w:p>
        </w:tc>
        <w:tc>
          <w:tcPr>
            <w:tcW w:type="dxa" w:w="1814"/>
          </w:tcPr>
          <w:p>
            <w:r>
              <w:rPr>
                <w:sz w:val="17"/>
              </w:rPr>
              <w:t>0.7846</w:t>
            </w:r>
          </w:p>
        </w:tc>
        <w:tc>
          <w:tcPr>
            <w:tcW w:type="dxa" w:w="1587"/>
          </w:tcPr>
          <w:p>
            <w:r>
              <w:rPr>
                <w:sz w:val="17"/>
              </w:rPr>
              <w:t>0.7933</w:t>
            </w:r>
          </w:p>
        </w:tc>
        <w:tc>
          <w:tcPr>
            <w:tcW w:type="dxa" w:w="1587"/>
          </w:tcPr>
          <w:p>
            <w:r>
              <w:rPr>
                <w:sz w:val="17"/>
              </w:rPr>
              <w:t>+0.0087</w:t>
            </w:r>
          </w:p>
        </w:tc>
        <w:tc>
          <w:tcPr>
            <w:tcW w:type="dxa" w:w="1701"/>
          </w:tcPr>
          <w:p>
            <w:r>
              <w:rPr>
                <w:sz w:val="17"/>
              </w:rPr>
              <w:t>-</w:t>
            </w:r>
          </w:p>
        </w:tc>
      </w:tr>
    </w:tbl>
    <w:p/>
    <w:p>
      <w:pPr>
        <w:jc w:val="center"/>
      </w:pPr>
      <w:r>
        <w:drawing>
          <wp:inline xmlns:a="http://schemas.openxmlformats.org/drawingml/2006/main" xmlns:pic="http://schemas.openxmlformats.org/drawingml/2006/picture">
            <wp:extent cx="5760720" cy="1803152"/>
            <wp:docPr id="12" name="Picture 12"/>
            <wp:cNvGraphicFramePr>
              <a:graphicFrameLocks noChangeAspect="1"/>
            </wp:cNvGraphicFramePr>
            <a:graphic>
              <a:graphicData uri="http://schemas.openxmlformats.org/drawingml/2006/picture">
                <pic:pic>
                  <pic:nvPicPr>
                    <pic:cNvPr id="0" name="26_tuning_before_after.png"/>
                    <pic:cNvPicPr/>
                  </pic:nvPicPr>
                  <pic:blipFill>
                    <a:blip r:embed="rId20"/>
                    <a:stretch>
                      <a:fillRect/>
                    </a:stretch>
                  </pic:blipFill>
                  <pic:spPr>
                    <a:xfrm>
                      <a:off x="0" y="0"/>
                      <a:ext cx="5760720" cy="1803152"/>
                    </a:xfrm>
                    <a:prstGeom prst="rect"/>
                  </pic:spPr>
                </pic:pic>
              </a:graphicData>
            </a:graphic>
          </wp:inline>
        </w:drawing>
      </w:r>
    </w:p>
    <w:p>
      <w:pPr>
        <w:jc w:val="center"/>
      </w:pPr>
      <w:r>
        <w:rPr>
          <w:i/>
          <w:color w:val="555555"/>
          <w:sz w:val="18"/>
        </w:rPr>
        <w:t>Figure 12. Effect of tuning on both tasks, and what it cost to obtain.</w:t>
      </w:r>
      <w:r>
        <w:rPr>
          <w:color w:val="555555"/>
          <w:sz w:val="15"/>
        </w:rPr>
        <w:t xml:space="preserve">  [26_tuning_before_after.png]</w:t>
      </w:r>
    </w:p>
    <w:p>
      <w:pPr>
        <w:jc w:val="both"/>
      </w:pPr>
      <w:r>
        <w:rPr>
          <w:b w:val="0"/>
          <w:i w:val="0"/>
          <w:sz w:val="21"/>
        </w:rPr>
        <w:t>Best regression parameters: {'subsample': 0.6, 'reg_lambda': 0.1, 'reg_alpha': 0.5, 'num_leaves': 95, 'n_estimators': 400, 'min_child_samples': 60, 'max_depth': 5, 'learning_rate': 0.02, 'colsample_bytree': 0.5}</w:t>
      </w:r>
    </w:p>
    <w:p>
      <w:pPr>
        <w:jc w:val="both"/>
      </w:pPr>
      <w:r>
        <w:rPr>
          <w:b w:val="0"/>
          <w:i w:val="0"/>
          <w:sz w:val="21"/>
        </w:rPr>
        <w:t>Best classification parameters: {'estimator__subsample': 0.6, 'estimator__reg_lambda': 1.0, 'estimator__n_estimators': 600, 'estimator__min_child_weight': 10, 'estimator__max_depth': 10, 'estimator__learning_rate': 0.01, 'estimator__gamma': 1.0, 'estimator__colsample_bytree': 0.7}</w:t>
      </w:r>
    </w:p>
    <w:p>
      <w:pPr>
        <w:pStyle w:val="Heading2"/>
      </w:pPr>
      <w:r>
        <w:rPr>
          <w:color w:val="0B3C5D"/>
        </w:rPr>
        <w:t>4.3 Cost against gain</w:t>
      </w:r>
    </w:p>
    <w:p>
      <w:pPr>
        <w:jc w:val="both"/>
      </w:pPr>
      <w:r>
        <w:rPr>
          <w:b/>
          <w:i w:val="0"/>
          <w:sz w:val="21"/>
        </w:rPr>
        <w:t>The two randomised searches together consumed 39.3 minutes of wall-clock time and 322 model fits, and moved the primary metrics by +0.36% (regression MAE) and +1.50% (classification macro-F1). The gains are real but modest relative to the gains from feature engineering, which moved regression MAE from the persistence baseline by a far larger margin. The honest reading is that on this problem the representation matters more than the hyperparameters, and that a practitioner with limited time should spend it on features first.</w:t>
      </w:r>
    </w:p>
    <w:p>
      <w:pPr>
        <w:jc w:val="both"/>
      </w:pPr>
      <w:r>
        <w:rPr>
          <w:b w:val="0"/>
          <w:i w:val="0"/>
          <w:sz w:val="21"/>
        </w:rPr>
        <w:t>An exhaustive grid is appropriate here because the space is one-dimensional. The flatness of the resulting curve is itself informative: the penalty barely moves validation error, which says the linear model's limitation is its functional form rather than its regularisation.</w:t>
      </w:r>
    </w:p>
    <w:p>
      <w:pPr>
        <w:pStyle w:val="Heading1"/>
      </w:pPr>
      <w:r>
        <w:rPr>
          <w:color w:val="0B3C5D"/>
        </w:rPr>
        <w:t>5. End-to-End Product Development</w:t>
      </w:r>
    </w:p>
    <w:p>
      <w:pPr>
        <w:jc w:val="both"/>
      </w:pPr>
      <w:r>
        <w:rPr>
          <w:b w:val="0"/>
          <w:i w:val="0"/>
          <w:sz w:val="21"/>
        </w:rPr>
        <w:t>The analysis is delivered as a working multipage application rather than as a notebook. Model artefacts are loaded once per session from versioned joblib files, tabular data is cached separately, every public entry point validates its input and returns a typed result rather than raising, and a city or date outside the covered record falls back to the nearest available record with the substitution reported to the user.</w:t>
      </w:r>
    </w:p>
    <w:p>
      <w:r>
        <w:rPr>
          <w:b/>
          <w:color w:val="0B3C5D"/>
          <w:sz w:val="19"/>
        </w:rPr>
        <w:t>Table 22. Application pages and what each delivers</w:t>
      </w:r>
    </w:p>
    <w:tbl>
      <w:tblPr>
        <w:tblStyle w:val="LightGrid-Accent1"/>
        <w:tblW w:type="auto" w:w="0"/>
        <w:tblLayout w:type="fixed"/>
        <w:tblLook w:firstColumn="1" w:firstRow="1" w:lastColumn="0" w:lastRow="0" w:noHBand="0" w:noVBand="1" w:val="04A0"/>
      </w:tblPr>
      <w:tblGrid>
        <w:gridCol w:w="4816"/>
        <w:gridCol w:w="4816"/>
      </w:tblGrid>
      <w:tr>
        <w:tc>
          <w:tcPr>
            <w:tcW w:type="dxa" w:w="1701"/>
          </w:tcPr>
          <w:p>
            <w:r>
              <w:rPr>
                <w:b/>
                <w:sz w:val="16"/>
              </w:rPr>
              <w:t>Page</w:t>
            </w:r>
          </w:p>
        </w:tc>
        <w:tc>
          <w:tcPr>
            <w:tcW w:type="dxa" w:w="7370"/>
          </w:tcPr>
          <w:p>
            <w:r>
              <w:rPr>
                <w:b/>
                <w:sz w:val="16"/>
              </w:rPr>
              <w:t>Functionality</w:t>
            </w:r>
          </w:p>
        </w:tc>
      </w:tr>
      <w:tr>
        <w:tc>
          <w:tcPr>
            <w:tcW w:type="dxa" w:w="1701"/>
          </w:tcPr>
          <w:p>
            <w:r>
              <w:rPr>
                <w:sz w:val="16"/>
              </w:rPr>
              <w:t>Home</w:t>
            </w:r>
          </w:p>
        </w:tc>
        <w:tc>
          <w:tcPr>
            <w:tcW w:type="dxa" w:w="7370"/>
          </w:tcPr>
          <w:p>
            <w:r>
              <w:rPr>
                <w:sz w:val="16"/>
              </w:rPr>
              <w:t>Headline metrics pulled live from the results artefacts; the dataset provenance and licence block rendered in-app; the archetype summary; the medical disclaimer.</w:t>
            </w:r>
          </w:p>
        </w:tc>
      </w:tr>
      <w:tr>
        <w:tc>
          <w:tcPr>
            <w:tcW w:type="dxa" w:w="1701"/>
          </w:tcPr>
          <w:p>
            <w:r>
              <w:rPr>
                <w:sz w:val="16"/>
              </w:rPr>
              <w:t>1. Forecast</w:t>
            </w:r>
          </w:p>
        </w:tc>
        <w:tc>
          <w:tcPr>
            <w:tcW w:type="dxa" w:w="7370"/>
          </w:tcPr>
          <w:p>
            <w:r>
              <w:rPr>
                <w:sz w:val="16"/>
              </w:rPr>
              <w:t>City, cohort, date and language selection; what-if pollutant sliders that recompute every derived feature; next-day AQI; predicted band with the model's confidence and the full band probability distribution; the cohort Health Advisory Index and band; the dominant pollutant; the cleanest outdoor window for the season; plain-language advice in English, Tamil and Hindi; a 30-day history chart with the forecast and the actual outcome marked; the index for all seven cohorts side by side; an input drift check against the training distribution.</w:t>
            </w:r>
          </w:p>
        </w:tc>
      </w:tr>
      <w:tr>
        <w:tc>
          <w:tcPr>
            <w:tcW w:type="dxa" w:w="1701"/>
          </w:tcPr>
          <w:p>
            <w:r>
              <w:rPr>
                <w:sz w:val="16"/>
              </w:rPr>
              <w:t>2. City Risk Atlas</w:t>
            </w:r>
          </w:p>
        </w:tc>
        <w:tc>
          <w:tcPr>
            <w:tcW w:type="dxa" w:w="7370"/>
          </w:tcPr>
          <w:p>
            <w:r>
              <w:rPr>
                <w:sz w:val="16"/>
              </w:rPr>
              <w:t>The discovered archetypes with their policy levers and signatures; how k was chosen, including the partitions that were not selected; the ranked risk table with per-cohort restricted-day shares; the city-by-month seasonal heatmap; the safest outdoor window by city and season; the Diwali panel with per-city significance; the lockdown panel.</w:t>
            </w:r>
          </w:p>
        </w:tc>
      </w:tr>
      <w:tr>
        <w:tc>
          <w:tcPr>
            <w:tcW w:type="dxa" w:w="1701"/>
          </w:tcPr>
          <w:p>
            <w:r>
              <w:rPr>
                <w:sz w:val="16"/>
              </w:rPr>
              <w:t>3. Policy Simulator</w:t>
            </w:r>
          </w:p>
        </w:tc>
        <w:tc>
          <w:tcPr>
            <w:tcW w:type="dxa" w:w="7370"/>
          </w:tcPr>
          <w:p>
            <w:r>
              <w:rPr>
                <w:sz w:val="16"/>
              </w:rPr>
              <w:t>Presets matching the scenarios in this report plus free sliders; the whole record re-scored from first principles on each change; band migration; cohort advisory-days averted; per-city effect; and a sanity check of the scenario against the measured lockdown effect.</w:t>
            </w:r>
          </w:p>
        </w:tc>
      </w:tr>
      <w:tr>
        <w:tc>
          <w:tcPr>
            <w:tcW w:type="dxa" w:w="1701"/>
          </w:tcPr>
          <w:p>
            <w:r>
              <w:rPr>
                <w:sz w:val="16"/>
              </w:rPr>
              <w:t>4. Model Insights</w:t>
            </w:r>
          </w:p>
        </w:tc>
        <w:tc>
          <w:tcPr>
            <w:tcW w:type="dxa" w:w="7370"/>
          </w:tcPr>
          <w:p>
            <w:r>
              <w:rPr>
                <w:sz w:val="16"/>
              </w:rPr>
              <w:t>The three master comparison tables; confusion matrices; ROC curves; residual diagnostics; learning curves; per-city error; the error analysis; global and local SHAP; the tuning report; the leakage demonstration; the imputation bake-off; a plain-language metric glossary; and the data card and model card rendered in full.</w:t>
            </w:r>
          </w:p>
        </w:tc>
      </w:tr>
    </w:tbl>
    <w:p/>
    <w:p>
      <w:pPr>
        <w:pStyle w:val="Heading2"/>
      </w:pPr>
      <w:r>
        <w:rPr>
          <w:color w:val="0B3C5D"/>
        </w:rPr>
        <w:t>5.1 Explainability in the product</w:t>
      </w:r>
    </w:p>
    <w:p>
      <w:pPr>
        <w:jc w:val="both"/>
      </w:pPr>
      <w:r>
        <w:rPr>
          <w:b w:val="0"/>
          <w:i w:val="0"/>
          <w:sz w:val="21"/>
        </w:rPr>
        <w:t>TreeSHAP exact Shapley values. Shapley attribution is used because it is the only additive feature attribution satisfying efficiency: for any single prediction the contributions sum exactly to the difference between that prediction and the model's base value, so a local explanation is complete rather than merely indicative.</w:t>
      </w:r>
    </w:p>
    <w:p>
      <w:pPr>
        <w:jc w:val="center"/>
      </w:pPr>
      <w:r>
        <w:drawing>
          <wp:inline xmlns:a="http://schemas.openxmlformats.org/drawingml/2006/main" xmlns:pic="http://schemas.openxmlformats.org/drawingml/2006/picture">
            <wp:extent cx="5760720" cy="2520670"/>
            <wp:docPr id="13" name="Picture 13"/>
            <wp:cNvGraphicFramePr>
              <a:graphicFrameLocks noChangeAspect="1"/>
            </wp:cNvGraphicFramePr>
            <a:graphic>
              <a:graphicData uri="http://schemas.openxmlformats.org/drawingml/2006/picture">
                <pic:pic>
                  <pic:nvPicPr>
                    <pic:cNvPr id="0" name="36_shap_global.png"/>
                    <pic:cNvPicPr/>
                  </pic:nvPicPr>
                  <pic:blipFill>
                    <a:blip r:embed="rId21"/>
                    <a:stretch>
                      <a:fillRect/>
                    </a:stretch>
                  </pic:blipFill>
                  <pic:spPr>
                    <a:xfrm>
                      <a:off x="0" y="0"/>
                      <a:ext cx="5760720" cy="2520670"/>
                    </a:xfrm>
                    <a:prstGeom prst="rect"/>
                  </pic:spPr>
                </pic:pic>
              </a:graphicData>
            </a:graphic>
          </wp:inline>
        </w:drawing>
      </w:r>
    </w:p>
    <w:p>
      <w:pPr>
        <w:jc w:val="center"/>
      </w:pPr>
      <w:r>
        <w:rPr>
          <w:i/>
          <w:color w:val="555555"/>
          <w:sz w:val="18"/>
        </w:rPr>
        <w:t>Figure 13. Global SHAP explanation of both deployed models.</w:t>
      </w:r>
      <w:r>
        <w:rPr>
          <w:color w:val="555555"/>
          <w:sz w:val="15"/>
        </w:rPr>
        <w:t xml:space="preserve">  [36_shap_global.png]</w:t>
      </w:r>
    </w:p>
    <w:p>
      <w:pPr>
        <w:jc w:val="center"/>
      </w:pPr>
      <w:r>
        <w:drawing>
          <wp:inline xmlns:a="http://schemas.openxmlformats.org/drawingml/2006/main" xmlns:pic="http://schemas.openxmlformats.org/drawingml/2006/picture">
            <wp:extent cx="5760720" cy="3439698"/>
            <wp:docPr id="14" name="Picture 14"/>
            <wp:cNvGraphicFramePr>
              <a:graphicFrameLocks noChangeAspect="1"/>
            </wp:cNvGraphicFramePr>
            <a:graphic>
              <a:graphicData uri="http://schemas.openxmlformats.org/drawingml/2006/picture">
                <pic:pic>
                  <pic:nvPicPr>
                    <pic:cNvPr id="0" name="37_shap_local_waterfall.png"/>
                    <pic:cNvPicPr/>
                  </pic:nvPicPr>
                  <pic:blipFill>
                    <a:blip r:embed="rId22"/>
                    <a:stretch>
                      <a:fillRect/>
                    </a:stretch>
                  </pic:blipFill>
                  <pic:spPr>
                    <a:xfrm>
                      <a:off x="0" y="0"/>
                      <a:ext cx="5760720" cy="3439698"/>
                    </a:xfrm>
                    <a:prstGeom prst="rect"/>
                  </pic:spPr>
                </pic:pic>
              </a:graphicData>
            </a:graphic>
          </wp:inline>
        </w:drawing>
      </w:r>
    </w:p>
    <w:p>
      <w:pPr>
        <w:jc w:val="center"/>
      </w:pPr>
      <w:r>
        <w:rPr>
          <w:i/>
          <w:color w:val="555555"/>
          <w:sz w:val="18"/>
        </w:rPr>
        <w:t>Figure 14. A single high-AQI day decomposed into feature contributions.</w:t>
      </w:r>
      <w:r>
        <w:rPr>
          <w:color w:val="555555"/>
          <w:sz w:val="15"/>
        </w:rPr>
        <w:t xml:space="preserve">  [37_shap_local_waterfall.png]</w:t>
      </w:r>
    </w:p>
    <w:p>
      <w:pPr>
        <w:jc w:val="both"/>
      </w:pPr>
      <w:r>
        <w:rPr>
          <w:b w:val="0"/>
          <w:i w:val="0"/>
          <w:sz w:val="21"/>
        </w:rPr>
        <w:t>The global view is dominated by same-day particulate concentration and by short-horizon change features, which is consistent with the exploratory finding that PM2.5 is the strongest single correlate of the AQI and with the strong day-to-day autocorrelation that makes persistence a competitive baseline. The presence of the change and deviation features near the top is the more interesting result: the model is not simply carrying today forward, it is reading the direction and the momentum of the last few days, which is exactly the information the persistence baseline lacks and the source of the margin over it.</w:t>
      </w:r>
    </w:p>
    <w:p>
      <w:pPr>
        <w:pStyle w:val="Heading2"/>
      </w:pPr>
      <w:r>
        <w:rPr>
          <w:color w:val="0B3C5D"/>
        </w:rPr>
        <w:t>5.2 The counterfactual policy simulator</w:t>
      </w:r>
    </w:p>
    <w:p>
      <w:pPr>
        <w:jc w:val="both"/>
      </w:pPr>
      <w:r>
        <w:rPr>
          <w:b w:val="0"/>
          <w:i w:val="0"/>
          <w:sz w:val="21"/>
        </w:rPr>
        <w:t>Each scenario applies a proportional reduction to the historical concentrations and recomputes the CPCB sub-indices, the AQI, the AQI bucket and every cohort HAI value and band from first principles. The baseline is produced by the same code path with a zero reduction, so both sides of every comparison are computed identically.</w:t>
      </w:r>
    </w:p>
    <w:p>
      <w:pPr>
        <w:jc w:val="both"/>
      </w:pPr>
      <w:r>
        <w:rPr>
          <w:b/>
          <w:i w:val="0"/>
          <w:sz w:val="21"/>
        </w:rPr>
        <w:t>The reduction is an input supplied by the user, not a prediction. The simulator states what the advisory burden would be at a given concentration; it does not claim that any particular intervention would achieve that concentration. Atmospheric chemistry is not simulated: each pollutant is reduced independently, so ozone-led scenarios in particular should be read with caution, because reducing nitrogen oxides can raise local ozone under some urban conditions.</w:t>
      </w:r>
    </w:p>
    <w:p>
      <w:r>
        <w:rPr>
          <w:b/>
          <w:color w:val="0B3C5D"/>
          <w:sz w:val="19"/>
        </w:rPr>
        <w:t>Table 23. Counterfactual scenarios re-scored across 18,395 city-days. One advisory-day is one cohort, in one city, on one day, moved out of a restrictive HAI band. Summing across the seven cohorts gives the total advisory-day burden averted.</w:t>
      </w:r>
    </w:p>
    <w:tbl>
      <w:tblPr>
        <w:tblStyle w:val="LightGrid-Accent1"/>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2041"/>
          </w:tcPr>
          <w:p>
            <w:r>
              <w:rPr>
                <w:b/>
                <w:sz w:val="14"/>
              </w:rPr>
              <w:t>Scenario</w:t>
            </w:r>
          </w:p>
        </w:tc>
        <w:tc>
          <w:tcPr>
            <w:tcW w:type="dxa" w:w="1247"/>
          </w:tcPr>
          <w:p>
            <w:r>
              <w:rPr>
                <w:b/>
                <w:sz w:val="14"/>
              </w:rPr>
              <w:t>Mean AQI before</w:t>
            </w:r>
          </w:p>
        </w:tc>
        <w:tc>
          <w:tcPr>
            <w:tcW w:type="dxa" w:w="1247"/>
          </w:tcPr>
          <w:p>
            <w:r>
              <w:rPr>
                <w:b/>
                <w:sz w:val="14"/>
              </w:rPr>
              <w:t>Mean AQI after</w:t>
            </w:r>
          </w:p>
        </w:tc>
        <w:tc>
          <w:tcPr>
            <w:tcW w:type="dxa" w:w="1020"/>
          </w:tcPr>
          <w:p>
            <w:r>
              <w:rPr>
                <w:b/>
                <w:sz w:val="14"/>
              </w:rPr>
              <w:t>Change</w:t>
            </w:r>
          </w:p>
        </w:tc>
        <w:tc>
          <w:tcPr>
            <w:tcW w:type="dxa" w:w="1247"/>
          </w:tcPr>
          <w:p>
            <w:r>
              <w:rPr>
                <w:b/>
                <w:sz w:val="14"/>
              </w:rPr>
              <w:t>Unsafe days removed</w:t>
            </w:r>
          </w:p>
        </w:tc>
        <w:tc>
          <w:tcPr>
            <w:tcW w:type="dxa" w:w="1020"/>
          </w:tcPr>
          <w:p>
            <w:r>
              <w:rPr>
                <w:b/>
                <w:sz w:val="14"/>
              </w:rPr>
              <w:t>Reduction</w:t>
            </w:r>
          </w:p>
        </w:tc>
        <w:tc>
          <w:tcPr>
            <w:tcW w:type="dxa" w:w="1247"/>
          </w:tcPr>
          <w:p>
            <w:r>
              <w:rPr>
                <w:b/>
                <w:sz w:val="14"/>
              </w:rPr>
              <w:t>Advisory-days averted</w:t>
            </w:r>
          </w:p>
        </w:tc>
      </w:tr>
      <w:tr>
        <w:tc>
          <w:tcPr>
            <w:tcW w:type="dxa" w:w="2041"/>
          </w:tcPr>
          <w:p>
            <w:r>
              <w:rPr>
                <w:sz w:val="14"/>
              </w:rPr>
              <w:t>PM2.5 reduced by 10%</w:t>
            </w:r>
          </w:p>
        </w:tc>
        <w:tc>
          <w:tcPr>
            <w:tcW w:type="dxa" w:w="1247"/>
          </w:tcPr>
          <w:p>
            <w:r>
              <w:rPr>
                <w:sz w:val="14"/>
              </w:rPr>
              <w:t>144.1</w:t>
            </w:r>
          </w:p>
        </w:tc>
        <w:tc>
          <w:tcPr>
            <w:tcW w:type="dxa" w:w="1247"/>
          </w:tcPr>
          <w:p>
            <w:r>
              <w:rPr>
                <w:sz w:val="14"/>
              </w:rPr>
              <w:t>137.7</w:t>
            </w:r>
          </w:p>
        </w:tc>
        <w:tc>
          <w:tcPr>
            <w:tcW w:type="dxa" w:w="1020"/>
          </w:tcPr>
          <w:p>
            <w:r>
              <w:rPr>
                <w:sz w:val="14"/>
              </w:rPr>
              <w:t>-4.5%</w:t>
            </w:r>
          </w:p>
        </w:tc>
        <w:tc>
          <w:tcPr>
            <w:tcW w:type="dxa" w:w="1247"/>
          </w:tcPr>
          <w:p>
            <w:r>
              <w:rPr>
                <w:sz w:val="14"/>
              </w:rPr>
              <w:t>477</w:t>
            </w:r>
          </w:p>
        </w:tc>
        <w:tc>
          <w:tcPr>
            <w:tcW w:type="dxa" w:w="1020"/>
          </w:tcPr>
          <w:p>
            <w:r>
              <w:rPr>
                <w:sz w:val="14"/>
              </w:rPr>
              <w:t>12.3%</w:t>
            </w:r>
          </w:p>
        </w:tc>
        <w:tc>
          <w:tcPr>
            <w:tcW w:type="dxa" w:w="1247"/>
          </w:tcPr>
          <w:p>
            <w:r>
              <w:rPr>
                <w:sz w:val="14"/>
              </w:rPr>
              <w:t>4,372</w:t>
            </w:r>
          </w:p>
        </w:tc>
      </w:tr>
      <w:tr>
        <w:tc>
          <w:tcPr>
            <w:tcW w:type="dxa" w:w="2041"/>
          </w:tcPr>
          <w:p>
            <w:r>
              <w:rPr>
                <w:sz w:val="14"/>
              </w:rPr>
              <w:t>PM2.5 reduced by 20%</w:t>
            </w:r>
          </w:p>
        </w:tc>
        <w:tc>
          <w:tcPr>
            <w:tcW w:type="dxa" w:w="1247"/>
          </w:tcPr>
          <w:p>
            <w:r>
              <w:rPr>
                <w:sz w:val="14"/>
              </w:rPr>
              <w:t>144.1</w:t>
            </w:r>
          </w:p>
        </w:tc>
        <w:tc>
          <w:tcPr>
            <w:tcW w:type="dxa" w:w="1247"/>
          </w:tcPr>
          <w:p>
            <w:r>
              <w:rPr>
                <w:sz w:val="14"/>
              </w:rPr>
              <w:t>132.2</w:t>
            </w:r>
          </w:p>
        </w:tc>
        <w:tc>
          <w:tcPr>
            <w:tcW w:type="dxa" w:w="1020"/>
          </w:tcPr>
          <w:p>
            <w:r>
              <w:rPr>
                <w:sz w:val="14"/>
              </w:rPr>
              <w:t>-8.3%</w:t>
            </w:r>
          </w:p>
        </w:tc>
        <w:tc>
          <w:tcPr>
            <w:tcW w:type="dxa" w:w="1247"/>
          </w:tcPr>
          <w:p>
            <w:r>
              <w:rPr>
                <w:sz w:val="14"/>
              </w:rPr>
              <w:t>992</w:t>
            </w:r>
          </w:p>
        </w:tc>
        <w:tc>
          <w:tcPr>
            <w:tcW w:type="dxa" w:w="1020"/>
          </w:tcPr>
          <w:p>
            <w:r>
              <w:rPr>
                <w:sz w:val="14"/>
              </w:rPr>
              <w:t>25.6%</w:t>
            </w:r>
          </w:p>
        </w:tc>
        <w:tc>
          <w:tcPr>
            <w:tcW w:type="dxa" w:w="1247"/>
          </w:tcPr>
          <w:p>
            <w:r>
              <w:rPr>
                <w:sz w:val="14"/>
              </w:rPr>
              <w:t>8,133</w:t>
            </w:r>
          </w:p>
        </w:tc>
      </w:tr>
      <w:tr>
        <w:tc>
          <w:tcPr>
            <w:tcW w:type="dxa" w:w="2041"/>
          </w:tcPr>
          <w:p>
            <w:r>
              <w:rPr>
                <w:sz w:val="14"/>
              </w:rPr>
              <w:t>PM2.5 and PM10 reduced by 20%</w:t>
            </w:r>
          </w:p>
        </w:tc>
        <w:tc>
          <w:tcPr>
            <w:tcW w:type="dxa" w:w="1247"/>
          </w:tcPr>
          <w:p>
            <w:r>
              <w:rPr>
                <w:sz w:val="14"/>
              </w:rPr>
              <w:t>144.1</w:t>
            </w:r>
          </w:p>
        </w:tc>
        <w:tc>
          <w:tcPr>
            <w:tcW w:type="dxa" w:w="1247"/>
          </w:tcPr>
          <w:p>
            <w:r>
              <w:rPr>
                <w:sz w:val="14"/>
              </w:rPr>
              <w:t>120.3</w:t>
            </w:r>
          </w:p>
        </w:tc>
        <w:tc>
          <w:tcPr>
            <w:tcW w:type="dxa" w:w="1020"/>
          </w:tcPr>
          <w:p>
            <w:r>
              <w:rPr>
                <w:sz w:val="14"/>
              </w:rPr>
              <w:t>-16.5%</w:t>
            </w:r>
          </w:p>
        </w:tc>
        <w:tc>
          <w:tcPr>
            <w:tcW w:type="dxa" w:w="1247"/>
          </w:tcPr>
          <w:p>
            <w:r>
              <w:rPr>
                <w:sz w:val="14"/>
              </w:rPr>
              <w:t>1,157</w:t>
            </w:r>
          </w:p>
        </w:tc>
        <w:tc>
          <w:tcPr>
            <w:tcW w:type="dxa" w:w="1020"/>
          </w:tcPr>
          <w:p>
            <w:r>
              <w:rPr>
                <w:sz w:val="14"/>
              </w:rPr>
              <w:t>29.8%</w:t>
            </w:r>
          </w:p>
        </w:tc>
        <w:tc>
          <w:tcPr>
            <w:tcW w:type="dxa" w:w="1247"/>
          </w:tcPr>
          <w:p>
            <w:r>
              <w:rPr>
                <w:sz w:val="14"/>
              </w:rPr>
              <w:t>12,432</w:t>
            </w:r>
          </w:p>
        </w:tc>
      </w:tr>
      <w:tr>
        <w:tc>
          <w:tcPr>
            <w:tcW w:type="dxa" w:w="2041"/>
          </w:tcPr>
          <w:p>
            <w:r>
              <w:rPr>
                <w:sz w:val="14"/>
              </w:rPr>
              <w:t>PM2.5 and PM10 reduced by 30%</w:t>
            </w:r>
          </w:p>
        </w:tc>
        <w:tc>
          <w:tcPr>
            <w:tcW w:type="dxa" w:w="1247"/>
          </w:tcPr>
          <w:p>
            <w:r>
              <w:rPr>
                <w:sz w:val="14"/>
              </w:rPr>
              <w:t>144.1</w:t>
            </w:r>
          </w:p>
        </w:tc>
        <w:tc>
          <w:tcPr>
            <w:tcW w:type="dxa" w:w="1247"/>
          </w:tcPr>
          <w:p>
            <w:r>
              <w:rPr>
                <w:sz w:val="14"/>
              </w:rPr>
              <w:t>108.3</w:t>
            </w:r>
          </w:p>
        </w:tc>
        <w:tc>
          <w:tcPr>
            <w:tcW w:type="dxa" w:w="1020"/>
          </w:tcPr>
          <w:p>
            <w:r>
              <w:rPr>
                <w:sz w:val="14"/>
              </w:rPr>
              <w:t>-24.8%</w:t>
            </w:r>
          </w:p>
        </w:tc>
        <w:tc>
          <w:tcPr>
            <w:tcW w:type="dxa" w:w="1247"/>
          </w:tcPr>
          <w:p>
            <w:r>
              <w:rPr>
                <w:sz w:val="14"/>
              </w:rPr>
              <w:t>1,643</w:t>
            </w:r>
          </w:p>
        </w:tc>
        <w:tc>
          <w:tcPr>
            <w:tcW w:type="dxa" w:w="1020"/>
          </w:tcPr>
          <w:p>
            <w:r>
              <w:rPr>
                <w:sz w:val="14"/>
              </w:rPr>
              <w:t>42.4%</w:t>
            </w:r>
          </w:p>
        </w:tc>
        <w:tc>
          <w:tcPr>
            <w:tcW w:type="dxa" w:w="1247"/>
          </w:tcPr>
          <w:p>
            <w:r>
              <w:rPr>
                <w:sz w:val="14"/>
              </w:rPr>
              <w:t>18,070</w:t>
            </w:r>
          </w:p>
        </w:tc>
      </w:tr>
      <w:tr>
        <w:tc>
          <w:tcPr>
            <w:tcW w:type="dxa" w:w="2041"/>
          </w:tcPr>
          <w:p>
            <w:r>
              <w:rPr>
                <w:sz w:val="14"/>
              </w:rPr>
              <w:t>NO2 reduced by 30%</w:t>
            </w:r>
          </w:p>
        </w:tc>
        <w:tc>
          <w:tcPr>
            <w:tcW w:type="dxa" w:w="1247"/>
          </w:tcPr>
          <w:p>
            <w:r>
              <w:rPr>
                <w:sz w:val="14"/>
              </w:rPr>
              <w:t>144.1</w:t>
            </w:r>
          </w:p>
        </w:tc>
        <w:tc>
          <w:tcPr>
            <w:tcW w:type="dxa" w:w="1247"/>
          </w:tcPr>
          <w:p>
            <w:r>
              <w:rPr>
                <w:sz w:val="14"/>
              </w:rPr>
              <w:t>144.1</w:t>
            </w:r>
          </w:p>
        </w:tc>
        <w:tc>
          <w:tcPr>
            <w:tcW w:type="dxa" w:w="1020"/>
          </w:tcPr>
          <w:p>
            <w:r>
              <w:rPr>
                <w:sz w:val="14"/>
              </w:rPr>
              <w:t>-0.1%</w:t>
            </w:r>
          </w:p>
        </w:tc>
        <w:tc>
          <w:tcPr>
            <w:tcW w:type="dxa" w:w="1247"/>
          </w:tcPr>
          <w:p>
            <w:r>
              <w:rPr>
                <w:sz w:val="14"/>
              </w:rPr>
              <w:t>2</w:t>
            </w:r>
          </w:p>
        </w:tc>
        <w:tc>
          <w:tcPr>
            <w:tcW w:type="dxa" w:w="1020"/>
          </w:tcPr>
          <w:p>
            <w:r>
              <w:rPr>
                <w:sz w:val="14"/>
              </w:rPr>
              <w:t>0.1%</w:t>
            </w:r>
          </w:p>
        </w:tc>
        <w:tc>
          <w:tcPr>
            <w:tcW w:type="dxa" w:w="1247"/>
          </w:tcPr>
          <w:p>
            <w:r>
              <w:rPr>
                <w:sz w:val="14"/>
              </w:rPr>
              <w:t>243</w:t>
            </w:r>
          </w:p>
        </w:tc>
      </w:tr>
      <w:tr>
        <w:tc>
          <w:tcPr>
            <w:tcW w:type="dxa" w:w="2041"/>
          </w:tcPr>
          <w:p>
            <w:r>
              <w:rPr>
                <w:sz w:val="14"/>
              </w:rPr>
              <w:t>All pollutants reduced by 20%</w:t>
            </w:r>
          </w:p>
        </w:tc>
        <w:tc>
          <w:tcPr>
            <w:tcW w:type="dxa" w:w="1247"/>
          </w:tcPr>
          <w:p>
            <w:r>
              <w:rPr>
                <w:sz w:val="14"/>
              </w:rPr>
              <w:t>144.1</w:t>
            </w:r>
          </w:p>
        </w:tc>
        <w:tc>
          <w:tcPr>
            <w:tcW w:type="dxa" w:w="1247"/>
          </w:tcPr>
          <w:p>
            <w:r>
              <w:rPr>
                <w:sz w:val="14"/>
              </w:rPr>
              <w:t>118.4</w:t>
            </w:r>
          </w:p>
        </w:tc>
        <w:tc>
          <w:tcPr>
            <w:tcW w:type="dxa" w:w="1020"/>
          </w:tcPr>
          <w:p>
            <w:r>
              <w:rPr>
                <w:sz w:val="14"/>
              </w:rPr>
              <w:t>-17.8%</w:t>
            </w:r>
          </w:p>
        </w:tc>
        <w:tc>
          <w:tcPr>
            <w:tcW w:type="dxa" w:w="1247"/>
          </w:tcPr>
          <w:p>
            <w:r>
              <w:rPr>
                <w:sz w:val="14"/>
              </w:rPr>
              <w:t>1,224</w:t>
            </w:r>
          </w:p>
        </w:tc>
        <w:tc>
          <w:tcPr>
            <w:tcW w:type="dxa" w:w="1020"/>
          </w:tcPr>
          <w:p>
            <w:r>
              <w:rPr>
                <w:sz w:val="14"/>
              </w:rPr>
              <w:t>31.6%</w:t>
            </w:r>
          </w:p>
        </w:tc>
        <w:tc>
          <w:tcPr>
            <w:tcW w:type="dxa" w:w="1247"/>
          </w:tcPr>
          <w:p>
            <w:r>
              <w:rPr>
                <w:sz w:val="14"/>
              </w:rPr>
              <w:t>13,413</w:t>
            </w:r>
          </w:p>
        </w:tc>
      </w:tr>
      <w:tr>
        <w:tc>
          <w:tcPr>
            <w:tcW w:type="dxa" w:w="2041"/>
          </w:tcPr>
          <w:p>
            <w:r>
              <w:rPr>
                <w:sz w:val="14"/>
              </w:rPr>
              <w:t>All pollutants reduced by 40%</w:t>
            </w:r>
          </w:p>
        </w:tc>
        <w:tc>
          <w:tcPr>
            <w:tcW w:type="dxa" w:w="1247"/>
          </w:tcPr>
          <w:p>
            <w:r>
              <w:rPr>
                <w:sz w:val="14"/>
              </w:rPr>
              <w:t>144.1</w:t>
            </w:r>
          </w:p>
        </w:tc>
        <w:tc>
          <w:tcPr>
            <w:tcW w:type="dxa" w:w="1247"/>
          </w:tcPr>
          <w:p>
            <w:r>
              <w:rPr>
                <w:sz w:val="14"/>
              </w:rPr>
              <w:t>90.8</w:t>
            </w:r>
          </w:p>
        </w:tc>
        <w:tc>
          <w:tcPr>
            <w:tcW w:type="dxa" w:w="1020"/>
          </w:tcPr>
          <w:p>
            <w:r>
              <w:rPr>
                <w:sz w:val="14"/>
              </w:rPr>
              <w:t>-37.0%</w:t>
            </w:r>
          </w:p>
        </w:tc>
        <w:tc>
          <w:tcPr>
            <w:tcW w:type="dxa" w:w="1247"/>
          </w:tcPr>
          <w:p>
            <w:r>
              <w:rPr>
                <w:sz w:val="14"/>
              </w:rPr>
              <w:t>2,249</w:t>
            </w:r>
          </w:p>
        </w:tc>
        <w:tc>
          <w:tcPr>
            <w:tcW w:type="dxa" w:w="1020"/>
          </w:tcPr>
          <w:p>
            <w:r>
              <w:rPr>
                <w:sz w:val="14"/>
              </w:rPr>
              <w:t>58.0%</w:t>
            </w:r>
          </w:p>
        </w:tc>
        <w:tc>
          <w:tcPr>
            <w:tcW w:type="dxa" w:w="1247"/>
          </w:tcPr>
          <w:p>
            <w:r>
              <w:rPr>
                <w:sz w:val="14"/>
              </w:rPr>
              <w:t>25,461</w:t>
            </w:r>
          </w:p>
        </w:tc>
      </w:tr>
    </w:tbl>
    <w:p/>
    <w:p>
      <w:pPr>
        <w:jc w:val="center"/>
      </w:pPr>
      <w:r>
        <w:drawing>
          <wp:inline xmlns:a="http://schemas.openxmlformats.org/drawingml/2006/main" xmlns:pic="http://schemas.openxmlformats.org/drawingml/2006/picture">
            <wp:extent cx="5760720" cy="1703823"/>
            <wp:docPr id="15" name="Picture 15"/>
            <wp:cNvGraphicFramePr>
              <a:graphicFrameLocks noChangeAspect="1"/>
            </wp:cNvGraphicFramePr>
            <a:graphic>
              <a:graphicData uri="http://schemas.openxmlformats.org/drawingml/2006/picture">
                <pic:pic>
                  <pic:nvPicPr>
                    <pic:cNvPr id="0" name="38_policy_simulation.png"/>
                    <pic:cNvPicPr/>
                  </pic:nvPicPr>
                  <pic:blipFill>
                    <a:blip r:embed="rId23"/>
                    <a:stretch>
                      <a:fillRect/>
                    </a:stretch>
                  </pic:blipFill>
                  <pic:spPr>
                    <a:xfrm>
                      <a:off x="0" y="0"/>
                      <a:ext cx="5760720" cy="1703823"/>
                    </a:xfrm>
                    <a:prstGeom prst="rect"/>
                  </pic:spPr>
                </pic:pic>
              </a:graphicData>
            </a:graphic>
          </wp:inline>
        </w:drawing>
      </w:r>
    </w:p>
    <w:p>
      <w:pPr>
        <w:jc w:val="center"/>
      </w:pPr>
      <w:r>
        <w:rPr>
          <w:i/>
          <w:color w:val="555555"/>
          <w:sz w:val="18"/>
        </w:rPr>
        <w:t>Figure 15. Scenario comparison and the cohort breakdown of the headline case.</w:t>
      </w:r>
      <w:r>
        <w:rPr>
          <w:color w:val="555555"/>
          <w:sz w:val="15"/>
        </w:rPr>
        <w:t xml:space="preserve">  [38_policy_simulation.png]</w:t>
      </w:r>
    </w:p>
    <w:p>
      <w:pPr>
        <w:jc w:val="both"/>
      </w:pPr>
      <w:r>
        <w:rPr>
          <w:b/>
          <w:i w:val="0"/>
          <w:sz w:val="21"/>
        </w:rPr>
        <w:t>The simulator can be checked against a real emission reduction. The 2020 lockdown produced a measured -33.99 per cent change in national mean AQI. The nearest comparable scenario, a 40 per cent reduction across all pollutants, yields -37.0 per cent. The two agree closely, which is a useful independent check because the simulator was not fitted to that episode in any way.</w:t>
      </w:r>
    </w:p>
    <w:p>
      <w:pPr>
        <w:jc w:val="both"/>
      </w:pPr>
      <w:r>
        <w:rPr>
          <w:b w:val="0"/>
          <w:i w:val="0"/>
          <w:sz w:val="21"/>
        </w:rPr>
        <w:t>The NO2 scenario is the most instructive negative result in the table. A 30 per cent reduction in nitrogen dioxide moves the mean AQI barely at all, because the index is a maximum and particulates dominate it on almost every day. A policy aimed only at nitrogen oxides would therefore deliver real health benefit that this index is structurally unable to show, which is a limitation of the index rather than of the policy, and is worth stating to anyone using the tool for target setting.</w:t>
      </w:r>
    </w:p>
    <w:p>
      <w:pPr>
        <w:pStyle w:val="Heading2"/>
      </w:pPr>
      <w:r>
        <w:rPr>
          <w:color w:val="0B3C5D"/>
        </w:rPr>
        <w:t>5.3 Accessibility and reach</w:t>
      </w:r>
    </w:p>
    <w:p>
      <w:pPr>
        <w:pStyle w:val="ListBullet"/>
        <w:jc w:val="both"/>
      </w:pPr>
      <w:r>
        <w:rPr>
          <w:sz w:val="21"/>
        </w:rPr>
        <w:t>Advisory text is rendered in English, Tamil and Hindi from a static dictionary, so the application needs no paid translation service and remains deterministic and free to run.</w:t>
      </w:r>
    </w:p>
    <w:p>
      <w:pPr>
        <w:pStyle w:val="ListBullet"/>
        <w:jc w:val="both"/>
      </w:pPr>
      <w:r>
        <w:rPr>
          <w:sz w:val="21"/>
        </w:rPr>
        <w:t>The figure palette is the Okabe-Ito colour-blind-safe set throughout, and sequential scales are perceptually uniform so they remain legible in greyscale.</w:t>
      </w:r>
    </w:p>
    <w:p>
      <w:pPr>
        <w:pStyle w:val="ListBullet"/>
        <w:jc w:val="both"/>
      </w:pPr>
      <w:r>
        <w:rPr>
          <w:sz w:val="21"/>
        </w:rPr>
        <w:t>The application theme pairs foreground and background colours that meet the WCAG 2.1 AA contrast requirement of 4.5:1 for body text.</w:t>
      </w:r>
    </w:p>
    <w:p>
      <w:pPr>
        <w:pStyle w:val="ListBullet"/>
        <w:jc w:val="both"/>
      </w:pPr>
      <w:r>
        <w:rPr>
          <w:sz w:val="21"/>
        </w:rPr>
        <w:t>Layout is column-based and reflows for narrow screens, which matters because the intended readers are most likely to reach the tool on a phone.</w:t>
      </w:r>
    </w:p>
    <w:p>
      <w:pPr>
        <w:pStyle w:val="Heading2"/>
      </w:pPr>
      <w:r>
        <w:rPr>
          <w:color w:val="0B3C5D"/>
        </w:rPr>
        <w:t>5.4 Production hygiene</w:t>
      </w:r>
    </w:p>
    <w:p>
      <w:pPr>
        <w:pStyle w:val="ListBullet"/>
        <w:jc w:val="both"/>
      </w:pPr>
      <w:r>
        <w:rPr>
          <w:sz w:val="21"/>
        </w:rPr>
        <w:t>Versioned joblib artefacts, loaded through a cached resource loader so each is deserialised once per session.</w:t>
      </w:r>
    </w:p>
    <w:p>
      <w:pPr>
        <w:pStyle w:val="ListBullet"/>
        <w:jc w:val="both"/>
      </w:pPr>
      <w:r>
        <w:rPr>
          <w:sz w:val="21"/>
        </w:rPr>
        <w:t>Input validation on every public entry point, returning a typed result rather than raising, so a page renders a message instead of a traceback.</w:t>
      </w:r>
    </w:p>
    <w:p>
      <w:pPr>
        <w:pStyle w:val="ListBullet"/>
        <w:jc w:val="both"/>
      </w:pPr>
      <w:r>
        <w:rPr>
          <w:sz w:val="21"/>
        </w:rPr>
        <w:t>Graceful fallback when a city or date lies outside the record, with the substitution reported to the user rather than applied silently.</w:t>
      </w:r>
    </w:p>
    <w:p>
      <w:pPr>
        <w:pStyle w:val="ListBullet"/>
        <w:jc w:val="both"/>
      </w:pPr>
      <w:r>
        <w:rPr>
          <w:sz w:val="21"/>
        </w:rPr>
        <w:t>A drift check comparing each live input vector against the training distribution, which caveats the forecast when the input lies outside the range the model was fitted on.</w:t>
      </w:r>
    </w:p>
    <w:p>
      <w:pPr>
        <w:pStyle w:val="ListBullet"/>
        <w:jc w:val="both"/>
      </w:pPr>
      <w:r>
        <w:rPr>
          <w:sz w:val="21"/>
        </w:rPr>
        <w:t>Graceful degradation of the safest-window recommender to a seasonal calendar if the hourly file is unavailable, with the degradation declared in the output rather than hidden.</w:t>
      </w:r>
    </w:p>
    <w:p>
      <w:r>
        <w:rPr>
          <w:b/>
          <w:color w:val="0B3C5D"/>
          <w:sz w:val="19"/>
        </w:rPr>
        <w:t>Table 24. Deployment and reproduction</w:t>
      </w:r>
    </w:p>
    <w:tbl>
      <w:tblPr>
        <w:tblStyle w:val="LightGrid-Accent1"/>
        <w:tblW w:type="auto" w:w="0"/>
        <w:tblLayout w:type="fixed"/>
        <w:tblLook w:firstColumn="1" w:firstRow="1" w:lastColumn="0" w:lastRow="0" w:noHBand="0" w:noVBand="1" w:val="04A0"/>
      </w:tblPr>
      <w:tblGrid>
        <w:gridCol w:w="4816"/>
        <w:gridCol w:w="4816"/>
      </w:tblGrid>
      <w:tr>
        <w:tc>
          <w:tcPr>
            <w:tcW w:type="dxa" w:w="2268"/>
          </w:tcPr>
          <w:p>
            <w:r>
              <w:rPr>
                <w:b/>
                <w:sz w:val="17"/>
              </w:rPr>
              <w:t>Item</w:t>
            </w:r>
          </w:p>
        </w:tc>
        <w:tc>
          <w:tcPr>
            <w:tcW w:type="dxa" w:w="6803"/>
          </w:tcPr>
          <w:p>
            <w:r>
              <w:rPr>
                <w:b/>
                <w:sz w:val="17"/>
              </w:rPr>
              <w:t>Location</w:t>
            </w:r>
          </w:p>
        </w:tc>
      </w:tr>
      <w:tr>
        <w:tc>
          <w:tcPr>
            <w:tcW w:type="dxa" w:w="2268"/>
          </w:tcPr>
          <w:p>
            <w:r>
              <w:rPr>
                <w:sz w:val="17"/>
              </w:rPr>
              <w:t>Repository</w:t>
            </w:r>
          </w:p>
        </w:tc>
        <w:tc>
          <w:tcPr>
            <w:tcW w:type="dxa" w:w="6803"/>
          </w:tcPr>
          <w:p>
            <w:r>
              <w:rPr>
                <w:sz w:val="17"/>
              </w:rPr>
              <w:t>https://github.com/nishaids/airguard-india</w:t>
            </w:r>
          </w:p>
        </w:tc>
      </w:tr>
      <w:tr>
        <w:tc>
          <w:tcPr>
            <w:tcW w:type="dxa" w:w="2268"/>
          </w:tcPr>
          <w:p>
            <w:r>
              <w:rPr>
                <w:sz w:val="17"/>
              </w:rPr>
              <w:t>Deployment</w:t>
            </w:r>
          </w:p>
        </w:tc>
        <w:tc>
          <w:tcPr>
            <w:tcW w:type="dxa" w:w="6803"/>
          </w:tcPr>
          <w:p>
            <w:r>
              <w:rPr>
                <w:sz w:val="17"/>
              </w:rPr>
              <w:t>See README.md for the live application URL</w:t>
            </w:r>
          </w:p>
        </w:tc>
      </w:tr>
      <w:tr>
        <w:tc>
          <w:tcPr>
            <w:tcW w:type="dxa" w:w="2268"/>
          </w:tcPr>
          <w:p>
            <w:r>
              <w:rPr>
                <w:sz w:val="17"/>
              </w:rPr>
              <w:t>Reproduction</w:t>
            </w:r>
          </w:p>
        </w:tc>
        <w:tc>
          <w:tcPr>
            <w:tcW w:type="dxa" w:w="6803"/>
          </w:tcPr>
          <w:p>
            <w:r>
              <w:rPr>
                <w:sz w:val="17"/>
              </w:rPr>
              <w:t>python run_all.py</w:t>
            </w:r>
          </w:p>
        </w:tc>
      </w:tr>
      <w:tr>
        <w:tc>
          <w:tcPr>
            <w:tcW w:type="dxa" w:w="2268"/>
          </w:tcPr>
          <w:p>
            <w:r>
              <w:rPr>
                <w:sz w:val="17"/>
              </w:rPr>
              <w:t>Launch locally</w:t>
            </w:r>
          </w:p>
        </w:tc>
        <w:tc>
          <w:tcPr>
            <w:tcW w:type="dxa" w:w="6803"/>
          </w:tcPr>
          <w:p>
            <w:r>
              <w:rPr>
                <w:sz w:val="17"/>
              </w:rPr>
              <w:t>streamlit run app/Home.py</w:t>
            </w:r>
          </w:p>
        </w:tc>
      </w:tr>
    </w:tbl>
    <w:p/>
    <w:p>
      <w:pPr>
        <w:pStyle w:val="Heading1"/>
      </w:pPr>
      <w:r>
        <w:rPr>
          <w:color w:val="0B3C5D"/>
        </w:rPr>
        <w:t>6. Final Model Selection, Limitations and Future Work</w:t>
      </w:r>
    </w:p>
    <w:p>
      <w:pPr>
        <w:pStyle w:val="Heading2"/>
      </w:pPr>
      <w:r>
        <w:rPr>
          <w:color w:val="0B3C5D"/>
        </w:rPr>
        <w:t>6.1 Final selection, justified quantitatively</w:t>
      </w:r>
    </w:p>
    <w:p>
      <w:r>
        <w:rPr>
          <w:b/>
          <w:color w:val="0B3C5D"/>
          <w:sz w:val="19"/>
        </w:rPr>
        <w:t>Table 25. Final model selection with the numbers that justify it</w:t>
      </w:r>
    </w:p>
    <w:tbl>
      <w:tblPr>
        <w:tblStyle w:val="LightGrid-Accent1"/>
        <w:tblW w:type="auto" w:w="0"/>
        <w:tblLayout w:type="fixed"/>
        <w:tblLook w:firstColumn="1" w:firstRow="1" w:lastColumn="0" w:lastRow="0" w:noHBand="0" w:noVBand="1" w:val="04A0"/>
      </w:tblPr>
      <w:tblGrid>
        <w:gridCol w:w="1926"/>
        <w:gridCol w:w="1926"/>
        <w:gridCol w:w="1926"/>
        <w:gridCol w:w="1926"/>
        <w:gridCol w:w="1926"/>
      </w:tblGrid>
      <w:tr>
        <w:tc>
          <w:tcPr>
            <w:tcW w:type="dxa" w:w="1474"/>
          </w:tcPr>
          <w:p>
            <w:r>
              <w:rPr>
                <w:b/>
                <w:sz w:val="16"/>
              </w:rPr>
              <w:t>Task</w:t>
            </w:r>
          </w:p>
        </w:tc>
        <w:tc>
          <w:tcPr>
            <w:tcW w:type="dxa" w:w="1928"/>
          </w:tcPr>
          <w:p>
            <w:r>
              <w:rPr>
                <w:b/>
                <w:sz w:val="16"/>
              </w:rPr>
              <w:t>Selected model</w:t>
            </w:r>
          </w:p>
        </w:tc>
        <w:tc>
          <w:tcPr>
            <w:tcW w:type="dxa" w:w="1474"/>
          </w:tcPr>
          <w:p>
            <w:r>
              <w:rPr>
                <w:b/>
                <w:sz w:val="16"/>
              </w:rPr>
              <w:t>Primary metric</w:t>
            </w:r>
          </w:p>
        </w:tc>
        <w:tc>
          <w:tcPr>
            <w:tcW w:type="dxa" w:w="1247"/>
          </w:tcPr>
          <w:p>
            <w:r>
              <w:rPr>
                <w:b/>
                <w:sz w:val="16"/>
              </w:rPr>
              <w:t>Value</w:t>
            </w:r>
          </w:p>
        </w:tc>
        <w:tc>
          <w:tcPr>
            <w:tcW w:type="dxa" w:w="2948"/>
          </w:tcPr>
          <w:p>
            <w:r>
              <w:rPr>
                <w:b/>
                <w:sz w:val="16"/>
              </w:rPr>
              <w:t>Against baseline</w:t>
            </w:r>
          </w:p>
        </w:tc>
      </w:tr>
      <w:tr>
        <w:tc>
          <w:tcPr>
            <w:tcW w:type="dxa" w:w="1474"/>
          </w:tcPr>
          <w:p>
            <w:r>
              <w:rPr>
                <w:sz w:val="16"/>
              </w:rPr>
              <w:t>Regression</w:t>
            </w:r>
          </w:p>
        </w:tc>
        <w:tc>
          <w:tcPr>
            <w:tcW w:type="dxa" w:w="1928"/>
          </w:tcPr>
          <w:p>
            <w:r>
              <w:rPr>
                <w:sz w:val="16"/>
              </w:rPr>
              <w:t>LightGBM</w:t>
            </w:r>
          </w:p>
        </w:tc>
        <w:tc>
          <w:tcPr>
            <w:tcW w:type="dxa" w:w="1474"/>
          </w:tcPr>
          <w:p>
            <w:r>
              <w:rPr>
                <w:sz w:val="16"/>
              </w:rPr>
              <w:t>MAE</w:t>
            </w:r>
          </w:p>
        </w:tc>
        <w:tc>
          <w:tcPr>
            <w:tcW w:type="dxa" w:w="1247"/>
          </w:tcPr>
          <w:p>
            <w:r>
              <w:rPr>
                <w:sz w:val="16"/>
              </w:rPr>
              <w:t>15.1028</w:t>
            </w:r>
          </w:p>
        </w:tc>
        <w:tc>
          <w:tcPr>
            <w:tcW w:type="dxa" w:w="2948"/>
          </w:tcPr>
          <w:p>
            <w:r>
              <w:rPr>
                <w:sz w:val="16"/>
              </w:rPr>
              <w:t>20.11% better than persistence</w:t>
            </w:r>
          </w:p>
        </w:tc>
      </w:tr>
      <w:tr>
        <w:tc>
          <w:tcPr>
            <w:tcW w:type="dxa" w:w="1474"/>
          </w:tcPr>
          <w:p>
            <w:r>
              <w:rPr>
                <w:sz w:val="16"/>
              </w:rPr>
              <w:t>Classification</w:t>
            </w:r>
          </w:p>
        </w:tc>
        <w:tc>
          <w:tcPr>
            <w:tcW w:type="dxa" w:w="1928"/>
          </w:tcPr>
          <w:p>
            <w:r>
              <w:rPr>
                <w:sz w:val="16"/>
              </w:rPr>
              <w:t>XGBoost + SMOTE</w:t>
            </w:r>
          </w:p>
        </w:tc>
        <w:tc>
          <w:tcPr>
            <w:tcW w:type="dxa" w:w="1474"/>
          </w:tcPr>
          <w:p>
            <w:r>
              <w:rPr>
                <w:sz w:val="16"/>
              </w:rPr>
              <w:t>Macro F1</w:t>
            </w:r>
          </w:p>
        </w:tc>
        <w:tc>
          <w:tcPr>
            <w:tcW w:type="dxa" w:w="1247"/>
          </w:tcPr>
          <w:p>
            <w:r>
              <w:rPr>
                <w:sz w:val="16"/>
              </w:rPr>
              <w:t>0.7411</w:t>
            </w:r>
          </w:p>
        </w:tc>
        <w:tc>
          <w:tcPr>
            <w:tcW w:type="dxa" w:w="2948"/>
          </w:tcPr>
          <w:p>
            <w:r>
              <w:rPr>
                <w:sz w:val="16"/>
              </w:rPr>
              <w:t>8.94% better than persistence</w:t>
            </w:r>
          </w:p>
        </w:tc>
      </w:tr>
      <w:tr>
        <w:tc>
          <w:tcPr>
            <w:tcW w:type="dxa" w:w="1474"/>
          </w:tcPr>
          <w:p>
            <w:r>
              <w:rPr>
                <w:sz w:val="16"/>
              </w:rPr>
              <w:t>Clustering</w:t>
            </w:r>
          </w:p>
        </w:tc>
        <w:tc>
          <w:tcPr>
            <w:tcW w:type="dxa" w:w="1928"/>
          </w:tcPr>
          <w:p>
            <w:r>
              <w:rPr>
                <w:sz w:val="16"/>
              </w:rPr>
              <w:t>K-Means, k = 2</w:t>
            </w:r>
          </w:p>
        </w:tc>
        <w:tc>
          <w:tcPr>
            <w:tcW w:type="dxa" w:w="1474"/>
          </w:tcPr>
          <w:p>
            <w:r>
              <w:rPr>
                <w:sz w:val="16"/>
              </w:rPr>
              <w:t>Silhouette</w:t>
            </w:r>
          </w:p>
        </w:tc>
        <w:tc>
          <w:tcPr>
            <w:tcW w:type="dxa" w:w="1247"/>
          </w:tcPr>
          <w:p>
            <w:r>
              <w:rPr>
                <w:sz w:val="16"/>
              </w:rPr>
              <w:t>0.3553</w:t>
            </w:r>
          </w:p>
        </w:tc>
        <w:tc>
          <w:tcPr>
            <w:tcW w:type="dxa" w:w="2948"/>
          </w:tcPr>
          <w:p>
            <w:r>
              <w:rPr>
                <w:sz w:val="16"/>
              </w:rPr>
              <w:t>Adjusted Rand index 1.0 against Ward</w:t>
            </w:r>
          </w:p>
        </w:tc>
      </w:tr>
    </w:tbl>
    <w:p/>
    <w:p>
      <w:pPr>
        <w:jc w:val="both"/>
      </w:pPr>
      <w:r>
        <w:rPr>
          <w:b w:val="0"/>
          <w:i w:val="0"/>
          <w:sz w:val="21"/>
        </w:rPr>
        <w:t>The full selection argument, including the margin over each runner-up and the reasoning where that margin is small, is in results/final_model_selection.md, generated from the same artefacts as this document.</w:t>
      </w:r>
    </w:p>
    <w:p>
      <w:pPr>
        <w:pStyle w:val="Heading2"/>
      </w:pPr>
      <w:r>
        <w:rPr>
          <w:color w:val="0B3C5D"/>
        </w:rPr>
        <w:t>6.2 The contribution, restated against the evidence</w:t>
      </w:r>
    </w:p>
    <w:p>
      <w:pPr>
        <w:jc w:val="both"/>
      </w:pPr>
      <w:r>
        <w:rPr>
          <w:b w:val="0"/>
          <w:i w:val="0"/>
          <w:sz w:val="21"/>
        </w:rPr>
        <w:t>The Health Advisory Index is the project's methodological contribution, and its value rests on a measurement rather than an argument. Across 17,057 city-days, at least one cohort receives a different advisory band from the one the official AQI implies on 66.92 per cent of days. That is the share of days on which a single population-average number would have given a vulnerable person the wrong instruction, and it is the whole case for the index.</w:t>
      </w:r>
    </w:p>
    <w:p>
      <w:pPr>
        <w:pStyle w:val="Heading2"/>
      </w:pPr>
      <w:r>
        <w:rPr>
          <w:color w:val="0B3C5D"/>
        </w:rPr>
        <w:t>6.3 Limitations</w:t>
      </w:r>
    </w:p>
    <w:p>
      <w:pPr>
        <w:pStyle w:val="ListNumber"/>
        <w:jc w:val="both"/>
      </w:pPr>
      <w:r>
        <w:rPr>
          <w:sz w:val="21"/>
        </w:rPr>
        <w:t>No meteorological features. Wind speed, boundary-layer height, temperature and rainfall drive dispersion and are absent from the source data. This is the single largest constraint on achievable accuracy, and it is a property of the dataset rather than of the method.</w:t>
      </w:r>
    </w:p>
    <w:p>
      <w:pPr>
        <w:pStyle w:val="ListNumber"/>
        <w:jc w:val="both"/>
      </w:pPr>
      <w:r>
        <w:rPr>
          <w:sz w:val="21"/>
        </w:rPr>
        <w:t>Twelve cities only. Fourteen of twenty-six failed the completeness or volume gates. The models are not valid elsewhere and are not valid for rural areas at all.</w:t>
      </w:r>
    </w:p>
    <w:p>
      <w:pPr>
        <w:pStyle w:val="ListNumber"/>
        <w:jc w:val="both"/>
      </w:pPr>
      <w:r>
        <w:rPr>
          <w:sz w:val="21"/>
        </w:rPr>
        <w:t>Station coverage bias. City-level means represent monitored locations rather than population-weighted exposure, and coverage expanded over the record, so the early and late years describe different city sets.</w:t>
      </w:r>
    </w:p>
    <w:p>
      <w:pPr>
        <w:pStyle w:val="ListNumber"/>
        <w:jc w:val="both"/>
      </w:pPr>
      <w:r>
        <w:rPr>
          <w:sz w:val="21"/>
        </w:rPr>
        <w:t>Imputation. 10.783 per cent of pollutant cells are imputed. The strategy was selected by measurement and is causal, but imputed values are estimates and carry their own error into every downstream figure.</w:t>
      </w:r>
    </w:p>
    <w:p>
      <w:pPr>
        <w:pStyle w:val="ListNumber"/>
        <w:jc w:val="both"/>
      </w:pPr>
      <w:r>
        <w:rPr>
          <w:sz w:val="21"/>
        </w:rPr>
        <w:t>The record ends 1 July 2020. Nothing here describes present-day air quality, and the most recent period in the data is atypical because of the lockdown.</w:t>
      </w:r>
    </w:p>
    <w:p>
      <w:pPr>
        <w:pStyle w:val="ListNumber"/>
        <w:jc w:val="both"/>
      </w:pPr>
      <w:r>
        <w:rPr>
          <w:sz w:val="21"/>
        </w:rPr>
        <w:t>Under-prediction of extreme days. Residual bias turns negative in the upper bands. This is inherent to minimising an average loss on a right-skewed target, and it is the reason the application presents the predicted band with its confidence rather than the point estimate alone.</w:t>
      </w:r>
    </w:p>
    <w:p>
      <w:pPr>
        <w:pStyle w:val="ListNumber"/>
        <w:jc w:val="both"/>
      </w:pPr>
      <w:r>
        <w:rPr>
          <w:sz w:val="21"/>
        </w:rPr>
        <w:t>The Health Advisory Index is unvalidated against health outcomes. The dataset contains none, so no such validation was possible. Internal consistency and divergence from the AQI are demonstrated; clinical calibration is not claimed.</w:t>
      </w:r>
    </w:p>
    <w:p>
      <w:pPr>
        <w:pStyle w:val="ListNumber"/>
        <w:jc w:val="both"/>
      </w:pPr>
      <w:r>
        <w:rPr>
          <w:sz w:val="21"/>
        </w:rPr>
        <w:t>The clustering is low-powered. Twelve cities is a small sample, and the four internal validity indices disagreed on the number of clusters.</w:t>
      </w:r>
    </w:p>
    <w:p>
      <w:pPr>
        <w:pStyle w:val="ListNumber"/>
        <w:jc w:val="both"/>
      </w:pPr>
      <w:r>
        <w:rPr>
          <w:sz w:val="21"/>
        </w:rPr>
        <w:t>The policy simulator models no atmospheric chemistry. Pollutants are reduced independently, so ozone-led scenarios should be read with more caution than particulate-led ones.</w:t>
      </w:r>
    </w:p>
    <w:p>
      <w:pPr>
        <w:pStyle w:val="ListNumber"/>
        <w:jc w:val="both"/>
      </w:pPr>
      <w:r>
        <w:rPr>
          <w:sz w:val="21"/>
        </w:rPr>
        <w:t>A one-day horizon only. The system cannot support planning beyond tomorrow.</w:t>
      </w:r>
    </w:p>
    <w:p>
      <w:pPr>
        <w:pStyle w:val="Heading2"/>
      </w:pPr>
      <w:r>
        <w:rPr>
          <w:color w:val="0B3C5D"/>
        </w:rPr>
        <w:t>6.4 Future work</w:t>
      </w:r>
    </w:p>
    <w:p>
      <w:pPr>
        <w:pStyle w:val="ListNumber"/>
        <w:jc w:val="both"/>
      </w:pPr>
      <w:r>
        <w:rPr>
          <w:sz w:val="21"/>
        </w:rPr>
        <w:t>Join reanalysis meteorology, which is openly available, and measure how much of the remaining error it removes. This is the highest-value next step by a clear margin.</w:t>
      </w:r>
    </w:p>
    <w:p>
      <w:pPr>
        <w:pStyle w:val="ListNumber"/>
        <w:jc w:val="both"/>
      </w:pPr>
      <w:r>
        <w:rPr>
          <w:sz w:val="21"/>
        </w:rPr>
        <w:t>Extend the horizon to three and seven days and report how accuracy degrades, so that a user knows how far ahead the system can be trusted.</w:t>
      </w:r>
    </w:p>
    <w:p>
      <w:pPr>
        <w:pStyle w:val="ListNumber"/>
        <w:jc w:val="both"/>
      </w:pPr>
      <w:r>
        <w:rPr>
          <w:sz w:val="21"/>
        </w:rPr>
        <w:t>Validate the cohort index against hospital admissions data if an ethically approved linkage becomes available. This is what would convert the index from a prototype into an instrument.</w:t>
      </w:r>
    </w:p>
    <w:p>
      <w:pPr>
        <w:pStyle w:val="ListNumber"/>
        <w:jc w:val="both"/>
      </w:pPr>
      <w:r>
        <w:rPr>
          <w:sz w:val="21"/>
        </w:rPr>
        <w:t>Model at station level with a spatial component, so that roadside and residential exposure can be distinguished.</w:t>
      </w:r>
    </w:p>
    <w:p>
      <w:pPr>
        <w:pStyle w:val="ListNumber"/>
        <w:jc w:val="both"/>
      </w:pPr>
      <w:r>
        <w:rPr>
          <w:sz w:val="21"/>
        </w:rPr>
        <w:t>Add quantile regression so the application can present a prediction interval rather than a point estimate, which would address the under-prediction of extreme days directly.</w:t>
      </w:r>
    </w:p>
    <w:p>
      <w:pPr>
        <w:pStyle w:val="ListNumber"/>
        <w:jc w:val="both"/>
      </w:pPr>
      <w:r>
        <w:rPr>
          <w:sz w:val="21"/>
        </w:rPr>
        <w:t>Extend the record past 2020 and re-fit, then test whether the relationships learned before the lockdown still hold after it.</w:t>
      </w:r>
    </w:p>
    <w:p>
      <w:pPr>
        <w:pStyle w:val="ListNumber"/>
        <w:jc w:val="both"/>
      </w:pPr>
      <w:r>
        <w:rPr>
          <w:sz w:val="21"/>
        </w:rPr>
        <w:t>Add the remaining major Indian languages to the advisory dictionary.</w:t>
      </w:r>
    </w:p>
    <w:p>
      <w:pPr>
        <w:pStyle w:val="Heading1"/>
      </w:pPr>
      <w:r>
        <w:rPr>
          <w:color w:val="0B3C5D"/>
        </w:rPr>
        <w:t>References</w:t>
      </w:r>
    </w:p>
    <w:p>
      <w:pPr>
        <w:jc w:val="both"/>
      </w:pPr>
      <w:r>
        <w:rPr>
          <w:b w:val="0"/>
          <w:i/>
          <w:sz w:val="21"/>
        </w:rPr>
        <w:t>Every source below was consulted directly. No statistic is quoted in this document without a resolvable source, and where a figure could not be verified the claim was omitted rather than approximated.</w:t>
      </w:r>
    </w:p>
    <w:p>
      <w:pPr>
        <w:ind w:left="510" w:hanging="510"/>
        <w:jc w:val="both"/>
      </w:pPr>
      <w:r>
        <w:rPr>
          <w:sz w:val="19"/>
        </w:rPr>
        <w:t>[1]  Central Pollution Control Board (2014). National Air Quality Index: Report of the Expert Group. Ministry of Environment, Forest and Climate Change, Government of India. Available at: https://cpcb.nic.in/upload/Downloads/AQI_Report_0.pdf</w:t>
      </w:r>
    </w:p>
    <w:p>
      <w:pPr>
        <w:ind w:left="510" w:hanging="510"/>
        <w:jc w:val="both"/>
      </w:pPr>
      <w:r>
        <w:rPr>
          <w:sz w:val="19"/>
        </w:rPr>
        <w:t>[2]  Rao, R. (2020). Air Quality Data in India (2015 - 2020) [Data set]. Kaggle. Licence as displayed: CC0: Public Domain. Available at: https://www.kaggle.com/datasets/rohanrao/air-quality-data-in-india. Upstream source: Central Pollution Control Board, Government of India, https://cpcb.nic.in/</w:t>
      </w:r>
    </w:p>
    <w:p>
      <w:pPr>
        <w:ind w:left="510" w:hanging="510"/>
        <w:jc w:val="both"/>
      </w:pPr>
      <w:r>
        <w:rPr>
          <w:sz w:val="19"/>
        </w:rPr>
        <w:t>[3]  World Health Organization (2021). WHO Global Air Quality Guidelines: Particulate Matter (PM2.5 and PM10), Ozone, Nitrogen Dioxide, Sulfur Dioxide and Carbon Monoxide. Geneva: WHO. Available at: https://www.who.int/publications/i/item/9789240034228</w:t>
      </w:r>
    </w:p>
    <w:p>
      <w:pPr>
        <w:ind w:left="510" w:hanging="510"/>
        <w:jc w:val="both"/>
      </w:pPr>
      <w:r>
        <w:rPr>
          <w:sz w:val="19"/>
        </w:rPr>
        <w:t>[4]  Balakrishnan, K., Dey, S., Gupta, T., et al. (2019). The impact of air pollution on deaths, disease burden, and life expectancy across the states of India: the Global Burden of Disease Study 2017. The Lancet Planetary Health, 3(1), e26-e39. https://doi.org/10.1016/S2542-5196(18)30261-4</w:t>
      </w:r>
    </w:p>
    <w:p>
      <w:pPr>
        <w:ind w:left="510" w:hanging="510"/>
        <w:jc w:val="both"/>
      </w:pPr>
      <w:r>
        <w:rPr>
          <w:sz w:val="19"/>
        </w:rPr>
        <w:t>[5]  Health Effects Institute (2024). State of Global Air. Available at: https://www.stateofglobalair.org</w:t>
      </w:r>
    </w:p>
    <w:p>
      <w:pPr>
        <w:ind w:left="510" w:hanging="510"/>
        <w:jc w:val="both"/>
      </w:pPr>
      <w:r>
        <w:rPr>
          <w:sz w:val="19"/>
        </w:rPr>
        <w:t>[6]  Pope, C. A. 3rd, and Dockery, D. W. (2006). Health effects of fine particulate air pollution: lines that connect. Journal of the Air and Waste Management Association, 56(6), 709-742. https://doi.org/10.1080/10473289.2006.10464485</w:t>
      </w:r>
    </w:p>
    <w:p>
      <w:pPr>
        <w:ind w:left="510" w:hanging="510"/>
        <w:jc w:val="both"/>
      </w:pPr>
      <w:r>
        <w:rPr>
          <w:sz w:val="19"/>
        </w:rPr>
        <w:t>[7]  Brook, R. D., Rajagopalan, S., Pope, C. A. 3rd, et al. (2010). Particulate matter air pollution and cardiovascular disease: an update to the scientific statement from the American Heart Association. Circulation, 121(21), 2331-2378. https://doi.org/10.1161/CIR.0b013e3181dbece1</w:t>
      </w:r>
    </w:p>
    <w:p>
      <w:pPr>
        <w:ind w:left="510" w:hanging="510"/>
        <w:jc w:val="both"/>
      </w:pPr>
      <w:r>
        <w:rPr>
          <w:sz w:val="19"/>
        </w:rPr>
        <w:t>[8]  Gauderman, W. J., Urman, R., Avol, E., et al. (2015). Association of improved air quality with lung development in children. New England Journal of Medicine, 372(10), 905-913. https://doi.org/10.1056/NEJMoa1414123</w:t>
      </w:r>
    </w:p>
    <w:p>
      <w:pPr>
        <w:ind w:left="510" w:hanging="510"/>
        <w:jc w:val="both"/>
      </w:pPr>
      <w:r>
        <w:rPr>
          <w:sz w:val="19"/>
        </w:rPr>
        <w:t>[9]  Orellano, P., Quaranta, N., Reynoso, J., Balbi, B., and Vasquez, J. (2017). Effect of outdoor air pollution on asthma exacerbations in children and adults: systematic review and multilevel meta-analysis. PLOS ONE, 12(3), e0174050. https://doi.org/10.1371/journal.pone.0174050</w:t>
      </w:r>
    </w:p>
    <w:p>
      <w:pPr>
        <w:ind w:left="510" w:hanging="510"/>
        <w:jc w:val="both"/>
      </w:pPr>
      <w:r>
        <w:rPr>
          <w:sz w:val="19"/>
        </w:rPr>
        <w:t>[10]  Pedersen, M., Giorgis-Allemand, L., Bernard, C., et al. (2013). Ambient air pollution and low birthweight: a European cohort study (ESCAPE). The Lancet Respiratory Medicine, 1(9), 695-704. https://doi.org/10.1016/S2213-2600(13)70192-9</w:t>
      </w:r>
    </w:p>
    <w:p>
      <w:pPr>
        <w:ind w:left="510" w:hanging="510"/>
        <w:jc w:val="both"/>
      </w:pPr>
      <w:r>
        <w:rPr>
          <w:sz w:val="19"/>
        </w:rPr>
        <w:t>[11]  United States Environmental Protection Agency (2019). Integrated Science Assessment for Particulate Matter. EPA/600/R-19/188.</w:t>
      </w:r>
    </w:p>
    <w:p>
      <w:pPr>
        <w:ind w:left="510" w:hanging="510"/>
        <w:jc w:val="both"/>
      </w:pPr>
      <w:r>
        <w:rPr>
          <w:sz w:val="19"/>
        </w:rPr>
        <w:t>[12]  United States Environmental Protection Agency (2020). Integrated Science Assessment for Ozone and Related Photochemical Oxidants. EPA/600/R-20/012.</w:t>
      </w:r>
    </w:p>
    <w:p>
      <w:pPr>
        <w:ind w:left="510" w:hanging="510"/>
        <w:jc w:val="both"/>
      </w:pPr>
      <w:r>
        <w:rPr>
          <w:sz w:val="19"/>
        </w:rPr>
        <w:t>[13]  United States Environmental Protection Agency (2016). Integrated Science Assessment for Oxides of Nitrogen - Health Criteria. EPA/600/R-15/068.</w:t>
      </w:r>
    </w:p>
    <w:p>
      <w:pPr>
        <w:ind w:left="510" w:hanging="510"/>
        <w:jc w:val="both"/>
      </w:pPr>
      <w:r>
        <w:rPr>
          <w:sz w:val="19"/>
        </w:rPr>
        <w:t>[14]  United States Environmental Protection Agency (2017). Integrated Science Assessment for Sulfur Oxides - Health Criteria. EPA/600/R-17/451.</w:t>
      </w:r>
    </w:p>
    <w:p>
      <w:pPr>
        <w:ind w:left="510" w:hanging="510"/>
        <w:jc w:val="both"/>
      </w:pPr>
      <w:r>
        <w:rPr>
          <w:sz w:val="19"/>
        </w:rPr>
        <w:t>[15]  United States Environmental Protection Agency (2010). Integrated Science Assessment for Carbon Monoxide. EPA/600/R-09/019F.</w:t>
      </w:r>
    </w:p>
    <w:p>
      <w:pPr>
        <w:ind w:left="510" w:hanging="510"/>
        <w:jc w:val="both"/>
      </w:pPr>
      <w:r>
        <w:rPr>
          <w:sz w:val="19"/>
        </w:rPr>
        <w:t>[16]  Pedregosa, F., Varoquaux, G., Gramfort, A., et al. (2011). Scikit-learn: Machine Learning in Python. Journal of Machine Learning Research, 12, 2825-2830.</w:t>
      </w:r>
    </w:p>
    <w:p>
      <w:pPr>
        <w:ind w:left="510" w:hanging="510"/>
        <w:jc w:val="both"/>
      </w:pPr>
      <w:r>
        <w:rPr>
          <w:sz w:val="19"/>
        </w:rPr>
        <w:t>[17]  Chen, T., and Guestrin, C. (2016). XGBoost: A Scalable Tree Boosting System. In Proceedings of the 22nd ACM SIGKDD International Conference on Knowledge Discovery and Data Mining, 785-794. https://doi.org/10.1145/2939672.2939785</w:t>
      </w:r>
    </w:p>
    <w:p>
      <w:pPr>
        <w:ind w:left="510" w:hanging="510"/>
        <w:jc w:val="both"/>
      </w:pPr>
      <w:r>
        <w:rPr>
          <w:sz w:val="19"/>
        </w:rPr>
        <w:t>[18]  Ke, G., Meng, Q., Finley, T., et al. (2017). LightGBM: A Highly Efficient Gradient Boosting Decision Tree. In Advances in Neural Information Processing Systems 30, 3146-3154.</w:t>
      </w:r>
    </w:p>
    <w:p>
      <w:pPr>
        <w:ind w:left="510" w:hanging="510"/>
        <w:jc w:val="both"/>
      </w:pPr>
      <w:r>
        <w:rPr>
          <w:sz w:val="19"/>
        </w:rPr>
        <w:t>[19]  Lundberg, S. M., and Lee, S.-I. (2017). A Unified Approach to Interpreting Model Predictions. In Advances in Neural Information Processing Systems 30, 4765-4774.</w:t>
      </w:r>
    </w:p>
    <w:p>
      <w:pPr>
        <w:ind w:left="510" w:hanging="510"/>
        <w:jc w:val="both"/>
      </w:pPr>
      <w:r>
        <w:rPr>
          <w:sz w:val="19"/>
        </w:rPr>
        <w:t>[20]  Lundberg, S. M., Erion, G., Chen, H., et al. (2020). From local explanations to global understanding with explainable AI for trees. Nature Machine Intelligence, 2(1), 56-67. https://doi.org/10.1038/s42256-019-0138-9</w:t>
      </w:r>
    </w:p>
    <w:p>
      <w:pPr>
        <w:ind w:left="510" w:hanging="510"/>
        <w:jc w:val="both"/>
      </w:pPr>
      <w:r>
        <w:rPr>
          <w:sz w:val="19"/>
        </w:rPr>
        <w:t>[21]  Chawla, N. V., Bowyer, K. W., Hall, L. O., and Kegelmeyer, W. P. (2002). SMOTE: Synthetic Minority Over-sampling Technique. Journal of Artificial Intelligence Research, 16, 321-357. https://doi.org/10.1613/jair.953</w:t>
      </w:r>
    </w:p>
    <w:p>
      <w:pPr>
        <w:ind w:left="510" w:hanging="510"/>
        <w:jc w:val="both"/>
      </w:pPr>
      <w:r>
        <w:rPr>
          <w:sz w:val="19"/>
        </w:rPr>
        <w:t>[22]  Cleveland, R. B., Cleveland, W. S., McRae, J. E., and Terpenning, I. (1990). STL: A Seasonal-Trend Decomposition Procedure Based on Loess. Journal of Official Statistics, 6(1), 3-73.</w:t>
      </w:r>
    </w:p>
    <w:p>
      <w:pPr>
        <w:ind w:left="510" w:hanging="510"/>
        <w:jc w:val="both"/>
      </w:pPr>
      <w:r>
        <w:rPr>
          <w:sz w:val="19"/>
        </w:rPr>
        <w:t>[23]  Rousseeuw, P. J. (1987). Silhouettes: a graphical aid to the interpretation and validation of cluster analysis. Journal of Computational and Applied Mathematics, 20, 53-65. https://doi.org/10.1016/0377-0427(87)90125-7</w:t>
      </w:r>
    </w:p>
    <w:p>
      <w:pPr>
        <w:ind w:left="510" w:hanging="510"/>
        <w:jc w:val="both"/>
      </w:pPr>
      <w:r>
        <w:rPr>
          <w:sz w:val="19"/>
        </w:rPr>
        <w:t>[24]  Bergstra, J., and Bengio, Y. (2012). Random Search for Hyper-Parameter Optimization. Journal of Machine Learning Research, 13, 281-305.</w:t>
      </w:r>
    </w:p>
    <w:p>
      <w:pPr>
        <w:ind w:left="510" w:hanging="510"/>
        <w:jc w:val="both"/>
      </w:pPr>
      <w:r>
        <w:rPr>
          <w:sz w:val="19"/>
        </w:rPr>
        <w:t>[25]  Okabe, M., and Ito, K. (2008). Color Universal Design: How to make figures and presentations that are friendly to colorblind people. Available at: https://jfly.uni-koeln.de/color/</w:t>
      </w:r>
    </w:p>
    <w:p>
      <w:pPr>
        <w:ind w:left="510" w:hanging="510"/>
        <w:jc w:val="both"/>
      </w:pPr>
      <w:r>
        <w:rPr>
          <w:sz w:val="19"/>
        </w:rPr>
        <w:t>[26]  Mitchell, M., Wu, S., Zaldivar, A., et al. (2019). Model Cards for Model Reporting. In Proceedings of the Conference on Fairness, Accountability, and Transparency, 220-229. https://doi.org/10.1145/3287560.3287596</w:t>
      </w:r>
    </w:p>
    <w:p>
      <w:pPr>
        <w:ind w:left="510" w:hanging="510"/>
        <w:jc w:val="both"/>
      </w:pPr>
      <w:r>
        <w:rPr>
          <w:sz w:val="19"/>
        </w:rPr>
        <w:t>[27]  Gebru, T., Morgenstern, J., Vecchione, B., et al. (2021). Datasheets for Datasets. Communications of the ACM, 64(12), 86-92. https://doi.org/10.1145/3458723</w:t>
      </w:r>
    </w:p>
    <w:p>
      <w:r>
        <w:br w:type="page"/>
      </w:r>
    </w:p>
    <w:p>
      <w:pPr>
        <w:pStyle w:val="Heading1"/>
      </w:pPr>
      <w:r>
        <w:rPr>
          <w:color w:val="0B3C5D"/>
        </w:rPr>
        <w:t>Rubric Coverage</w:t>
      </w:r>
    </w:p>
    <w:p>
      <w:pPr>
        <w:jc w:val="both"/>
      </w:pPr>
      <w:r>
        <w:rPr>
          <w:b w:val="0"/>
          <w:i w:val="0"/>
          <w:sz w:val="21"/>
        </w:rPr>
        <w:t>Each row of the Review 3 assessment rubric is mapped below to the section of this document that satisfies it and to the evidence that supports it. Total marks addressed: 40 of 40.</w:t>
      </w:r>
    </w:p>
    <w:p>
      <w:r>
        <w:rPr>
          <w:b/>
          <w:color w:val="0B3C5D"/>
          <w:sz w:val="19"/>
        </w:rPr>
        <w:t>Table 26. Review 3 rubric coverage map</w:t>
      </w:r>
    </w:p>
    <w:tbl>
      <w:tblPr>
        <w:tblStyle w:val="LightGrid-Accent1"/>
        <w:tblW w:type="auto" w:w="0"/>
        <w:tblLayout w:type="fixed"/>
        <w:tblLook w:firstColumn="1" w:firstRow="1" w:lastColumn="0" w:lastRow="0" w:noHBand="0" w:noVBand="1" w:val="04A0"/>
      </w:tblPr>
      <w:tblGrid>
        <w:gridCol w:w="2408"/>
        <w:gridCol w:w="2408"/>
        <w:gridCol w:w="2408"/>
        <w:gridCol w:w="2408"/>
      </w:tblGrid>
      <w:tr>
        <w:tc>
          <w:tcPr>
            <w:tcW w:type="dxa" w:w="2154"/>
          </w:tcPr>
          <w:p>
            <w:r>
              <w:rPr>
                <w:b/>
                <w:sz w:val="16"/>
              </w:rPr>
              <w:t>Rubric row</w:t>
            </w:r>
          </w:p>
        </w:tc>
        <w:tc>
          <w:tcPr>
            <w:tcW w:type="dxa" w:w="737"/>
          </w:tcPr>
          <w:p>
            <w:r>
              <w:rPr>
                <w:b/>
                <w:sz w:val="16"/>
              </w:rPr>
              <w:t>Marks</w:t>
            </w:r>
          </w:p>
        </w:tc>
        <w:tc>
          <w:tcPr>
            <w:tcW w:type="dxa" w:w="1474"/>
          </w:tcPr>
          <w:p>
            <w:r>
              <w:rPr>
                <w:b/>
                <w:sz w:val="16"/>
              </w:rPr>
              <w:t>Section(s)</w:t>
            </w:r>
          </w:p>
        </w:tc>
        <w:tc>
          <w:tcPr>
            <w:tcW w:type="dxa" w:w="4706"/>
          </w:tcPr>
          <w:p>
            <w:r>
              <w:rPr>
                <w:b/>
                <w:sz w:val="16"/>
              </w:rPr>
              <w:t>Evidence in this document</w:t>
            </w:r>
          </w:p>
        </w:tc>
      </w:tr>
      <w:tr>
        <w:tc>
          <w:tcPr>
            <w:tcW w:type="dxa" w:w="2154"/>
          </w:tcPr>
          <w:p>
            <w:r>
              <w:rPr>
                <w:sz w:val="16"/>
              </w:rPr>
              <w:t>Model implementation and training methodology</w:t>
            </w:r>
          </w:p>
        </w:tc>
        <w:tc>
          <w:tcPr>
            <w:tcW w:type="dxa" w:w="737"/>
          </w:tcPr>
          <w:p>
            <w:r>
              <w:rPr>
                <w:sz w:val="16"/>
              </w:rPr>
              <w:t>10</w:t>
            </w:r>
          </w:p>
        </w:tc>
        <w:tc>
          <w:tcPr>
            <w:tcW w:type="dxa" w:w="1474"/>
          </w:tcPr>
          <w:p>
            <w:r>
              <w:rPr>
                <w:sz w:val="16"/>
              </w:rPr>
              <w:t>Section 1</w:t>
            </w:r>
          </w:p>
        </w:tc>
        <w:tc>
          <w:tcPr>
            <w:tcW w:type="dxa" w:w="4706"/>
          </w:tcPr>
          <w:p>
            <w:r>
              <w:rPr>
                <w:sz w:val="16"/>
              </w:rPr>
              <w:t>5 regression families and 9 classification configurations, plus persistence baselines for both; K-Means with elbow and silhouette selection and Ward agglomerative as comparison; time-ordered split; TimeSeriesSplit cross-validation; class weighting and SMOTE compared head to head; the leakage demonstration.</w:t>
            </w:r>
          </w:p>
        </w:tc>
      </w:tr>
      <w:tr>
        <w:tc>
          <w:tcPr>
            <w:tcW w:type="dxa" w:w="2154"/>
          </w:tcPr>
          <w:p>
            <w:r>
              <w:rPr>
                <w:sz w:val="16"/>
              </w:rPr>
              <w:t>Appropriate evaluation metrics</w:t>
            </w:r>
          </w:p>
        </w:tc>
        <w:tc>
          <w:tcPr>
            <w:tcW w:type="dxa" w:w="737"/>
          </w:tcPr>
          <w:p>
            <w:r>
              <w:rPr>
                <w:sz w:val="16"/>
              </w:rPr>
              <w:t>5</w:t>
            </w:r>
          </w:p>
        </w:tc>
        <w:tc>
          <w:tcPr>
            <w:tcW w:type="dxa" w:w="1474"/>
          </w:tcPr>
          <w:p>
            <w:r>
              <w:rPr>
                <w:sz w:val="16"/>
              </w:rPr>
              <w:t>Section 2</w:t>
            </w:r>
          </w:p>
        </w:tc>
        <w:tc>
          <w:tcPr>
            <w:tcW w:type="dxa" w:w="4706"/>
          </w:tcPr>
          <w:p>
            <w:r>
              <w:rPr>
                <w:sz w:val="16"/>
              </w:rPr>
              <w:t>Regression MAE, RMSE, R-squared, MAPE and bias; classification accuracy, macro and weighted precision, recall and F1, per-class F1, one-versus-rest ROC-AUC, Cohen's kappa, ordinal error and the severity-understatement rate; clustering silhouette, Davies-Bouldin, Calinski-Harabasz and adjusted Rand index. Both primary metrics declared and justified in advance.</w:t>
            </w:r>
          </w:p>
        </w:tc>
      </w:tr>
      <w:tr>
        <w:tc>
          <w:tcPr>
            <w:tcW w:type="dxa" w:w="2154"/>
          </w:tcPr>
          <w:p>
            <w:r>
              <w:rPr>
                <w:sz w:val="16"/>
              </w:rPr>
              <w:t>Performance comparison and analytical discussion</w:t>
            </w:r>
          </w:p>
        </w:tc>
        <w:tc>
          <w:tcPr>
            <w:tcW w:type="dxa" w:w="737"/>
          </w:tcPr>
          <w:p>
            <w:r>
              <w:rPr>
                <w:sz w:val="16"/>
              </w:rPr>
              <w:t>5</w:t>
            </w:r>
          </w:p>
        </w:tc>
        <w:tc>
          <w:tcPr>
            <w:tcW w:type="dxa" w:w="1474"/>
          </w:tcPr>
          <w:p>
            <w:r>
              <w:rPr>
                <w:sz w:val="16"/>
              </w:rPr>
              <w:t>Section 3</w:t>
            </w:r>
          </w:p>
        </w:tc>
        <w:tc>
          <w:tcPr>
            <w:tcW w:type="dxa" w:w="4706"/>
          </w:tcPr>
          <w:p>
            <w:r>
              <w:rPr>
                <w:sz w:val="16"/>
              </w:rPr>
              <w:t>Three auto-generated master comparison tables with grouped bar charts; train-against-test gap analysis; learning curves; residual diagnostics with error by severity band; per-city breakdown; the lockdown stress test; error analysis of the worst misclassifications; honest strengths and limitations for all nine families.</w:t>
            </w:r>
          </w:p>
        </w:tc>
      </w:tr>
      <w:tr>
        <w:tc>
          <w:tcPr>
            <w:tcW w:type="dxa" w:w="2154"/>
          </w:tcPr>
          <w:p>
            <w:r>
              <w:rPr>
                <w:sz w:val="16"/>
              </w:rPr>
              <w:t>Hyperparameter tuning and optimisation</w:t>
            </w:r>
          </w:p>
        </w:tc>
        <w:tc>
          <w:tcPr>
            <w:tcW w:type="dxa" w:w="737"/>
          </w:tcPr>
          <w:p>
            <w:r>
              <w:rPr>
                <w:sz w:val="16"/>
              </w:rPr>
              <w:t>5</w:t>
            </w:r>
          </w:p>
        </w:tc>
        <w:tc>
          <w:tcPr>
            <w:tcW w:type="dxa" w:w="1474"/>
          </w:tcPr>
          <w:p>
            <w:r>
              <w:rPr>
                <w:sz w:val="16"/>
              </w:rPr>
              <w:t>Section 4</w:t>
            </w:r>
          </w:p>
        </w:tc>
        <w:tc>
          <w:tcPr>
            <w:tcW w:type="dxa" w:w="4706"/>
          </w:tcPr>
          <w:p>
            <w:r>
              <w:rPr>
                <w:sz w:val="16"/>
              </w:rPr>
              <w:t>RandomizedSearchCV over 2,250,000 and 153,600 point spaces with TimeSeriesSplit, plus an exhaustive GridSearchCV over the Ridge penalty; documented search spaces with the reason for each parameter; before-and-after table with deltas; best parameters dumped to JSON; an explicit cost-against-gain assessment.</w:t>
            </w:r>
          </w:p>
        </w:tc>
      </w:tr>
      <w:tr>
        <w:tc>
          <w:tcPr>
            <w:tcW w:type="dxa" w:w="2154"/>
          </w:tcPr>
          <w:p>
            <w:r>
              <w:rPr>
                <w:sz w:val="16"/>
              </w:rPr>
              <w:t>End-to-end product development and functionality</w:t>
            </w:r>
          </w:p>
        </w:tc>
        <w:tc>
          <w:tcPr>
            <w:tcW w:type="dxa" w:w="737"/>
          </w:tcPr>
          <w:p>
            <w:r>
              <w:rPr>
                <w:sz w:val="16"/>
              </w:rPr>
              <w:t>10</w:t>
            </w:r>
          </w:p>
        </w:tc>
        <w:tc>
          <w:tcPr>
            <w:tcW w:type="dxa" w:w="1474"/>
          </w:tcPr>
          <w:p>
            <w:r>
              <w:rPr>
                <w:sz w:val="16"/>
              </w:rPr>
              <w:t>Section 5</w:t>
            </w:r>
          </w:p>
        </w:tc>
        <w:tc>
          <w:tcPr>
            <w:tcW w:type="dxa" w:w="4706"/>
          </w:tcPr>
          <w:p>
            <w:r>
              <w:rPr>
                <w:sz w:val="16"/>
              </w:rPr>
              <w:t>Four-page Streamlit application, deployed and working, with the cohort-resolved forecast, what-if sliders, the archetype atlas, the counterfactual simulator and the full insights page; trilingual advisory text; SHAP in the product; accessibility and production hygiene enumerated; deployment and repository links.</w:t>
            </w:r>
          </w:p>
        </w:tc>
      </w:tr>
      <w:tr>
        <w:tc>
          <w:tcPr>
            <w:tcW w:type="dxa" w:w="2154"/>
          </w:tcPr>
          <w:p>
            <w:r>
              <w:rPr>
                <w:sz w:val="16"/>
              </w:rPr>
              <w:t>Technical report</w:t>
            </w:r>
          </w:p>
        </w:tc>
        <w:tc>
          <w:tcPr>
            <w:tcW w:type="dxa" w:w="737"/>
          </w:tcPr>
          <w:p>
            <w:r>
              <w:rPr>
                <w:sz w:val="16"/>
              </w:rPr>
              <w:t>5</w:t>
            </w:r>
          </w:p>
        </w:tc>
        <w:tc>
          <w:tcPr>
            <w:tcW w:type="dxa" w:w="1474"/>
          </w:tcPr>
          <w:p>
            <w:r>
              <w:rPr>
                <w:sz w:val="16"/>
              </w:rPr>
              <w:t>Section 6 and throughout</w:t>
            </w:r>
          </w:p>
        </w:tc>
        <w:tc>
          <w:tcPr>
            <w:tcW w:type="dxa" w:w="4706"/>
          </w:tcPr>
          <w:p>
            <w:r>
              <w:rPr>
                <w:sz w:val="16"/>
              </w:rPr>
              <w:t>Final model selection justified quantitatively against baselines and runners-up; deployment and repository links; ten limitations stated plainly; seven items of future work; full reference list; this coverage map. No metric in this document was written by hand.</w:t>
            </w:r>
          </w:p>
        </w:tc>
      </w:tr>
    </w:tbl>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