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AFA8" w14:textId="1B16A995" w:rsidR="00BB37CB" w:rsidRPr="00FD07F4" w:rsidRDefault="00000000">
      <w:pPr>
        <w:spacing w:after="60"/>
        <w:jc w:val="center"/>
      </w:pPr>
      <w:r w:rsidRPr="00FD07F4">
        <w:rPr>
          <w:b/>
          <w:bCs/>
          <w:sz w:val="24"/>
          <w:szCs w:val="24"/>
        </w:rPr>
        <w:t xml:space="preserve">Economic Inequality </w:t>
      </w:r>
      <w:r w:rsidR="00FD07F4" w:rsidRPr="00FD07F4">
        <w:rPr>
          <w:b/>
          <w:bCs/>
          <w:sz w:val="24"/>
          <w:szCs w:val="24"/>
        </w:rPr>
        <w:t>Capstone Project – Nisha Kudva</w:t>
      </w:r>
    </w:p>
    <w:p w14:paraId="64FAB2BF" w14:textId="77777777" w:rsidR="00BB37CB" w:rsidRPr="00FD07F4" w:rsidRDefault="00000000">
      <w:pPr>
        <w:spacing w:after="40"/>
        <w:jc w:val="center"/>
      </w:pPr>
      <w:r w:rsidRPr="00FD07F4">
        <w:rPr>
          <w:b/>
          <w:bCs/>
          <w:sz w:val="40"/>
          <w:szCs w:val="40"/>
        </w:rPr>
        <w:t>Project Questions &amp; Responses</w:t>
      </w:r>
    </w:p>
    <w:p w14:paraId="00A826C0" w14:textId="536D5FD8" w:rsidR="00BB37CB" w:rsidRPr="00FD07F4" w:rsidRDefault="00000000">
      <w:pPr>
        <w:spacing w:after="40"/>
        <w:jc w:val="center"/>
      </w:pPr>
      <w:r w:rsidRPr="00FD07F4">
        <w:rPr>
          <w:i/>
          <w:iCs/>
          <w:sz w:val="22"/>
          <w:szCs w:val="22"/>
        </w:rPr>
        <w:t xml:space="preserve">Adult Census Income Dataset </w:t>
      </w:r>
      <w:r w:rsidR="004E39DD">
        <w:rPr>
          <w:i/>
          <w:iCs/>
          <w:sz w:val="22"/>
          <w:szCs w:val="22"/>
        </w:rPr>
        <w:t xml:space="preserve">- </w:t>
      </w:r>
      <w:r w:rsidRPr="00FD07F4">
        <w:rPr>
          <w:i/>
          <w:iCs/>
          <w:sz w:val="22"/>
          <w:szCs w:val="22"/>
        </w:rPr>
        <w:t>US Census Bureau, 1994</w:t>
      </w:r>
    </w:p>
    <w:p w14:paraId="4DE353AA" w14:textId="77777777" w:rsidR="00BB37CB" w:rsidRPr="00FD07F4" w:rsidRDefault="00000000">
      <w:pPr>
        <w:spacing w:after="200"/>
        <w:jc w:val="center"/>
      </w:pPr>
      <w:r w:rsidRPr="00FD07F4">
        <w:t>Analysis of 26,904 cleaned records (82.6% of the original 32,561)</w:t>
      </w:r>
    </w:p>
    <w:p w14:paraId="250D7847" w14:textId="77777777" w:rsidR="00BB37CB" w:rsidRPr="00FD07F4" w:rsidRDefault="00000000">
      <w:pPr>
        <w:spacing w:after="120"/>
      </w:pPr>
      <w:r w:rsidRPr="00FD07F4">
        <w:rPr>
          <w:i/>
          <w:iCs/>
          <w:sz w:val="22"/>
          <w:szCs w:val="22"/>
        </w:rPr>
        <w:t>This report answers the core research question defined during class, plus four additional questions relevant to the investigation. Every statistic is computed from the cleaned dataset and can be reproduced from the project code.</w:t>
      </w:r>
    </w:p>
    <w:p w14:paraId="10CC00BB" w14:textId="23761BBA" w:rsidR="00BB37CB" w:rsidRPr="004E39DD" w:rsidRDefault="00000000">
      <w:pPr>
        <w:pStyle w:val="Heading1"/>
        <w:spacing w:before="300" w:after="120"/>
        <w:rPr>
          <w:color w:val="auto"/>
        </w:rPr>
      </w:pPr>
      <w:r w:rsidRPr="004E39DD">
        <w:rPr>
          <w:b/>
          <w:bCs/>
          <w:color w:val="auto"/>
        </w:rPr>
        <w:t>Primary Research Question</w:t>
      </w:r>
      <w:r w:rsidR="004E39DD" w:rsidRPr="004E39DD">
        <w:rPr>
          <w:b/>
          <w:bCs/>
          <w:color w:val="auto"/>
        </w:rPr>
        <w:t xml:space="preserve"> </w:t>
      </w:r>
    </w:p>
    <w:p w14:paraId="7D44BD9A" w14:textId="77777777" w:rsidR="00BB37CB" w:rsidRPr="004E39DD" w:rsidRDefault="00000000" w:rsidP="004E39DD">
      <w:pPr>
        <w:pStyle w:val="Strong1"/>
      </w:pPr>
      <w:r w:rsidRPr="004E39DD">
        <w:t>Q. How does the proportion of individuals earning more than $50K vary across different workclass categories, and what underlying factors might explain these differences?</w:t>
      </w:r>
    </w:p>
    <w:p w14:paraId="512ABB93" w14:textId="77777777" w:rsidR="00BB37CB" w:rsidRPr="004E39DD" w:rsidRDefault="00000000">
      <w:pPr>
        <w:pStyle w:val="Heading2"/>
        <w:spacing w:before="180" w:after="90"/>
        <w:rPr>
          <w:color w:val="auto"/>
        </w:rPr>
      </w:pPr>
      <w:r w:rsidRPr="004E39DD">
        <w:rPr>
          <w:b/>
          <w:bCs/>
          <w:color w:val="auto"/>
        </w:rPr>
        <w:t>Response</w:t>
      </w:r>
    </w:p>
    <w:p w14:paraId="6F6ACF57" w14:textId="5F47DCB4" w:rsidR="00BB37CB" w:rsidRDefault="00000000">
      <w:pPr>
        <w:spacing w:after="120"/>
      </w:pPr>
      <w:r>
        <w:rPr>
          <w:sz w:val="22"/>
          <w:szCs w:val="22"/>
        </w:rPr>
        <w:t>The likelihood of earning more than $50K varies dramatically by workclass</w:t>
      </w:r>
      <w:r w:rsidR="004E39DD">
        <w:rPr>
          <w:sz w:val="22"/>
          <w:szCs w:val="22"/>
        </w:rPr>
        <w:t xml:space="preserve">, </w:t>
      </w:r>
      <w:r>
        <w:rPr>
          <w:sz w:val="22"/>
          <w:szCs w:val="22"/>
        </w:rPr>
        <w:t>a roughly 2.5-fold difference between the highest and lowest categories (ignoring the tiny Without-pay group). Business owners who have incorporated their firms are far more likely to be high earners than employees of any kind, and within government, federal workers substantially out-earn state and local workers.</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2000"/>
      </w:tblGrid>
      <w:tr w:rsidR="00BB37CB" w14:paraId="1416DE8B" w14:textId="77777777" w:rsidTr="004E39DD">
        <w:tblPrEx>
          <w:tblCellMar>
            <w:top w:w="0" w:type="dxa"/>
            <w:bottom w:w="0" w:type="dxa"/>
          </w:tblCellMar>
        </w:tblPrEx>
        <w:trPr>
          <w:tblHeader/>
          <w:jc w:val="center"/>
        </w:trPr>
        <w:tc>
          <w:tcPr>
            <w:tcW w:w="3400" w:type="dxa"/>
            <w:shd w:val="clear" w:color="auto" w:fill="D1D1D1" w:themeFill="background2" w:themeFillShade="E6"/>
            <w:tcMar>
              <w:top w:w="40" w:type="dxa"/>
              <w:left w:w="90" w:type="dxa"/>
              <w:bottom w:w="40" w:type="dxa"/>
              <w:right w:w="90" w:type="dxa"/>
            </w:tcMar>
          </w:tcPr>
          <w:p w14:paraId="6FA12DBF" w14:textId="77777777" w:rsidR="00BB37CB" w:rsidRDefault="00000000">
            <w:r>
              <w:rPr>
                <w:b/>
                <w:bCs/>
                <w:sz w:val="19"/>
                <w:szCs w:val="19"/>
              </w:rPr>
              <w:t>Workclass</w:t>
            </w:r>
          </w:p>
        </w:tc>
        <w:tc>
          <w:tcPr>
            <w:tcW w:w="2400" w:type="dxa"/>
            <w:shd w:val="clear" w:color="auto" w:fill="D1D1D1" w:themeFill="background2" w:themeFillShade="E6"/>
            <w:tcMar>
              <w:top w:w="40" w:type="dxa"/>
              <w:left w:w="90" w:type="dxa"/>
              <w:bottom w:w="40" w:type="dxa"/>
              <w:right w:w="90" w:type="dxa"/>
            </w:tcMar>
          </w:tcPr>
          <w:p w14:paraId="1564DD05" w14:textId="77777777" w:rsidR="00BB37CB" w:rsidRDefault="00000000">
            <w:r>
              <w:rPr>
                <w:b/>
                <w:bCs/>
                <w:sz w:val="19"/>
                <w:szCs w:val="19"/>
              </w:rPr>
              <w:t>% earning &gt;$50K</w:t>
            </w:r>
          </w:p>
        </w:tc>
        <w:tc>
          <w:tcPr>
            <w:tcW w:w="2000" w:type="dxa"/>
            <w:shd w:val="clear" w:color="auto" w:fill="D1D1D1" w:themeFill="background2" w:themeFillShade="E6"/>
            <w:tcMar>
              <w:top w:w="40" w:type="dxa"/>
              <w:left w:w="90" w:type="dxa"/>
              <w:bottom w:w="40" w:type="dxa"/>
              <w:right w:w="90" w:type="dxa"/>
            </w:tcMar>
          </w:tcPr>
          <w:p w14:paraId="597FBA31" w14:textId="77777777" w:rsidR="00BB37CB" w:rsidRDefault="00000000">
            <w:r>
              <w:rPr>
                <w:b/>
                <w:bCs/>
                <w:sz w:val="19"/>
                <w:szCs w:val="19"/>
              </w:rPr>
              <w:t>People (n)</w:t>
            </w:r>
          </w:p>
        </w:tc>
      </w:tr>
      <w:tr w:rsidR="00BB37CB" w14:paraId="21AF090F" w14:textId="77777777" w:rsidTr="004E39DD">
        <w:tblPrEx>
          <w:tblCellMar>
            <w:top w:w="0" w:type="dxa"/>
            <w:bottom w:w="0" w:type="dxa"/>
          </w:tblCellMar>
        </w:tblPrEx>
        <w:trPr>
          <w:jc w:val="center"/>
        </w:trPr>
        <w:tc>
          <w:tcPr>
            <w:tcW w:w="3400" w:type="dxa"/>
            <w:shd w:val="clear" w:color="auto" w:fill="E2ECDF"/>
            <w:tcMar>
              <w:top w:w="40" w:type="dxa"/>
              <w:left w:w="90" w:type="dxa"/>
              <w:bottom w:w="40" w:type="dxa"/>
              <w:right w:w="90" w:type="dxa"/>
            </w:tcMar>
          </w:tcPr>
          <w:p w14:paraId="4C642DD2" w14:textId="77777777" w:rsidR="00BB37CB" w:rsidRDefault="00000000">
            <w:r>
              <w:rPr>
                <w:b/>
                <w:bCs/>
                <w:sz w:val="19"/>
                <w:szCs w:val="19"/>
              </w:rPr>
              <w:t>Self-emp-inc (incorporated)</w:t>
            </w:r>
          </w:p>
        </w:tc>
        <w:tc>
          <w:tcPr>
            <w:tcW w:w="2400" w:type="dxa"/>
            <w:shd w:val="clear" w:color="auto" w:fill="E2ECDF"/>
            <w:tcMar>
              <w:top w:w="40" w:type="dxa"/>
              <w:left w:w="90" w:type="dxa"/>
              <w:bottom w:w="40" w:type="dxa"/>
              <w:right w:w="90" w:type="dxa"/>
            </w:tcMar>
          </w:tcPr>
          <w:p w14:paraId="3A3EBB63" w14:textId="77777777" w:rsidR="00BB37CB" w:rsidRDefault="00000000">
            <w:r>
              <w:rPr>
                <w:b/>
                <w:bCs/>
                <w:sz w:val="19"/>
                <w:szCs w:val="19"/>
              </w:rPr>
              <w:t>55.6%</w:t>
            </w:r>
          </w:p>
        </w:tc>
        <w:tc>
          <w:tcPr>
            <w:tcW w:w="2000" w:type="dxa"/>
            <w:shd w:val="clear" w:color="auto" w:fill="E2ECDF"/>
            <w:tcMar>
              <w:top w:w="40" w:type="dxa"/>
              <w:left w:w="90" w:type="dxa"/>
              <w:bottom w:w="40" w:type="dxa"/>
              <w:right w:w="90" w:type="dxa"/>
            </w:tcMar>
          </w:tcPr>
          <w:p w14:paraId="13A7A699" w14:textId="77777777" w:rsidR="00BB37CB" w:rsidRDefault="00000000">
            <w:r>
              <w:rPr>
                <w:b/>
                <w:bCs/>
                <w:sz w:val="19"/>
                <w:szCs w:val="19"/>
              </w:rPr>
              <w:t>1,049</w:t>
            </w:r>
          </w:p>
        </w:tc>
      </w:tr>
      <w:tr w:rsidR="00BB37CB" w14:paraId="4FB86FFC" w14:textId="77777777" w:rsidTr="004E39DD">
        <w:tblPrEx>
          <w:tblCellMar>
            <w:top w:w="0" w:type="dxa"/>
            <w:bottom w:w="0" w:type="dxa"/>
          </w:tblCellMar>
        </w:tblPrEx>
        <w:trPr>
          <w:jc w:val="center"/>
        </w:trPr>
        <w:tc>
          <w:tcPr>
            <w:tcW w:w="3400" w:type="dxa"/>
            <w:tcMar>
              <w:top w:w="40" w:type="dxa"/>
              <w:left w:w="90" w:type="dxa"/>
              <w:bottom w:w="40" w:type="dxa"/>
              <w:right w:w="90" w:type="dxa"/>
            </w:tcMar>
          </w:tcPr>
          <w:p w14:paraId="52FB573F" w14:textId="77777777" w:rsidR="00BB37CB" w:rsidRDefault="00000000">
            <w:r>
              <w:rPr>
                <w:sz w:val="19"/>
                <w:szCs w:val="19"/>
              </w:rPr>
              <w:t>Federal-gov</w:t>
            </w:r>
          </w:p>
        </w:tc>
        <w:tc>
          <w:tcPr>
            <w:tcW w:w="2400" w:type="dxa"/>
            <w:tcMar>
              <w:top w:w="40" w:type="dxa"/>
              <w:left w:w="90" w:type="dxa"/>
              <w:bottom w:w="40" w:type="dxa"/>
              <w:right w:w="90" w:type="dxa"/>
            </w:tcMar>
          </w:tcPr>
          <w:p w14:paraId="0F4EDAB7" w14:textId="77777777" w:rsidR="00BB37CB" w:rsidRDefault="00000000">
            <w:r>
              <w:rPr>
                <w:sz w:val="19"/>
                <w:szCs w:val="19"/>
              </w:rPr>
              <w:t>38.3%</w:t>
            </w:r>
          </w:p>
        </w:tc>
        <w:tc>
          <w:tcPr>
            <w:tcW w:w="2000" w:type="dxa"/>
            <w:tcMar>
              <w:top w:w="40" w:type="dxa"/>
              <w:left w:w="90" w:type="dxa"/>
              <w:bottom w:w="40" w:type="dxa"/>
              <w:right w:w="90" w:type="dxa"/>
            </w:tcMar>
          </w:tcPr>
          <w:p w14:paraId="5F295540" w14:textId="77777777" w:rsidR="00BB37CB" w:rsidRDefault="00000000">
            <w:r>
              <w:rPr>
                <w:sz w:val="19"/>
                <w:szCs w:val="19"/>
              </w:rPr>
              <w:t>929</w:t>
            </w:r>
          </w:p>
        </w:tc>
      </w:tr>
      <w:tr w:rsidR="00BB37CB" w14:paraId="29E640B5" w14:textId="77777777" w:rsidTr="004E39DD">
        <w:tblPrEx>
          <w:tblCellMar>
            <w:top w:w="0" w:type="dxa"/>
            <w:bottom w:w="0" w:type="dxa"/>
          </w:tblCellMar>
        </w:tblPrEx>
        <w:trPr>
          <w:jc w:val="center"/>
        </w:trPr>
        <w:tc>
          <w:tcPr>
            <w:tcW w:w="3400" w:type="dxa"/>
            <w:tcMar>
              <w:top w:w="40" w:type="dxa"/>
              <w:left w:w="90" w:type="dxa"/>
              <w:bottom w:w="40" w:type="dxa"/>
              <w:right w:w="90" w:type="dxa"/>
            </w:tcMar>
          </w:tcPr>
          <w:p w14:paraId="71ACFA6C" w14:textId="77777777" w:rsidR="00BB37CB" w:rsidRDefault="00000000">
            <w:r>
              <w:rPr>
                <w:sz w:val="19"/>
                <w:szCs w:val="19"/>
              </w:rPr>
              <w:t>Local-gov</w:t>
            </w:r>
          </w:p>
        </w:tc>
        <w:tc>
          <w:tcPr>
            <w:tcW w:w="2400" w:type="dxa"/>
            <w:tcMar>
              <w:top w:w="40" w:type="dxa"/>
              <w:left w:w="90" w:type="dxa"/>
              <w:bottom w:w="40" w:type="dxa"/>
              <w:right w:w="90" w:type="dxa"/>
            </w:tcMar>
          </w:tcPr>
          <w:p w14:paraId="1410064F" w14:textId="77777777" w:rsidR="00BB37CB" w:rsidRDefault="00000000">
            <w:r>
              <w:rPr>
                <w:sz w:val="19"/>
                <w:szCs w:val="19"/>
              </w:rPr>
              <w:t>29.4%</w:t>
            </w:r>
          </w:p>
        </w:tc>
        <w:tc>
          <w:tcPr>
            <w:tcW w:w="2000" w:type="dxa"/>
            <w:tcMar>
              <w:top w:w="40" w:type="dxa"/>
              <w:left w:w="90" w:type="dxa"/>
              <w:bottom w:w="40" w:type="dxa"/>
              <w:right w:w="90" w:type="dxa"/>
            </w:tcMar>
          </w:tcPr>
          <w:p w14:paraId="45CECEF4" w14:textId="77777777" w:rsidR="00BB37CB" w:rsidRDefault="00000000">
            <w:r>
              <w:rPr>
                <w:sz w:val="19"/>
                <w:szCs w:val="19"/>
              </w:rPr>
              <w:t>2,014</w:t>
            </w:r>
          </w:p>
        </w:tc>
      </w:tr>
      <w:tr w:rsidR="00BB37CB" w14:paraId="620301B9" w14:textId="77777777" w:rsidTr="004E39DD">
        <w:tblPrEx>
          <w:tblCellMar>
            <w:top w:w="0" w:type="dxa"/>
            <w:bottom w:w="0" w:type="dxa"/>
          </w:tblCellMar>
        </w:tblPrEx>
        <w:trPr>
          <w:jc w:val="center"/>
        </w:trPr>
        <w:tc>
          <w:tcPr>
            <w:tcW w:w="3400" w:type="dxa"/>
            <w:tcMar>
              <w:top w:w="40" w:type="dxa"/>
              <w:left w:w="90" w:type="dxa"/>
              <w:bottom w:w="40" w:type="dxa"/>
              <w:right w:w="90" w:type="dxa"/>
            </w:tcMar>
          </w:tcPr>
          <w:p w14:paraId="014D1FF9" w14:textId="77777777" w:rsidR="00BB37CB" w:rsidRDefault="00000000">
            <w:r>
              <w:rPr>
                <w:sz w:val="19"/>
                <w:szCs w:val="19"/>
              </w:rPr>
              <w:t>Self-emp-not-inc</w:t>
            </w:r>
          </w:p>
        </w:tc>
        <w:tc>
          <w:tcPr>
            <w:tcW w:w="2400" w:type="dxa"/>
            <w:tcMar>
              <w:top w:w="40" w:type="dxa"/>
              <w:left w:w="90" w:type="dxa"/>
              <w:bottom w:w="40" w:type="dxa"/>
              <w:right w:w="90" w:type="dxa"/>
            </w:tcMar>
          </w:tcPr>
          <w:p w14:paraId="06D03A20" w14:textId="77777777" w:rsidR="00BB37CB" w:rsidRDefault="00000000">
            <w:r>
              <w:rPr>
                <w:sz w:val="19"/>
                <w:szCs w:val="19"/>
              </w:rPr>
              <w:t>28.7%</w:t>
            </w:r>
          </w:p>
        </w:tc>
        <w:tc>
          <w:tcPr>
            <w:tcW w:w="2000" w:type="dxa"/>
            <w:tcMar>
              <w:top w:w="40" w:type="dxa"/>
              <w:left w:w="90" w:type="dxa"/>
              <w:bottom w:w="40" w:type="dxa"/>
              <w:right w:w="90" w:type="dxa"/>
            </w:tcMar>
          </w:tcPr>
          <w:p w14:paraId="7D52869C" w14:textId="77777777" w:rsidR="00BB37CB" w:rsidRDefault="00000000">
            <w:r>
              <w:rPr>
                <w:sz w:val="19"/>
                <w:szCs w:val="19"/>
              </w:rPr>
              <w:t>2,431</w:t>
            </w:r>
          </w:p>
        </w:tc>
      </w:tr>
      <w:tr w:rsidR="00BB37CB" w14:paraId="6232167D" w14:textId="77777777" w:rsidTr="004E39DD">
        <w:tblPrEx>
          <w:tblCellMar>
            <w:top w:w="0" w:type="dxa"/>
            <w:bottom w:w="0" w:type="dxa"/>
          </w:tblCellMar>
        </w:tblPrEx>
        <w:trPr>
          <w:jc w:val="center"/>
        </w:trPr>
        <w:tc>
          <w:tcPr>
            <w:tcW w:w="3400" w:type="dxa"/>
            <w:tcMar>
              <w:top w:w="40" w:type="dxa"/>
              <w:left w:w="90" w:type="dxa"/>
              <w:bottom w:w="40" w:type="dxa"/>
              <w:right w:w="90" w:type="dxa"/>
            </w:tcMar>
          </w:tcPr>
          <w:p w14:paraId="2865FFC8" w14:textId="77777777" w:rsidR="00BB37CB" w:rsidRDefault="00000000">
            <w:r>
              <w:rPr>
                <w:sz w:val="19"/>
                <w:szCs w:val="19"/>
              </w:rPr>
              <w:t>State-gov</w:t>
            </w:r>
          </w:p>
        </w:tc>
        <w:tc>
          <w:tcPr>
            <w:tcW w:w="2400" w:type="dxa"/>
            <w:tcMar>
              <w:top w:w="40" w:type="dxa"/>
              <w:left w:w="90" w:type="dxa"/>
              <w:bottom w:w="40" w:type="dxa"/>
              <w:right w:w="90" w:type="dxa"/>
            </w:tcMar>
          </w:tcPr>
          <w:p w14:paraId="6C1272DF" w14:textId="77777777" w:rsidR="00BB37CB" w:rsidRDefault="00000000">
            <w:r>
              <w:rPr>
                <w:sz w:val="19"/>
                <w:szCs w:val="19"/>
              </w:rPr>
              <w:t>27.1%</w:t>
            </w:r>
          </w:p>
        </w:tc>
        <w:tc>
          <w:tcPr>
            <w:tcW w:w="2000" w:type="dxa"/>
            <w:tcMar>
              <w:top w:w="40" w:type="dxa"/>
              <w:left w:w="90" w:type="dxa"/>
              <w:bottom w:w="40" w:type="dxa"/>
              <w:right w:w="90" w:type="dxa"/>
            </w:tcMar>
          </w:tcPr>
          <w:p w14:paraId="1ACDBF56" w14:textId="77777777" w:rsidR="00BB37CB" w:rsidRDefault="00000000">
            <w:r>
              <w:rPr>
                <w:sz w:val="19"/>
                <w:szCs w:val="19"/>
              </w:rPr>
              <w:t>1,253</w:t>
            </w:r>
          </w:p>
        </w:tc>
      </w:tr>
      <w:tr w:rsidR="00BB37CB" w14:paraId="2ADD439D" w14:textId="77777777" w:rsidTr="004E39DD">
        <w:tblPrEx>
          <w:tblCellMar>
            <w:top w:w="0" w:type="dxa"/>
            <w:bottom w:w="0" w:type="dxa"/>
          </w:tblCellMar>
        </w:tblPrEx>
        <w:trPr>
          <w:jc w:val="center"/>
        </w:trPr>
        <w:tc>
          <w:tcPr>
            <w:tcW w:w="3400" w:type="dxa"/>
            <w:tcMar>
              <w:top w:w="40" w:type="dxa"/>
              <w:left w:w="90" w:type="dxa"/>
              <w:bottom w:w="40" w:type="dxa"/>
              <w:right w:w="90" w:type="dxa"/>
            </w:tcMar>
          </w:tcPr>
          <w:p w14:paraId="3695A7DB" w14:textId="77777777" w:rsidR="00BB37CB" w:rsidRDefault="00000000">
            <w:r>
              <w:rPr>
                <w:sz w:val="19"/>
                <w:szCs w:val="19"/>
              </w:rPr>
              <w:t>Private</w:t>
            </w:r>
          </w:p>
        </w:tc>
        <w:tc>
          <w:tcPr>
            <w:tcW w:w="2400" w:type="dxa"/>
            <w:tcMar>
              <w:top w:w="40" w:type="dxa"/>
              <w:left w:w="90" w:type="dxa"/>
              <w:bottom w:w="40" w:type="dxa"/>
              <w:right w:w="90" w:type="dxa"/>
            </w:tcMar>
          </w:tcPr>
          <w:p w14:paraId="26554C5C" w14:textId="77777777" w:rsidR="00BB37CB" w:rsidRDefault="00000000">
            <w:r>
              <w:rPr>
                <w:sz w:val="19"/>
                <w:szCs w:val="19"/>
              </w:rPr>
              <w:t>22.4%</w:t>
            </w:r>
          </w:p>
        </w:tc>
        <w:tc>
          <w:tcPr>
            <w:tcW w:w="2000" w:type="dxa"/>
            <w:tcMar>
              <w:top w:w="40" w:type="dxa"/>
              <w:left w:w="90" w:type="dxa"/>
              <w:bottom w:w="40" w:type="dxa"/>
              <w:right w:w="90" w:type="dxa"/>
            </w:tcMar>
          </w:tcPr>
          <w:p w14:paraId="315F2A0F" w14:textId="77777777" w:rsidR="00BB37CB" w:rsidRDefault="00000000">
            <w:r>
              <w:rPr>
                <w:sz w:val="19"/>
                <w:szCs w:val="19"/>
              </w:rPr>
              <w:t>19,214</w:t>
            </w:r>
          </w:p>
        </w:tc>
      </w:tr>
      <w:tr w:rsidR="00BB37CB" w14:paraId="7E7CC381" w14:textId="77777777" w:rsidTr="004E39DD">
        <w:tblPrEx>
          <w:tblCellMar>
            <w:top w:w="0" w:type="dxa"/>
            <w:bottom w:w="0" w:type="dxa"/>
          </w:tblCellMar>
        </w:tblPrEx>
        <w:trPr>
          <w:jc w:val="center"/>
        </w:trPr>
        <w:tc>
          <w:tcPr>
            <w:tcW w:w="3400" w:type="dxa"/>
            <w:tcMar>
              <w:top w:w="40" w:type="dxa"/>
              <w:left w:w="90" w:type="dxa"/>
              <w:bottom w:w="40" w:type="dxa"/>
              <w:right w:w="90" w:type="dxa"/>
            </w:tcMar>
          </w:tcPr>
          <w:p w14:paraId="0577A06D" w14:textId="77777777" w:rsidR="00BB37CB" w:rsidRDefault="00000000">
            <w:r>
              <w:rPr>
                <w:sz w:val="19"/>
                <w:szCs w:val="19"/>
              </w:rPr>
              <w:t>Without-pay</w:t>
            </w:r>
          </w:p>
        </w:tc>
        <w:tc>
          <w:tcPr>
            <w:tcW w:w="2400" w:type="dxa"/>
            <w:tcMar>
              <w:top w:w="40" w:type="dxa"/>
              <w:left w:w="90" w:type="dxa"/>
              <w:bottom w:w="40" w:type="dxa"/>
              <w:right w:w="90" w:type="dxa"/>
            </w:tcMar>
          </w:tcPr>
          <w:p w14:paraId="59522686" w14:textId="77777777" w:rsidR="00BB37CB" w:rsidRDefault="00000000">
            <w:r>
              <w:rPr>
                <w:sz w:val="19"/>
                <w:szCs w:val="19"/>
              </w:rPr>
              <w:t>0.0%</w:t>
            </w:r>
          </w:p>
        </w:tc>
        <w:tc>
          <w:tcPr>
            <w:tcW w:w="2000" w:type="dxa"/>
            <w:tcMar>
              <w:top w:w="40" w:type="dxa"/>
              <w:left w:w="90" w:type="dxa"/>
              <w:bottom w:w="40" w:type="dxa"/>
              <w:right w:w="90" w:type="dxa"/>
            </w:tcMar>
          </w:tcPr>
          <w:p w14:paraId="3F9CD3F9" w14:textId="77777777" w:rsidR="00BB37CB" w:rsidRDefault="00000000">
            <w:r>
              <w:rPr>
                <w:sz w:val="19"/>
                <w:szCs w:val="19"/>
              </w:rPr>
              <w:t>14</w:t>
            </w:r>
          </w:p>
        </w:tc>
      </w:tr>
    </w:tbl>
    <w:p w14:paraId="13653A15" w14:textId="77777777" w:rsidR="00BB37CB" w:rsidRDefault="00000000">
      <w:pPr>
        <w:spacing w:before="100" w:after="40"/>
        <w:jc w:val="center"/>
      </w:pPr>
      <w:r>
        <w:rPr>
          <w:noProof/>
        </w:rPr>
        <w:drawing>
          <wp:inline distT="0" distB="0" distL="0" distR="0" wp14:anchorId="2FB8886E" wp14:editId="25D99B75">
            <wp:extent cx="4190036" cy="2514022"/>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2762" cy="2515658"/>
                    </a:xfrm>
                    <a:prstGeom prst="rect">
                      <a:avLst/>
                    </a:prstGeom>
                  </pic:spPr>
                </pic:pic>
              </a:graphicData>
            </a:graphic>
          </wp:inline>
        </w:drawing>
      </w:r>
    </w:p>
    <w:p w14:paraId="2D71E1D1" w14:textId="77777777" w:rsidR="00BB37CB" w:rsidRDefault="00000000">
      <w:pPr>
        <w:spacing w:after="140"/>
        <w:jc w:val="center"/>
      </w:pPr>
      <w:r>
        <w:rPr>
          <w:i/>
          <w:iCs/>
          <w:color w:val="444444"/>
          <w:sz w:val="18"/>
          <w:szCs w:val="18"/>
        </w:rPr>
        <w:t>Figure A. Proportion earning &gt;$50K by workclass.</w:t>
      </w:r>
    </w:p>
    <w:p w14:paraId="04F0CC85" w14:textId="77777777" w:rsidR="00BB37CB" w:rsidRPr="004E39DD" w:rsidRDefault="00000000">
      <w:pPr>
        <w:pStyle w:val="Heading2"/>
        <w:spacing w:before="180" w:after="90"/>
        <w:rPr>
          <w:color w:val="auto"/>
        </w:rPr>
      </w:pPr>
      <w:r w:rsidRPr="004E39DD">
        <w:rPr>
          <w:b/>
          <w:bCs/>
          <w:color w:val="auto"/>
        </w:rPr>
        <w:t>Does the gap survive when we compare people with the same education?</w:t>
      </w:r>
    </w:p>
    <w:p w14:paraId="24E2C9A2" w14:textId="3CEC5178" w:rsidR="00BB37CB" w:rsidRDefault="00000000">
      <w:pPr>
        <w:spacing w:after="120"/>
      </w:pPr>
      <w:r>
        <w:rPr>
          <w:sz w:val="22"/>
          <w:szCs w:val="22"/>
        </w:rPr>
        <w:t>Yes. This is the key test</w:t>
      </w:r>
      <w:r w:rsidR="004E39DD">
        <w:rPr>
          <w:sz w:val="22"/>
          <w:szCs w:val="22"/>
        </w:rPr>
        <w:t xml:space="preserve">, </w:t>
      </w:r>
      <w:r>
        <w:rPr>
          <w:sz w:val="22"/>
          <w:szCs w:val="22"/>
        </w:rPr>
        <w:t>if the workclass gap were purely a by-product of some sectors employing more graduates, it would disappear once we hold education constant. It does not. Comparing only people with a Bachelor's degree:</w:t>
      </w: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600"/>
      </w:tblGrid>
      <w:tr w:rsidR="00BB37CB" w:rsidRPr="004E39DD" w14:paraId="2E4C089A" w14:textId="77777777" w:rsidTr="004E39DD">
        <w:tblPrEx>
          <w:tblCellMar>
            <w:top w:w="0" w:type="dxa"/>
            <w:bottom w:w="0" w:type="dxa"/>
          </w:tblCellMar>
        </w:tblPrEx>
        <w:trPr>
          <w:tblHeader/>
          <w:jc w:val="center"/>
        </w:trPr>
        <w:tc>
          <w:tcPr>
            <w:tcW w:w="5200" w:type="dxa"/>
            <w:shd w:val="clear" w:color="auto" w:fill="D1D1D1" w:themeFill="background2" w:themeFillShade="E6"/>
            <w:tcMar>
              <w:top w:w="40" w:type="dxa"/>
              <w:left w:w="90" w:type="dxa"/>
              <w:bottom w:w="40" w:type="dxa"/>
              <w:right w:w="90" w:type="dxa"/>
            </w:tcMar>
          </w:tcPr>
          <w:p w14:paraId="2B5E11FC" w14:textId="77777777" w:rsidR="00BB37CB" w:rsidRPr="004E39DD" w:rsidRDefault="00000000">
            <w:pPr>
              <w:rPr>
                <w:rFonts w:ascii="Calibri Light" w:hAnsi="Calibri Light" w:cs="Calibri Light"/>
              </w:rPr>
            </w:pPr>
            <w:r w:rsidRPr="004E39DD">
              <w:rPr>
                <w:rFonts w:ascii="Calibri Light" w:hAnsi="Calibri Light" w:cs="Calibri Light"/>
                <w:b/>
                <w:bCs/>
                <w:sz w:val="19"/>
                <w:szCs w:val="19"/>
              </w:rPr>
              <w:lastRenderedPageBreak/>
              <w:t>Workclass (Bachelor's holders only)</w:t>
            </w:r>
          </w:p>
        </w:tc>
        <w:tc>
          <w:tcPr>
            <w:tcW w:w="2600" w:type="dxa"/>
            <w:shd w:val="clear" w:color="auto" w:fill="D1D1D1" w:themeFill="background2" w:themeFillShade="E6"/>
            <w:tcMar>
              <w:top w:w="40" w:type="dxa"/>
              <w:left w:w="90" w:type="dxa"/>
              <w:bottom w:w="40" w:type="dxa"/>
              <w:right w:w="90" w:type="dxa"/>
            </w:tcMar>
          </w:tcPr>
          <w:p w14:paraId="52E4CAFC" w14:textId="77777777" w:rsidR="00BB37CB" w:rsidRPr="004E39DD" w:rsidRDefault="00000000">
            <w:pPr>
              <w:rPr>
                <w:rFonts w:ascii="Calibri Light" w:hAnsi="Calibri Light" w:cs="Calibri Light"/>
              </w:rPr>
            </w:pPr>
            <w:r w:rsidRPr="004E39DD">
              <w:rPr>
                <w:rFonts w:ascii="Calibri Light" w:hAnsi="Calibri Light" w:cs="Calibri Light"/>
                <w:b/>
                <w:bCs/>
                <w:sz w:val="19"/>
                <w:szCs w:val="19"/>
              </w:rPr>
              <w:t>% earning &gt;$50K</w:t>
            </w:r>
          </w:p>
        </w:tc>
      </w:tr>
      <w:tr w:rsidR="00BB37CB" w:rsidRPr="004E39DD" w14:paraId="55721979" w14:textId="77777777" w:rsidTr="004E39DD">
        <w:tblPrEx>
          <w:tblCellMar>
            <w:top w:w="0" w:type="dxa"/>
            <w:bottom w:w="0" w:type="dxa"/>
          </w:tblCellMar>
        </w:tblPrEx>
        <w:trPr>
          <w:jc w:val="center"/>
        </w:trPr>
        <w:tc>
          <w:tcPr>
            <w:tcW w:w="5200" w:type="dxa"/>
            <w:shd w:val="clear" w:color="auto" w:fill="E2ECDF"/>
            <w:tcMar>
              <w:top w:w="40" w:type="dxa"/>
              <w:left w:w="90" w:type="dxa"/>
              <w:bottom w:w="40" w:type="dxa"/>
              <w:right w:w="90" w:type="dxa"/>
            </w:tcMar>
          </w:tcPr>
          <w:p w14:paraId="35F2DABB" w14:textId="77777777" w:rsidR="00BB37CB" w:rsidRPr="004E39DD" w:rsidRDefault="00000000">
            <w:pPr>
              <w:rPr>
                <w:rFonts w:ascii="Calibri Light" w:hAnsi="Calibri Light" w:cs="Calibri Light"/>
              </w:rPr>
            </w:pPr>
            <w:r w:rsidRPr="004E39DD">
              <w:rPr>
                <w:rFonts w:ascii="Calibri Light" w:hAnsi="Calibri Light" w:cs="Calibri Light"/>
                <w:b/>
                <w:bCs/>
                <w:sz w:val="19"/>
                <w:szCs w:val="19"/>
              </w:rPr>
              <w:t>Self-emp-inc</w:t>
            </w:r>
          </w:p>
        </w:tc>
        <w:tc>
          <w:tcPr>
            <w:tcW w:w="2600" w:type="dxa"/>
            <w:shd w:val="clear" w:color="auto" w:fill="E2ECDF"/>
            <w:tcMar>
              <w:top w:w="40" w:type="dxa"/>
              <w:left w:w="90" w:type="dxa"/>
              <w:bottom w:w="40" w:type="dxa"/>
              <w:right w:w="90" w:type="dxa"/>
            </w:tcMar>
          </w:tcPr>
          <w:p w14:paraId="40BE0928" w14:textId="77777777" w:rsidR="00BB37CB" w:rsidRPr="004E39DD" w:rsidRDefault="00000000">
            <w:pPr>
              <w:rPr>
                <w:rFonts w:ascii="Calibri Light" w:hAnsi="Calibri Light" w:cs="Calibri Light"/>
              </w:rPr>
            </w:pPr>
            <w:r w:rsidRPr="004E39DD">
              <w:rPr>
                <w:rFonts w:ascii="Calibri Light" w:hAnsi="Calibri Light" w:cs="Calibri Light"/>
                <w:b/>
                <w:bCs/>
                <w:sz w:val="19"/>
                <w:szCs w:val="19"/>
              </w:rPr>
              <w:t>61.9%</w:t>
            </w:r>
          </w:p>
        </w:tc>
      </w:tr>
      <w:tr w:rsidR="00BB37CB" w:rsidRPr="004E39DD" w14:paraId="2626BBEA" w14:textId="77777777" w:rsidTr="004E39DD">
        <w:tblPrEx>
          <w:tblCellMar>
            <w:top w:w="0" w:type="dxa"/>
            <w:bottom w:w="0" w:type="dxa"/>
          </w:tblCellMar>
        </w:tblPrEx>
        <w:trPr>
          <w:jc w:val="center"/>
        </w:trPr>
        <w:tc>
          <w:tcPr>
            <w:tcW w:w="5200" w:type="dxa"/>
            <w:tcMar>
              <w:top w:w="40" w:type="dxa"/>
              <w:left w:w="90" w:type="dxa"/>
              <w:bottom w:w="40" w:type="dxa"/>
              <w:right w:w="90" w:type="dxa"/>
            </w:tcMar>
          </w:tcPr>
          <w:p w14:paraId="15481DE9" w14:textId="77777777" w:rsidR="00BB37CB" w:rsidRPr="004E39DD" w:rsidRDefault="00000000">
            <w:pPr>
              <w:rPr>
                <w:rFonts w:ascii="Calibri Light" w:hAnsi="Calibri Light" w:cs="Calibri Light"/>
              </w:rPr>
            </w:pPr>
            <w:r w:rsidRPr="004E39DD">
              <w:rPr>
                <w:rFonts w:ascii="Calibri Light" w:hAnsi="Calibri Light" w:cs="Calibri Light"/>
                <w:sz w:val="19"/>
                <w:szCs w:val="19"/>
              </w:rPr>
              <w:t>Federal-gov</w:t>
            </w:r>
          </w:p>
        </w:tc>
        <w:tc>
          <w:tcPr>
            <w:tcW w:w="2600" w:type="dxa"/>
            <w:tcMar>
              <w:top w:w="40" w:type="dxa"/>
              <w:left w:w="90" w:type="dxa"/>
              <w:bottom w:w="40" w:type="dxa"/>
              <w:right w:w="90" w:type="dxa"/>
            </w:tcMar>
          </w:tcPr>
          <w:p w14:paraId="0AB03D27" w14:textId="77777777" w:rsidR="00BB37CB" w:rsidRPr="004E39DD" w:rsidRDefault="00000000">
            <w:pPr>
              <w:rPr>
                <w:rFonts w:ascii="Calibri Light" w:hAnsi="Calibri Light" w:cs="Calibri Light"/>
              </w:rPr>
            </w:pPr>
            <w:r w:rsidRPr="004E39DD">
              <w:rPr>
                <w:rFonts w:ascii="Calibri Light" w:hAnsi="Calibri Light" w:cs="Calibri Light"/>
                <w:sz w:val="19"/>
                <w:szCs w:val="19"/>
              </w:rPr>
              <w:t>45.6%</w:t>
            </w:r>
          </w:p>
        </w:tc>
      </w:tr>
      <w:tr w:rsidR="00BB37CB" w:rsidRPr="004E39DD" w14:paraId="31F90E7E" w14:textId="77777777" w:rsidTr="004E39DD">
        <w:tblPrEx>
          <w:tblCellMar>
            <w:top w:w="0" w:type="dxa"/>
            <w:bottom w:w="0" w:type="dxa"/>
          </w:tblCellMar>
        </w:tblPrEx>
        <w:trPr>
          <w:jc w:val="center"/>
        </w:trPr>
        <w:tc>
          <w:tcPr>
            <w:tcW w:w="5200" w:type="dxa"/>
            <w:tcMar>
              <w:top w:w="40" w:type="dxa"/>
              <w:left w:w="90" w:type="dxa"/>
              <w:bottom w:w="40" w:type="dxa"/>
              <w:right w:w="90" w:type="dxa"/>
            </w:tcMar>
          </w:tcPr>
          <w:p w14:paraId="3703C312" w14:textId="77777777" w:rsidR="00BB37CB" w:rsidRPr="004E39DD" w:rsidRDefault="00000000">
            <w:pPr>
              <w:rPr>
                <w:rFonts w:ascii="Calibri Light" w:hAnsi="Calibri Light" w:cs="Calibri Light"/>
              </w:rPr>
            </w:pPr>
            <w:r w:rsidRPr="004E39DD">
              <w:rPr>
                <w:rFonts w:ascii="Calibri Light" w:hAnsi="Calibri Light" w:cs="Calibri Light"/>
                <w:sz w:val="19"/>
                <w:szCs w:val="19"/>
              </w:rPr>
              <w:t>Private</w:t>
            </w:r>
          </w:p>
        </w:tc>
        <w:tc>
          <w:tcPr>
            <w:tcW w:w="2600" w:type="dxa"/>
            <w:tcMar>
              <w:top w:w="40" w:type="dxa"/>
              <w:left w:w="90" w:type="dxa"/>
              <w:bottom w:w="40" w:type="dxa"/>
              <w:right w:w="90" w:type="dxa"/>
            </w:tcMar>
          </w:tcPr>
          <w:p w14:paraId="265F52D2" w14:textId="77777777" w:rsidR="00BB37CB" w:rsidRPr="004E39DD" w:rsidRDefault="00000000">
            <w:pPr>
              <w:rPr>
                <w:rFonts w:ascii="Calibri Light" w:hAnsi="Calibri Light" w:cs="Calibri Light"/>
              </w:rPr>
            </w:pPr>
            <w:r w:rsidRPr="004E39DD">
              <w:rPr>
                <w:rFonts w:ascii="Calibri Light" w:hAnsi="Calibri Light" w:cs="Calibri Light"/>
                <w:sz w:val="19"/>
                <w:szCs w:val="19"/>
              </w:rPr>
              <w:t>42.0%</w:t>
            </w:r>
          </w:p>
        </w:tc>
      </w:tr>
      <w:tr w:rsidR="00BB37CB" w:rsidRPr="004E39DD" w14:paraId="50F68B57" w14:textId="77777777" w:rsidTr="004E39DD">
        <w:tblPrEx>
          <w:tblCellMar>
            <w:top w:w="0" w:type="dxa"/>
            <w:bottom w:w="0" w:type="dxa"/>
          </w:tblCellMar>
        </w:tblPrEx>
        <w:trPr>
          <w:jc w:val="center"/>
        </w:trPr>
        <w:tc>
          <w:tcPr>
            <w:tcW w:w="5200" w:type="dxa"/>
            <w:tcMar>
              <w:top w:w="40" w:type="dxa"/>
              <w:left w:w="90" w:type="dxa"/>
              <w:bottom w:w="40" w:type="dxa"/>
              <w:right w:w="90" w:type="dxa"/>
            </w:tcMar>
          </w:tcPr>
          <w:p w14:paraId="3AADC733" w14:textId="77777777" w:rsidR="00BB37CB" w:rsidRPr="004E39DD" w:rsidRDefault="00000000">
            <w:pPr>
              <w:rPr>
                <w:rFonts w:ascii="Calibri Light" w:hAnsi="Calibri Light" w:cs="Calibri Light"/>
              </w:rPr>
            </w:pPr>
            <w:r w:rsidRPr="004E39DD">
              <w:rPr>
                <w:rFonts w:ascii="Calibri Light" w:hAnsi="Calibri Light" w:cs="Calibri Light"/>
                <w:sz w:val="19"/>
                <w:szCs w:val="19"/>
              </w:rPr>
              <w:t>Self-emp-not-inc</w:t>
            </w:r>
          </w:p>
        </w:tc>
        <w:tc>
          <w:tcPr>
            <w:tcW w:w="2600" w:type="dxa"/>
            <w:tcMar>
              <w:top w:w="40" w:type="dxa"/>
              <w:left w:w="90" w:type="dxa"/>
              <w:bottom w:w="40" w:type="dxa"/>
              <w:right w:w="90" w:type="dxa"/>
            </w:tcMar>
          </w:tcPr>
          <w:p w14:paraId="37BFB7AF" w14:textId="77777777" w:rsidR="00BB37CB" w:rsidRPr="004E39DD" w:rsidRDefault="00000000">
            <w:pPr>
              <w:rPr>
                <w:rFonts w:ascii="Calibri Light" w:hAnsi="Calibri Light" w:cs="Calibri Light"/>
              </w:rPr>
            </w:pPr>
            <w:r w:rsidRPr="004E39DD">
              <w:rPr>
                <w:rFonts w:ascii="Calibri Light" w:hAnsi="Calibri Light" w:cs="Calibri Light"/>
                <w:sz w:val="19"/>
                <w:szCs w:val="19"/>
              </w:rPr>
              <w:t>41.1%</w:t>
            </w:r>
          </w:p>
        </w:tc>
      </w:tr>
      <w:tr w:rsidR="00BB37CB" w:rsidRPr="004E39DD" w14:paraId="5C65FB5B" w14:textId="77777777" w:rsidTr="004E39DD">
        <w:tblPrEx>
          <w:tblCellMar>
            <w:top w:w="0" w:type="dxa"/>
            <w:bottom w:w="0" w:type="dxa"/>
          </w:tblCellMar>
        </w:tblPrEx>
        <w:trPr>
          <w:jc w:val="center"/>
        </w:trPr>
        <w:tc>
          <w:tcPr>
            <w:tcW w:w="5200" w:type="dxa"/>
            <w:tcMar>
              <w:top w:w="40" w:type="dxa"/>
              <w:left w:w="90" w:type="dxa"/>
              <w:bottom w:w="40" w:type="dxa"/>
              <w:right w:w="90" w:type="dxa"/>
            </w:tcMar>
          </w:tcPr>
          <w:p w14:paraId="1D4C6F7C" w14:textId="77777777" w:rsidR="00BB37CB" w:rsidRPr="004E39DD" w:rsidRDefault="00000000">
            <w:pPr>
              <w:rPr>
                <w:rFonts w:ascii="Calibri Light" w:hAnsi="Calibri Light" w:cs="Calibri Light"/>
              </w:rPr>
            </w:pPr>
            <w:r w:rsidRPr="004E39DD">
              <w:rPr>
                <w:rFonts w:ascii="Calibri Light" w:hAnsi="Calibri Light" w:cs="Calibri Light"/>
                <w:sz w:val="19"/>
                <w:szCs w:val="19"/>
              </w:rPr>
              <w:t>Local-gov</w:t>
            </w:r>
          </w:p>
        </w:tc>
        <w:tc>
          <w:tcPr>
            <w:tcW w:w="2600" w:type="dxa"/>
            <w:tcMar>
              <w:top w:w="40" w:type="dxa"/>
              <w:left w:w="90" w:type="dxa"/>
              <w:bottom w:w="40" w:type="dxa"/>
              <w:right w:w="90" w:type="dxa"/>
            </w:tcMar>
          </w:tcPr>
          <w:p w14:paraId="185DAA96" w14:textId="77777777" w:rsidR="00BB37CB" w:rsidRPr="004E39DD" w:rsidRDefault="00000000">
            <w:pPr>
              <w:rPr>
                <w:rFonts w:ascii="Calibri Light" w:hAnsi="Calibri Light" w:cs="Calibri Light"/>
              </w:rPr>
            </w:pPr>
            <w:r w:rsidRPr="004E39DD">
              <w:rPr>
                <w:rFonts w:ascii="Calibri Light" w:hAnsi="Calibri Light" w:cs="Calibri Light"/>
                <w:sz w:val="19"/>
                <w:szCs w:val="19"/>
              </w:rPr>
              <w:t>34.8%</w:t>
            </w:r>
          </w:p>
        </w:tc>
      </w:tr>
      <w:tr w:rsidR="00BB37CB" w:rsidRPr="004E39DD" w14:paraId="265C4A44" w14:textId="77777777" w:rsidTr="004E39DD">
        <w:tblPrEx>
          <w:tblCellMar>
            <w:top w:w="0" w:type="dxa"/>
            <w:bottom w:w="0" w:type="dxa"/>
          </w:tblCellMar>
        </w:tblPrEx>
        <w:trPr>
          <w:jc w:val="center"/>
        </w:trPr>
        <w:tc>
          <w:tcPr>
            <w:tcW w:w="5200" w:type="dxa"/>
            <w:tcMar>
              <w:top w:w="40" w:type="dxa"/>
              <w:left w:w="90" w:type="dxa"/>
              <w:bottom w:w="40" w:type="dxa"/>
              <w:right w:w="90" w:type="dxa"/>
            </w:tcMar>
          </w:tcPr>
          <w:p w14:paraId="4F68BB1C" w14:textId="77777777" w:rsidR="00BB37CB" w:rsidRPr="004E39DD" w:rsidRDefault="00000000">
            <w:pPr>
              <w:rPr>
                <w:rFonts w:ascii="Calibri Light" w:hAnsi="Calibri Light" w:cs="Calibri Light"/>
              </w:rPr>
            </w:pPr>
            <w:r w:rsidRPr="004E39DD">
              <w:rPr>
                <w:rFonts w:ascii="Calibri Light" w:hAnsi="Calibri Light" w:cs="Calibri Light"/>
                <w:sz w:val="19"/>
                <w:szCs w:val="19"/>
              </w:rPr>
              <w:t>State-gov</w:t>
            </w:r>
          </w:p>
        </w:tc>
        <w:tc>
          <w:tcPr>
            <w:tcW w:w="2600" w:type="dxa"/>
            <w:tcMar>
              <w:top w:w="40" w:type="dxa"/>
              <w:left w:w="90" w:type="dxa"/>
              <w:bottom w:w="40" w:type="dxa"/>
              <w:right w:w="90" w:type="dxa"/>
            </w:tcMar>
          </w:tcPr>
          <w:p w14:paraId="7FDEEDF8" w14:textId="77777777" w:rsidR="00BB37CB" w:rsidRPr="004E39DD" w:rsidRDefault="00000000">
            <w:pPr>
              <w:rPr>
                <w:rFonts w:ascii="Calibri Light" w:hAnsi="Calibri Light" w:cs="Calibri Light"/>
              </w:rPr>
            </w:pPr>
            <w:r w:rsidRPr="004E39DD">
              <w:rPr>
                <w:rFonts w:ascii="Calibri Light" w:hAnsi="Calibri Light" w:cs="Calibri Light"/>
                <w:sz w:val="19"/>
                <w:szCs w:val="19"/>
              </w:rPr>
              <w:t>32.7%</w:t>
            </w:r>
          </w:p>
        </w:tc>
      </w:tr>
    </w:tbl>
    <w:p w14:paraId="3D99E041" w14:textId="77777777" w:rsidR="00BB37CB" w:rsidRDefault="00000000">
      <w:pPr>
        <w:spacing w:after="120"/>
      </w:pPr>
      <w:r>
        <w:rPr>
          <w:sz w:val="22"/>
          <w:szCs w:val="22"/>
        </w:rPr>
        <w:t xml:space="preserve">Among identically-credentialed Bachelor's holders, an incorporated self-employed person is </w:t>
      </w:r>
      <w:r>
        <w:rPr>
          <w:b/>
          <w:bCs/>
          <w:sz w:val="22"/>
          <w:szCs w:val="22"/>
        </w:rPr>
        <w:t>about 20 percentage points</w:t>
      </w:r>
      <w:r>
        <w:rPr>
          <w:sz w:val="22"/>
          <w:szCs w:val="22"/>
        </w:rPr>
        <w:t xml:space="preserve"> more likely to earn &gt;$50K than a private-sector employee (61.9% vs 42.0%). The same pattern holds among high-school graduates, where Self-emp-inc reaches 42.7% versus just 15.2% for Private. Workclass therefore adds inequality </w:t>
      </w:r>
      <w:r>
        <w:rPr>
          <w:i/>
          <w:iCs/>
          <w:sz w:val="22"/>
          <w:szCs w:val="22"/>
        </w:rPr>
        <w:t>on top of</w:t>
      </w:r>
      <w:r>
        <w:rPr>
          <w:sz w:val="22"/>
          <w:szCs w:val="22"/>
        </w:rPr>
        <w:t xml:space="preserve"> what education explains, satisfying our pre-defined meaningful-finding threshold of a ≥10-point gap that persists within education levels.</w:t>
      </w:r>
    </w:p>
    <w:p w14:paraId="533CF760" w14:textId="77777777" w:rsidR="00BB37CB" w:rsidRDefault="00000000">
      <w:pPr>
        <w:spacing w:before="100" w:after="40"/>
        <w:jc w:val="center"/>
      </w:pPr>
      <w:r>
        <w:rPr>
          <w:noProof/>
        </w:rPr>
        <w:drawing>
          <wp:inline distT="0" distB="0" distL="0" distR="0" wp14:anchorId="7A970055" wp14:editId="313DFB19">
            <wp:extent cx="4166887" cy="2500132"/>
            <wp:effectExtent l="0" t="0" r="5080" b="0"/>
            <wp:docPr id="2135925337" name="Picture 213592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70307" cy="2502184"/>
                    </a:xfrm>
                    <a:prstGeom prst="rect">
                      <a:avLst/>
                    </a:prstGeom>
                  </pic:spPr>
                </pic:pic>
              </a:graphicData>
            </a:graphic>
          </wp:inline>
        </w:drawing>
      </w:r>
    </w:p>
    <w:p w14:paraId="64EB0EF1" w14:textId="77777777" w:rsidR="00BB37CB" w:rsidRDefault="00000000">
      <w:pPr>
        <w:spacing w:after="140"/>
        <w:jc w:val="center"/>
      </w:pPr>
      <w:r>
        <w:rPr>
          <w:i/>
          <w:iCs/>
          <w:color w:val="444444"/>
          <w:sz w:val="18"/>
          <w:szCs w:val="18"/>
        </w:rPr>
        <w:t>Figure B. The workclass gap persists within each education level.</w:t>
      </w:r>
    </w:p>
    <w:p w14:paraId="28A91110" w14:textId="77777777" w:rsidR="00BB37CB" w:rsidRPr="004E39DD" w:rsidRDefault="00000000">
      <w:pPr>
        <w:pStyle w:val="Heading2"/>
        <w:spacing w:before="180" w:after="90"/>
        <w:rPr>
          <w:color w:val="auto"/>
        </w:rPr>
      </w:pPr>
      <w:r w:rsidRPr="004E39DD">
        <w:rPr>
          <w:b/>
          <w:bCs/>
          <w:color w:val="auto"/>
        </w:rPr>
        <w:t>What underlying factors might explain these differences?</w:t>
      </w:r>
    </w:p>
    <w:p w14:paraId="790060A9" w14:textId="77777777" w:rsidR="00BB37CB" w:rsidRDefault="00000000">
      <w:pPr>
        <w:spacing w:after="120"/>
      </w:pPr>
      <w:r>
        <w:rPr>
          <w:sz w:val="22"/>
          <w:szCs w:val="22"/>
        </w:rPr>
        <w:t>The dataset lets us point to several plausible contributing factors, though it cannot prove causation:</w:t>
      </w:r>
    </w:p>
    <w:p w14:paraId="1E892909" w14:textId="29E1A779" w:rsidR="00BB37CB" w:rsidRDefault="00000000">
      <w:pPr>
        <w:pStyle w:val="ListParagraph"/>
        <w:numPr>
          <w:ilvl w:val="0"/>
          <w:numId w:val="1"/>
        </w:numPr>
        <w:spacing w:after="70"/>
      </w:pPr>
      <w:r>
        <w:rPr>
          <w:b/>
          <w:bCs/>
          <w:sz w:val="22"/>
          <w:szCs w:val="22"/>
        </w:rPr>
        <w:t xml:space="preserve">Business ownership &amp; capital income. </w:t>
      </w:r>
      <w:r>
        <w:rPr>
          <w:sz w:val="22"/>
          <w:szCs w:val="22"/>
        </w:rPr>
        <w:t>Incorporated self-employment (top of the list) reflects owners who take profit and capital gains, not just wages</w:t>
      </w:r>
      <w:r w:rsidR="004E39DD">
        <w:rPr>
          <w:sz w:val="22"/>
          <w:szCs w:val="22"/>
        </w:rPr>
        <w:t>,</w:t>
      </w:r>
      <w:r>
        <w:rPr>
          <w:sz w:val="22"/>
          <w:szCs w:val="22"/>
        </w:rPr>
        <w:t xml:space="preserve"> a fundamentally different income structure than an hourly or salaried employee.</w:t>
      </w:r>
    </w:p>
    <w:p w14:paraId="0EF7F8A4" w14:textId="77777777" w:rsidR="00BB37CB" w:rsidRDefault="00000000">
      <w:pPr>
        <w:pStyle w:val="ListParagraph"/>
        <w:numPr>
          <w:ilvl w:val="0"/>
          <w:numId w:val="1"/>
        </w:numPr>
        <w:spacing w:after="70"/>
      </w:pPr>
      <w:r>
        <w:rPr>
          <w:b/>
          <w:bCs/>
          <w:sz w:val="22"/>
          <w:szCs w:val="22"/>
        </w:rPr>
        <w:t xml:space="preserve">Hours worked. </w:t>
      </w:r>
      <w:r>
        <w:rPr>
          <w:sz w:val="22"/>
          <w:szCs w:val="22"/>
        </w:rPr>
        <w:t>The two self-employed groups work the longest weeks on average (48.8 and 44.4 hours) versus ~40 for private-sector workers, so part of the gap is simply more hours.</w:t>
      </w:r>
    </w:p>
    <w:p w14:paraId="5A0A7229" w14:textId="77777777" w:rsidR="00BB37CB" w:rsidRDefault="00000000">
      <w:pPr>
        <w:pStyle w:val="ListParagraph"/>
        <w:numPr>
          <w:ilvl w:val="0"/>
          <w:numId w:val="1"/>
        </w:numPr>
        <w:spacing w:after="70"/>
      </w:pPr>
      <w:r>
        <w:rPr>
          <w:b/>
          <w:bCs/>
          <w:sz w:val="22"/>
          <w:szCs w:val="22"/>
        </w:rPr>
        <w:t xml:space="preserve">Job security &amp; pay scales in federal work. </w:t>
      </w:r>
      <w:r>
        <w:rPr>
          <w:sz w:val="22"/>
          <w:szCs w:val="22"/>
        </w:rPr>
        <w:t>Federal roles (38.3%) out-earn state (27.1%) and local (29.4%) government, consistent with federal General Schedule pay scales and a higher concentration of professional/skilled positions.</w:t>
      </w:r>
    </w:p>
    <w:p w14:paraId="5DCA6CC7" w14:textId="77777777" w:rsidR="00BB37CB" w:rsidRDefault="00000000">
      <w:pPr>
        <w:pStyle w:val="ListParagraph"/>
        <w:numPr>
          <w:ilvl w:val="0"/>
          <w:numId w:val="1"/>
        </w:numPr>
        <w:spacing w:after="70"/>
      </w:pPr>
      <w:r>
        <w:rPr>
          <w:b/>
          <w:bCs/>
          <w:sz w:val="22"/>
          <w:szCs w:val="22"/>
        </w:rPr>
        <w:t xml:space="preserve">Age &amp; career stage. </w:t>
      </w:r>
      <w:r>
        <w:rPr>
          <w:sz w:val="22"/>
          <w:szCs w:val="22"/>
        </w:rPr>
        <w:t>Self-employed and federal workers are older on average (46, 45, 43 years) than private-sector workers (37), and Figure 3 in the main report shows income rises with career stage.</w:t>
      </w:r>
    </w:p>
    <w:p w14:paraId="39BBFEFC" w14:textId="6CA0A050" w:rsidR="00BB37CB" w:rsidRDefault="00000000">
      <w:pPr>
        <w:pStyle w:val="ListParagraph"/>
        <w:numPr>
          <w:ilvl w:val="0"/>
          <w:numId w:val="1"/>
        </w:numPr>
        <w:spacing w:after="70"/>
      </w:pPr>
      <w:r>
        <w:rPr>
          <w:b/>
          <w:bCs/>
          <w:sz w:val="22"/>
          <w:szCs w:val="22"/>
        </w:rPr>
        <w:t xml:space="preserve">Sector composition. </w:t>
      </w:r>
      <w:r>
        <w:rPr>
          <w:sz w:val="22"/>
          <w:szCs w:val="22"/>
        </w:rPr>
        <w:t>The Private category is huge and heterogeneous (19,214 people, 71% of the sample) it blends high-paying finance and tech roles with low-paying service jobs, which pulls its average down.</w:t>
      </w:r>
    </w:p>
    <w:p w14:paraId="7C31EA93" w14:textId="77777777" w:rsidR="00BB37CB" w:rsidRPr="004E39DD" w:rsidRDefault="00000000">
      <w:pPr>
        <w:pStyle w:val="Heading2"/>
        <w:spacing w:before="180" w:after="90"/>
        <w:rPr>
          <w:color w:val="auto"/>
        </w:rPr>
      </w:pPr>
      <w:r w:rsidRPr="004E39DD">
        <w:rPr>
          <w:b/>
          <w:bCs/>
          <w:color w:val="auto"/>
        </w:rPr>
        <w:t>Why it matters</w:t>
      </w:r>
    </w:p>
    <w:p w14:paraId="1E24E243" w14:textId="31D6B291" w:rsidR="00BB37CB" w:rsidRDefault="00000000" w:rsidP="004E39DD">
      <w:pPr>
        <w:spacing w:after="120"/>
      </w:pPr>
      <w:r>
        <w:rPr>
          <w:sz w:val="22"/>
          <w:szCs w:val="22"/>
        </w:rPr>
        <w:t>If two equally-educated people face very different odds of a high income purely because of the type of employer they work for, that is a structural feature of the labour market, not a difference in personal effort or qualifications. It suggests that policy aimed only at raising education will leave gaps untouched; pathways into federal employment and support for business ownership are levers that education policy alone does not pull.</w:t>
      </w:r>
      <w:r>
        <w:br w:type="page"/>
      </w:r>
    </w:p>
    <w:p w14:paraId="0808D7BF" w14:textId="77777777" w:rsidR="00BB37CB" w:rsidRPr="004E39DD" w:rsidRDefault="00000000">
      <w:pPr>
        <w:pStyle w:val="Heading1"/>
        <w:spacing w:before="300" w:after="120"/>
        <w:rPr>
          <w:color w:val="auto"/>
        </w:rPr>
      </w:pPr>
      <w:r w:rsidRPr="004E39DD">
        <w:rPr>
          <w:b/>
          <w:bCs/>
          <w:color w:val="auto"/>
        </w:rPr>
        <w:lastRenderedPageBreak/>
        <w:t>Additional Questions</w:t>
      </w:r>
    </w:p>
    <w:p w14:paraId="56495EBA" w14:textId="77777777" w:rsidR="00BB37CB" w:rsidRDefault="00000000" w:rsidP="004E39DD">
      <w:pPr>
        <w:rPr>
          <w:b/>
          <w:bCs/>
        </w:rPr>
      </w:pPr>
      <w:r w:rsidRPr="004E39DD">
        <w:rPr>
          <w:b/>
          <w:bCs/>
        </w:rPr>
        <w:t>Q. Does higher education close the earnings gap between men and women?</w:t>
      </w:r>
    </w:p>
    <w:p w14:paraId="1B15E774" w14:textId="77777777" w:rsidR="004E39DD" w:rsidRPr="004E39DD" w:rsidRDefault="004E39DD" w:rsidP="004E39DD">
      <w:pPr>
        <w:pStyle w:val="Heading2"/>
        <w:spacing w:before="180" w:after="90"/>
        <w:rPr>
          <w:color w:val="auto"/>
          <w:sz w:val="20"/>
          <w:szCs w:val="20"/>
        </w:rPr>
      </w:pPr>
      <w:r w:rsidRPr="004E39DD">
        <w:rPr>
          <w:b/>
          <w:bCs/>
          <w:color w:val="auto"/>
          <w:sz w:val="20"/>
          <w:szCs w:val="20"/>
        </w:rPr>
        <w:t>Response</w:t>
      </w:r>
    </w:p>
    <w:p w14:paraId="57C3E314" w14:textId="7E11B6B2" w:rsidR="00BB37CB" w:rsidRDefault="00000000">
      <w:pPr>
        <w:spacing w:after="120"/>
      </w:pPr>
      <w:r>
        <w:rPr>
          <w:sz w:val="22"/>
          <w:szCs w:val="22"/>
        </w:rPr>
        <w:t xml:space="preserve">No. The gender gap persists at every education level and is actually widest among the most educated. Overall, </w:t>
      </w:r>
      <w:r>
        <w:rPr>
          <w:b/>
          <w:bCs/>
          <w:sz w:val="22"/>
          <w:szCs w:val="22"/>
        </w:rPr>
        <w:t>32.3% of men earn &gt;$50K versus only 12.1% of women</w:t>
      </w:r>
      <w:r>
        <w:rPr>
          <w:sz w:val="22"/>
          <w:szCs w:val="22"/>
        </w:rPr>
        <w:t>. Holding education constant does not remove it: among Bachelor's-degree holders, 50.4% of men earn &gt;$50K compared with 22.6% of women</w:t>
      </w:r>
      <w:r w:rsidR="004E39DD">
        <w:rPr>
          <w:sz w:val="22"/>
          <w:szCs w:val="22"/>
        </w:rPr>
        <w:t xml:space="preserve">, </w:t>
      </w:r>
      <w:r>
        <w:rPr>
          <w:sz w:val="22"/>
          <w:szCs w:val="22"/>
        </w:rPr>
        <w:t>a 28-point gap at an identical credential. This was the most surprising finding of the investigation, because the intuitive expectation is that a degree levels the playing field. It does not: education raises everyone's odds, but the male–female gap remains, pointing to factors the dataset does not capture directly</w:t>
      </w:r>
      <w:r w:rsidR="004E39DD">
        <w:rPr>
          <w:sz w:val="22"/>
          <w:szCs w:val="22"/>
        </w:rPr>
        <w:t xml:space="preserve">; </w:t>
      </w:r>
      <w:r>
        <w:rPr>
          <w:sz w:val="22"/>
          <w:szCs w:val="22"/>
        </w:rPr>
        <w:t>occupation mix, industry, hours, and career interruptions.</w:t>
      </w:r>
    </w:p>
    <w:p w14:paraId="10EB6A7C" w14:textId="77777777" w:rsidR="00BB37CB" w:rsidRDefault="00000000">
      <w:pPr>
        <w:spacing w:before="100" w:after="40"/>
        <w:jc w:val="center"/>
      </w:pPr>
      <w:r>
        <w:rPr>
          <w:noProof/>
        </w:rPr>
        <w:drawing>
          <wp:inline distT="0" distB="0" distL="0" distR="0" wp14:anchorId="00B62400" wp14:editId="24EFE1F4">
            <wp:extent cx="3906457" cy="2343874"/>
            <wp:effectExtent l="0" t="0" r="0" b="0"/>
            <wp:docPr id="811479532" name="Picture 81147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19876" cy="2351925"/>
                    </a:xfrm>
                    <a:prstGeom prst="rect">
                      <a:avLst/>
                    </a:prstGeom>
                  </pic:spPr>
                </pic:pic>
              </a:graphicData>
            </a:graphic>
          </wp:inline>
        </w:drawing>
      </w:r>
    </w:p>
    <w:p w14:paraId="3260BFF5" w14:textId="77777777" w:rsidR="00BB37CB" w:rsidRDefault="00000000">
      <w:pPr>
        <w:spacing w:after="140"/>
        <w:jc w:val="center"/>
      </w:pPr>
      <w:r>
        <w:rPr>
          <w:i/>
          <w:iCs/>
          <w:color w:val="444444"/>
          <w:sz w:val="18"/>
          <w:szCs w:val="18"/>
        </w:rPr>
        <w:t>Figure C. Proportion earning &gt;$50K by education, split by sex.</w:t>
      </w:r>
    </w:p>
    <w:p w14:paraId="44B0FA96" w14:textId="77777777" w:rsidR="00BB37CB" w:rsidRDefault="00000000" w:rsidP="004E39DD">
      <w:pPr>
        <w:rPr>
          <w:b/>
          <w:bCs/>
        </w:rPr>
      </w:pPr>
      <w:r w:rsidRPr="004E39DD">
        <w:rPr>
          <w:b/>
          <w:bCs/>
        </w:rPr>
        <w:t>Q. Which machine-learning model predicts income best, and can we trust its accuracy?</w:t>
      </w:r>
    </w:p>
    <w:p w14:paraId="59252002" w14:textId="77777777" w:rsidR="004E39DD" w:rsidRPr="004E39DD" w:rsidRDefault="004E39DD" w:rsidP="004E39DD">
      <w:pPr>
        <w:pStyle w:val="Heading2"/>
        <w:spacing w:before="180" w:after="90"/>
        <w:rPr>
          <w:color w:val="auto"/>
          <w:sz w:val="20"/>
          <w:szCs w:val="20"/>
        </w:rPr>
      </w:pPr>
      <w:r w:rsidRPr="004E39DD">
        <w:rPr>
          <w:b/>
          <w:bCs/>
          <w:color w:val="auto"/>
          <w:sz w:val="20"/>
          <w:szCs w:val="20"/>
        </w:rPr>
        <w:t>Response</w:t>
      </w:r>
    </w:p>
    <w:p w14:paraId="548A2B80" w14:textId="77777777" w:rsidR="00BB37CB" w:rsidRDefault="00000000">
      <w:pPr>
        <w:spacing w:after="120"/>
      </w:pPr>
      <w:r>
        <w:rPr>
          <w:sz w:val="22"/>
          <w:szCs w:val="22"/>
        </w:rPr>
        <w:t xml:space="preserve">Gradient Boosting performed best (accuracy 0.841, F1 0.623 on the &gt;$50K class), narrowly ahead of AdaBoost and the neural network. But accuracy alone is misleading here because the classes are imbalanced: a </w:t>
      </w:r>
      <w:r>
        <w:rPr>
          <w:b/>
          <w:bCs/>
          <w:sz w:val="22"/>
          <w:szCs w:val="22"/>
        </w:rPr>
        <w:t>most-frequent baseline that never predicts &gt;$50K still scores 74.4% accuracy</w:t>
      </w:r>
      <w:r>
        <w:rPr>
          <w:sz w:val="22"/>
          <w:szCs w:val="22"/>
        </w:rPr>
        <w:t xml:space="preserve"> while identifying zero high earners. That is why the table below ranks by F1, which balances precision and recall, rather than by accuracy.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50"/>
        <w:gridCol w:w="1450"/>
        <w:gridCol w:w="1300"/>
        <w:gridCol w:w="1200"/>
      </w:tblGrid>
      <w:tr w:rsidR="00BB37CB" w14:paraId="7F36A146" w14:textId="77777777" w:rsidTr="004E39DD">
        <w:tblPrEx>
          <w:tblCellMar>
            <w:top w:w="0" w:type="dxa"/>
            <w:bottom w:w="0" w:type="dxa"/>
          </w:tblCellMar>
        </w:tblPrEx>
        <w:trPr>
          <w:tblHeader/>
          <w:jc w:val="center"/>
        </w:trPr>
        <w:tc>
          <w:tcPr>
            <w:tcW w:w="3000" w:type="dxa"/>
            <w:shd w:val="clear" w:color="auto" w:fill="D1D1D1" w:themeFill="background2" w:themeFillShade="E6"/>
            <w:tcMar>
              <w:top w:w="40" w:type="dxa"/>
              <w:left w:w="90" w:type="dxa"/>
              <w:bottom w:w="40" w:type="dxa"/>
              <w:right w:w="90" w:type="dxa"/>
            </w:tcMar>
          </w:tcPr>
          <w:p w14:paraId="53B3B3A0" w14:textId="77777777" w:rsidR="00BB37CB" w:rsidRDefault="00000000">
            <w:r>
              <w:rPr>
                <w:b/>
                <w:bCs/>
                <w:sz w:val="19"/>
                <w:szCs w:val="19"/>
              </w:rPr>
              <w:t>Model</w:t>
            </w:r>
          </w:p>
        </w:tc>
        <w:tc>
          <w:tcPr>
            <w:tcW w:w="1450" w:type="dxa"/>
            <w:shd w:val="clear" w:color="auto" w:fill="D1D1D1" w:themeFill="background2" w:themeFillShade="E6"/>
            <w:tcMar>
              <w:top w:w="40" w:type="dxa"/>
              <w:left w:w="90" w:type="dxa"/>
              <w:bottom w:w="40" w:type="dxa"/>
              <w:right w:w="90" w:type="dxa"/>
            </w:tcMar>
          </w:tcPr>
          <w:p w14:paraId="2FFEF112" w14:textId="77777777" w:rsidR="00BB37CB" w:rsidRDefault="00000000">
            <w:r>
              <w:rPr>
                <w:b/>
                <w:bCs/>
                <w:sz w:val="19"/>
                <w:szCs w:val="19"/>
              </w:rPr>
              <w:t>Accuracy</w:t>
            </w:r>
          </w:p>
        </w:tc>
        <w:tc>
          <w:tcPr>
            <w:tcW w:w="1450" w:type="dxa"/>
            <w:shd w:val="clear" w:color="auto" w:fill="D1D1D1" w:themeFill="background2" w:themeFillShade="E6"/>
            <w:tcMar>
              <w:top w:w="40" w:type="dxa"/>
              <w:left w:w="90" w:type="dxa"/>
              <w:bottom w:w="40" w:type="dxa"/>
              <w:right w:w="90" w:type="dxa"/>
            </w:tcMar>
          </w:tcPr>
          <w:p w14:paraId="62730140" w14:textId="77777777" w:rsidR="00BB37CB" w:rsidRDefault="00000000">
            <w:r>
              <w:rPr>
                <w:b/>
                <w:bCs/>
                <w:sz w:val="19"/>
                <w:szCs w:val="19"/>
              </w:rPr>
              <w:t>Precision</w:t>
            </w:r>
          </w:p>
        </w:tc>
        <w:tc>
          <w:tcPr>
            <w:tcW w:w="1300" w:type="dxa"/>
            <w:shd w:val="clear" w:color="auto" w:fill="D1D1D1" w:themeFill="background2" w:themeFillShade="E6"/>
            <w:tcMar>
              <w:top w:w="40" w:type="dxa"/>
              <w:left w:w="90" w:type="dxa"/>
              <w:bottom w:w="40" w:type="dxa"/>
              <w:right w:w="90" w:type="dxa"/>
            </w:tcMar>
          </w:tcPr>
          <w:p w14:paraId="7103D98D" w14:textId="77777777" w:rsidR="00BB37CB" w:rsidRDefault="00000000">
            <w:r>
              <w:rPr>
                <w:b/>
                <w:bCs/>
                <w:sz w:val="19"/>
                <w:szCs w:val="19"/>
              </w:rPr>
              <w:t>Recall</w:t>
            </w:r>
          </w:p>
        </w:tc>
        <w:tc>
          <w:tcPr>
            <w:tcW w:w="1200" w:type="dxa"/>
            <w:shd w:val="clear" w:color="auto" w:fill="D1D1D1" w:themeFill="background2" w:themeFillShade="E6"/>
            <w:tcMar>
              <w:top w:w="40" w:type="dxa"/>
              <w:left w:w="90" w:type="dxa"/>
              <w:bottom w:w="40" w:type="dxa"/>
              <w:right w:w="90" w:type="dxa"/>
            </w:tcMar>
          </w:tcPr>
          <w:p w14:paraId="3BBDE63E" w14:textId="77777777" w:rsidR="00BB37CB" w:rsidRDefault="00000000">
            <w:r>
              <w:rPr>
                <w:b/>
                <w:bCs/>
                <w:sz w:val="19"/>
                <w:szCs w:val="19"/>
              </w:rPr>
              <w:t>F1</w:t>
            </w:r>
          </w:p>
        </w:tc>
      </w:tr>
      <w:tr w:rsidR="00BB37CB" w14:paraId="417F9ECB" w14:textId="77777777" w:rsidTr="004E39DD">
        <w:tblPrEx>
          <w:tblCellMar>
            <w:top w:w="0" w:type="dxa"/>
            <w:bottom w:w="0" w:type="dxa"/>
          </w:tblCellMar>
        </w:tblPrEx>
        <w:trPr>
          <w:jc w:val="center"/>
        </w:trPr>
        <w:tc>
          <w:tcPr>
            <w:tcW w:w="3000" w:type="dxa"/>
            <w:shd w:val="clear" w:color="auto" w:fill="E2ECDF"/>
            <w:tcMar>
              <w:top w:w="40" w:type="dxa"/>
              <w:left w:w="90" w:type="dxa"/>
              <w:bottom w:w="40" w:type="dxa"/>
              <w:right w:w="90" w:type="dxa"/>
            </w:tcMar>
          </w:tcPr>
          <w:p w14:paraId="6DD608F1" w14:textId="77777777" w:rsidR="00BB37CB" w:rsidRDefault="00000000">
            <w:r>
              <w:rPr>
                <w:b/>
                <w:bCs/>
                <w:sz w:val="19"/>
                <w:szCs w:val="19"/>
              </w:rPr>
              <w:t>Gradient Boosting</w:t>
            </w:r>
          </w:p>
        </w:tc>
        <w:tc>
          <w:tcPr>
            <w:tcW w:w="1450" w:type="dxa"/>
            <w:shd w:val="clear" w:color="auto" w:fill="E2ECDF"/>
            <w:tcMar>
              <w:top w:w="40" w:type="dxa"/>
              <w:left w:w="90" w:type="dxa"/>
              <w:bottom w:w="40" w:type="dxa"/>
              <w:right w:w="90" w:type="dxa"/>
            </w:tcMar>
          </w:tcPr>
          <w:p w14:paraId="4721F1F9" w14:textId="77777777" w:rsidR="00BB37CB" w:rsidRDefault="00000000">
            <w:r>
              <w:rPr>
                <w:b/>
                <w:bCs/>
                <w:sz w:val="19"/>
                <w:szCs w:val="19"/>
              </w:rPr>
              <w:t>0.8406</w:t>
            </w:r>
          </w:p>
        </w:tc>
        <w:tc>
          <w:tcPr>
            <w:tcW w:w="1450" w:type="dxa"/>
            <w:shd w:val="clear" w:color="auto" w:fill="E2ECDF"/>
            <w:tcMar>
              <w:top w:w="40" w:type="dxa"/>
              <w:left w:w="90" w:type="dxa"/>
              <w:bottom w:w="40" w:type="dxa"/>
              <w:right w:w="90" w:type="dxa"/>
            </w:tcMar>
          </w:tcPr>
          <w:p w14:paraId="7C4CB100" w14:textId="77777777" w:rsidR="00BB37CB" w:rsidRDefault="00000000">
            <w:r>
              <w:rPr>
                <w:b/>
                <w:bCs/>
                <w:sz w:val="19"/>
                <w:szCs w:val="19"/>
              </w:rPr>
              <w:t>0.7884</w:t>
            </w:r>
          </w:p>
        </w:tc>
        <w:tc>
          <w:tcPr>
            <w:tcW w:w="1300" w:type="dxa"/>
            <w:shd w:val="clear" w:color="auto" w:fill="E2ECDF"/>
            <w:tcMar>
              <w:top w:w="40" w:type="dxa"/>
              <w:left w:w="90" w:type="dxa"/>
              <w:bottom w:w="40" w:type="dxa"/>
              <w:right w:w="90" w:type="dxa"/>
            </w:tcMar>
          </w:tcPr>
          <w:p w14:paraId="252F3B26" w14:textId="77777777" w:rsidR="00BB37CB" w:rsidRDefault="00000000">
            <w:r>
              <w:rPr>
                <w:b/>
                <w:bCs/>
                <w:sz w:val="19"/>
                <w:szCs w:val="19"/>
              </w:rPr>
              <w:t>0.5145</w:t>
            </w:r>
          </w:p>
        </w:tc>
        <w:tc>
          <w:tcPr>
            <w:tcW w:w="1200" w:type="dxa"/>
            <w:shd w:val="clear" w:color="auto" w:fill="E2ECDF"/>
            <w:tcMar>
              <w:top w:w="40" w:type="dxa"/>
              <w:left w:w="90" w:type="dxa"/>
              <w:bottom w:w="40" w:type="dxa"/>
              <w:right w:w="90" w:type="dxa"/>
            </w:tcMar>
          </w:tcPr>
          <w:p w14:paraId="1FFCD4E2" w14:textId="77777777" w:rsidR="00BB37CB" w:rsidRDefault="00000000">
            <w:r>
              <w:rPr>
                <w:b/>
                <w:bCs/>
                <w:sz w:val="19"/>
                <w:szCs w:val="19"/>
              </w:rPr>
              <w:t>0.6227</w:t>
            </w:r>
          </w:p>
        </w:tc>
      </w:tr>
      <w:tr w:rsidR="00BB37CB" w14:paraId="71F3A0BC" w14:textId="77777777" w:rsidTr="004E39DD">
        <w:tblPrEx>
          <w:tblCellMar>
            <w:top w:w="0" w:type="dxa"/>
            <w:bottom w:w="0" w:type="dxa"/>
          </w:tblCellMar>
        </w:tblPrEx>
        <w:trPr>
          <w:jc w:val="center"/>
        </w:trPr>
        <w:tc>
          <w:tcPr>
            <w:tcW w:w="3000" w:type="dxa"/>
            <w:tcMar>
              <w:top w:w="40" w:type="dxa"/>
              <w:left w:w="90" w:type="dxa"/>
              <w:bottom w:w="40" w:type="dxa"/>
              <w:right w:w="90" w:type="dxa"/>
            </w:tcMar>
          </w:tcPr>
          <w:p w14:paraId="57FBB087" w14:textId="77777777" w:rsidR="00BB37CB" w:rsidRDefault="00000000">
            <w:r>
              <w:rPr>
                <w:sz w:val="19"/>
                <w:szCs w:val="19"/>
              </w:rPr>
              <w:t>AdaBoost</w:t>
            </w:r>
          </w:p>
        </w:tc>
        <w:tc>
          <w:tcPr>
            <w:tcW w:w="1450" w:type="dxa"/>
            <w:tcMar>
              <w:top w:w="40" w:type="dxa"/>
              <w:left w:w="90" w:type="dxa"/>
              <w:bottom w:w="40" w:type="dxa"/>
              <w:right w:w="90" w:type="dxa"/>
            </w:tcMar>
          </w:tcPr>
          <w:p w14:paraId="6DB022A0" w14:textId="77777777" w:rsidR="00BB37CB" w:rsidRDefault="00000000">
            <w:r>
              <w:rPr>
                <w:sz w:val="19"/>
                <w:szCs w:val="19"/>
              </w:rPr>
              <w:t>0.8275</w:t>
            </w:r>
          </w:p>
        </w:tc>
        <w:tc>
          <w:tcPr>
            <w:tcW w:w="1450" w:type="dxa"/>
            <w:tcMar>
              <w:top w:w="40" w:type="dxa"/>
              <w:left w:w="90" w:type="dxa"/>
              <w:bottom w:w="40" w:type="dxa"/>
              <w:right w:w="90" w:type="dxa"/>
            </w:tcMar>
          </w:tcPr>
          <w:p w14:paraId="192D506F" w14:textId="77777777" w:rsidR="00BB37CB" w:rsidRDefault="00000000">
            <w:r>
              <w:rPr>
                <w:sz w:val="19"/>
                <w:szCs w:val="19"/>
              </w:rPr>
              <w:t>0.7240</w:t>
            </w:r>
          </w:p>
        </w:tc>
        <w:tc>
          <w:tcPr>
            <w:tcW w:w="1300" w:type="dxa"/>
            <w:tcMar>
              <w:top w:w="40" w:type="dxa"/>
              <w:left w:w="90" w:type="dxa"/>
              <w:bottom w:w="40" w:type="dxa"/>
              <w:right w:w="90" w:type="dxa"/>
            </w:tcMar>
          </w:tcPr>
          <w:p w14:paraId="7A7372FC" w14:textId="77777777" w:rsidR="00BB37CB" w:rsidRDefault="00000000">
            <w:r>
              <w:rPr>
                <w:sz w:val="19"/>
                <w:szCs w:val="19"/>
              </w:rPr>
              <w:t>0.5262</w:t>
            </w:r>
          </w:p>
        </w:tc>
        <w:tc>
          <w:tcPr>
            <w:tcW w:w="1200" w:type="dxa"/>
            <w:tcMar>
              <w:top w:w="40" w:type="dxa"/>
              <w:left w:w="90" w:type="dxa"/>
              <w:bottom w:w="40" w:type="dxa"/>
              <w:right w:w="90" w:type="dxa"/>
            </w:tcMar>
          </w:tcPr>
          <w:p w14:paraId="3A0F2462" w14:textId="77777777" w:rsidR="00BB37CB" w:rsidRDefault="00000000">
            <w:r>
              <w:rPr>
                <w:sz w:val="19"/>
                <w:szCs w:val="19"/>
              </w:rPr>
              <w:t>0.6094</w:t>
            </w:r>
          </w:p>
        </w:tc>
      </w:tr>
      <w:tr w:rsidR="00BB37CB" w14:paraId="4910EDD1" w14:textId="77777777" w:rsidTr="004E39DD">
        <w:tblPrEx>
          <w:tblCellMar>
            <w:top w:w="0" w:type="dxa"/>
            <w:bottom w:w="0" w:type="dxa"/>
          </w:tblCellMar>
        </w:tblPrEx>
        <w:trPr>
          <w:jc w:val="center"/>
        </w:trPr>
        <w:tc>
          <w:tcPr>
            <w:tcW w:w="3000" w:type="dxa"/>
            <w:tcMar>
              <w:top w:w="40" w:type="dxa"/>
              <w:left w:w="90" w:type="dxa"/>
              <w:bottom w:w="40" w:type="dxa"/>
              <w:right w:w="90" w:type="dxa"/>
            </w:tcMar>
          </w:tcPr>
          <w:p w14:paraId="2A6A4409" w14:textId="77777777" w:rsidR="00BB37CB" w:rsidRDefault="00000000">
            <w:r>
              <w:rPr>
                <w:sz w:val="19"/>
                <w:szCs w:val="19"/>
              </w:rPr>
              <w:t>Neural Network (MLP)</w:t>
            </w:r>
          </w:p>
        </w:tc>
        <w:tc>
          <w:tcPr>
            <w:tcW w:w="1450" w:type="dxa"/>
            <w:tcMar>
              <w:top w:w="40" w:type="dxa"/>
              <w:left w:w="90" w:type="dxa"/>
              <w:bottom w:w="40" w:type="dxa"/>
              <w:right w:w="90" w:type="dxa"/>
            </w:tcMar>
          </w:tcPr>
          <w:p w14:paraId="49C0CAEF" w14:textId="77777777" w:rsidR="00BB37CB" w:rsidRDefault="00000000">
            <w:r>
              <w:rPr>
                <w:sz w:val="19"/>
                <w:szCs w:val="19"/>
              </w:rPr>
              <w:t>0.8288</w:t>
            </w:r>
          </w:p>
        </w:tc>
        <w:tc>
          <w:tcPr>
            <w:tcW w:w="1450" w:type="dxa"/>
            <w:tcMar>
              <w:top w:w="40" w:type="dxa"/>
              <w:left w:w="90" w:type="dxa"/>
              <w:bottom w:w="40" w:type="dxa"/>
              <w:right w:w="90" w:type="dxa"/>
            </w:tcMar>
          </w:tcPr>
          <w:p w14:paraId="04361F79" w14:textId="77777777" w:rsidR="00BB37CB" w:rsidRDefault="00000000">
            <w:r>
              <w:rPr>
                <w:sz w:val="19"/>
                <w:szCs w:val="19"/>
              </w:rPr>
              <w:t>0.7486</w:t>
            </w:r>
          </w:p>
        </w:tc>
        <w:tc>
          <w:tcPr>
            <w:tcW w:w="1300" w:type="dxa"/>
            <w:tcMar>
              <w:top w:w="40" w:type="dxa"/>
              <w:left w:w="90" w:type="dxa"/>
              <w:bottom w:w="40" w:type="dxa"/>
              <w:right w:w="90" w:type="dxa"/>
            </w:tcMar>
          </w:tcPr>
          <w:p w14:paraId="2B6226F8" w14:textId="77777777" w:rsidR="00BB37CB" w:rsidRDefault="00000000">
            <w:r>
              <w:rPr>
                <w:sz w:val="19"/>
                <w:szCs w:val="19"/>
              </w:rPr>
              <w:t>0.4978</w:t>
            </w:r>
          </w:p>
        </w:tc>
        <w:tc>
          <w:tcPr>
            <w:tcW w:w="1200" w:type="dxa"/>
            <w:tcMar>
              <w:top w:w="40" w:type="dxa"/>
              <w:left w:w="90" w:type="dxa"/>
              <w:bottom w:w="40" w:type="dxa"/>
              <w:right w:w="90" w:type="dxa"/>
            </w:tcMar>
          </w:tcPr>
          <w:p w14:paraId="6F7DD2E7" w14:textId="77777777" w:rsidR="00BB37CB" w:rsidRDefault="00000000">
            <w:r>
              <w:rPr>
                <w:sz w:val="19"/>
                <w:szCs w:val="19"/>
              </w:rPr>
              <w:t>0.5980</w:t>
            </w:r>
          </w:p>
        </w:tc>
      </w:tr>
      <w:tr w:rsidR="00BB37CB" w14:paraId="29BD31EB" w14:textId="77777777" w:rsidTr="004E39DD">
        <w:tblPrEx>
          <w:tblCellMar>
            <w:top w:w="0" w:type="dxa"/>
            <w:bottom w:w="0" w:type="dxa"/>
          </w:tblCellMar>
        </w:tblPrEx>
        <w:trPr>
          <w:jc w:val="center"/>
        </w:trPr>
        <w:tc>
          <w:tcPr>
            <w:tcW w:w="3000" w:type="dxa"/>
            <w:tcMar>
              <w:top w:w="40" w:type="dxa"/>
              <w:left w:w="90" w:type="dxa"/>
              <w:bottom w:w="40" w:type="dxa"/>
              <w:right w:w="90" w:type="dxa"/>
            </w:tcMar>
          </w:tcPr>
          <w:p w14:paraId="2980352E" w14:textId="77777777" w:rsidR="00BB37CB" w:rsidRDefault="00000000">
            <w:r>
              <w:rPr>
                <w:sz w:val="19"/>
                <w:szCs w:val="19"/>
              </w:rPr>
              <w:t>Logistic Regression</w:t>
            </w:r>
          </w:p>
        </w:tc>
        <w:tc>
          <w:tcPr>
            <w:tcW w:w="1450" w:type="dxa"/>
            <w:tcMar>
              <w:top w:w="40" w:type="dxa"/>
              <w:left w:w="90" w:type="dxa"/>
              <w:bottom w:w="40" w:type="dxa"/>
              <w:right w:w="90" w:type="dxa"/>
            </w:tcMar>
          </w:tcPr>
          <w:p w14:paraId="3684FFC7" w14:textId="77777777" w:rsidR="00BB37CB" w:rsidRDefault="00000000">
            <w:r>
              <w:rPr>
                <w:sz w:val="19"/>
                <w:szCs w:val="19"/>
              </w:rPr>
              <w:t>0.8212</w:t>
            </w:r>
          </w:p>
        </w:tc>
        <w:tc>
          <w:tcPr>
            <w:tcW w:w="1450" w:type="dxa"/>
            <w:tcMar>
              <w:top w:w="40" w:type="dxa"/>
              <w:left w:w="90" w:type="dxa"/>
              <w:bottom w:w="40" w:type="dxa"/>
              <w:right w:w="90" w:type="dxa"/>
            </w:tcMar>
          </w:tcPr>
          <w:p w14:paraId="27553582" w14:textId="77777777" w:rsidR="00BB37CB" w:rsidRDefault="00000000">
            <w:r>
              <w:rPr>
                <w:sz w:val="19"/>
                <w:szCs w:val="19"/>
              </w:rPr>
              <w:t>0.7379</w:t>
            </w:r>
          </w:p>
        </w:tc>
        <w:tc>
          <w:tcPr>
            <w:tcW w:w="1300" w:type="dxa"/>
            <w:tcMar>
              <w:top w:w="40" w:type="dxa"/>
              <w:left w:w="90" w:type="dxa"/>
              <w:bottom w:w="40" w:type="dxa"/>
              <w:right w:w="90" w:type="dxa"/>
            </w:tcMar>
          </w:tcPr>
          <w:p w14:paraId="0AF28942" w14:textId="77777777" w:rsidR="00BB37CB" w:rsidRDefault="00000000">
            <w:r>
              <w:rPr>
                <w:sz w:val="19"/>
                <w:szCs w:val="19"/>
              </w:rPr>
              <w:t>0.4666</w:t>
            </w:r>
          </w:p>
        </w:tc>
        <w:tc>
          <w:tcPr>
            <w:tcW w:w="1200" w:type="dxa"/>
            <w:tcMar>
              <w:top w:w="40" w:type="dxa"/>
              <w:left w:w="90" w:type="dxa"/>
              <w:bottom w:w="40" w:type="dxa"/>
              <w:right w:w="90" w:type="dxa"/>
            </w:tcMar>
          </w:tcPr>
          <w:p w14:paraId="158851F7" w14:textId="77777777" w:rsidR="00BB37CB" w:rsidRDefault="00000000">
            <w:r>
              <w:rPr>
                <w:sz w:val="19"/>
                <w:szCs w:val="19"/>
              </w:rPr>
              <w:t>0.5717</w:t>
            </w:r>
          </w:p>
        </w:tc>
      </w:tr>
      <w:tr w:rsidR="00BB37CB" w14:paraId="7414FDAF" w14:textId="77777777" w:rsidTr="004E39DD">
        <w:tblPrEx>
          <w:tblCellMar>
            <w:top w:w="0" w:type="dxa"/>
            <w:bottom w:w="0" w:type="dxa"/>
          </w:tblCellMar>
        </w:tblPrEx>
        <w:trPr>
          <w:jc w:val="center"/>
        </w:trPr>
        <w:tc>
          <w:tcPr>
            <w:tcW w:w="3000" w:type="dxa"/>
            <w:tcMar>
              <w:top w:w="40" w:type="dxa"/>
              <w:left w:w="90" w:type="dxa"/>
              <w:bottom w:w="40" w:type="dxa"/>
              <w:right w:w="90" w:type="dxa"/>
            </w:tcMar>
          </w:tcPr>
          <w:p w14:paraId="5A30DF42" w14:textId="77777777" w:rsidR="00BB37CB" w:rsidRDefault="00000000">
            <w:r>
              <w:rPr>
                <w:sz w:val="19"/>
                <w:szCs w:val="19"/>
              </w:rPr>
              <w:t>Baseline (most-frequent)</w:t>
            </w:r>
          </w:p>
        </w:tc>
        <w:tc>
          <w:tcPr>
            <w:tcW w:w="1450" w:type="dxa"/>
            <w:tcMar>
              <w:top w:w="40" w:type="dxa"/>
              <w:left w:w="90" w:type="dxa"/>
              <w:bottom w:w="40" w:type="dxa"/>
              <w:right w:w="90" w:type="dxa"/>
            </w:tcMar>
          </w:tcPr>
          <w:p w14:paraId="1FF1CD7B" w14:textId="77777777" w:rsidR="00BB37CB" w:rsidRDefault="00000000">
            <w:r>
              <w:rPr>
                <w:sz w:val="19"/>
                <w:szCs w:val="19"/>
              </w:rPr>
              <w:t>0.7443</w:t>
            </w:r>
          </w:p>
        </w:tc>
        <w:tc>
          <w:tcPr>
            <w:tcW w:w="1450" w:type="dxa"/>
            <w:tcMar>
              <w:top w:w="40" w:type="dxa"/>
              <w:left w:w="90" w:type="dxa"/>
              <w:bottom w:w="40" w:type="dxa"/>
              <w:right w:w="90" w:type="dxa"/>
            </w:tcMar>
          </w:tcPr>
          <w:p w14:paraId="1A64ADBF" w14:textId="77777777" w:rsidR="00BB37CB" w:rsidRDefault="00000000">
            <w:r>
              <w:rPr>
                <w:sz w:val="19"/>
                <w:szCs w:val="19"/>
              </w:rPr>
              <w:t>0.0000</w:t>
            </w:r>
          </w:p>
        </w:tc>
        <w:tc>
          <w:tcPr>
            <w:tcW w:w="1300" w:type="dxa"/>
            <w:tcMar>
              <w:top w:w="40" w:type="dxa"/>
              <w:left w:w="90" w:type="dxa"/>
              <w:bottom w:w="40" w:type="dxa"/>
              <w:right w:w="90" w:type="dxa"/>
            </w:tcMar>
          </w:tcPr>
          <w:p w14:paraId="236A257F" w14:textId="77777777" w:rsidR="00BB37CB" w:rsidRDefault="00000000">
            <w:r>
              <w:rPr>
                <w:sz w:val="19"/>
                <w:szCs w:val="19"/>
              </w:rPr>
              <w:t>0.0000</w:t>
            </w:r>
          </w:p>
        </w:tc>
        <w:tc>
          <w:tcPr>
            <w:tcW w:w="1200" w:type="dxa"/>
            <w:tcMar>
              <w:top w:w="40" w:type="dxa"/>
              <w:left w:w="90" w:type="dxa"/>
              <w:bottom w:w="40" w:type="dxa"/>
              <w:right w:w="90" w:type="dxa"/>
            </w:tcMar>
          </w:tcPr>
          <w:p w14:paraId="3A2D39F3" w14:textId="77777777" w:rsidR="00BB37CB" w:rsidRDefault="00000000">
            <w:r>
              <w:rPr>
                <w:sz w:val="19"/>
                <w:szCs w:val="19"/>
              </w:rPr>
              <w:t>0.0000</w:t>
            </w:r>
          </w:p>
        </w:tc>
      </w:tr>
    </w:tbl>
    <w:p w14:paraId="64551DAE" w14:textId="77777777" w:rsidR="00BB37CB" w:rsidRDefault="00000000">
      <w:pPr>
        <w:spacing w:after="120"/>
      </w:pPr>
      <w:r>
        <w:rPr>
          <w:sz w:val="22"/>
          <w:szCs w:val="22"/>
        </w:rPr>
        <w:t xml:space="preserve">For a use like loan-eligibility screening, </w:t>
      </w:r>
      <w:r>
        <w:rPr>
          <w:b/>
          <w:bCs/>
          <w:sz w:val="22"/>
          <w:szCs w:val="22"/>
        </w:rPr>
        <w:t>recall matters more than raw accuracy</w:t>
      </w:r>
      <w:r>
        <w:rPr>
          <w:sz w:val="22"/>
          <w:szCs w:val="22"/>
        </w:rPr>
        <w:t>: a false negative (missing a genuine high earner) wrongly denies someone an opportunity. Even the best model catches only ~51% of true high earners, so it is not suitable for high-stakes decisions.</w:t>
      </w:r>
    </w:p>
    <w:p w14:paraId="306086D6" w14:textId="77777777" w:rsidR="00BB37CB" w:rsidRDefault="00000000" w:rsidP="004E39DD">
      <w:pPr>
        <w:rPr>
          <w:b/>
          <w:bCs/>
        </w:rPr>
      </w:pPr>
      <w:r w:rsidRPr="004E39DD">
        <w:rPr>
          <w:b/>
          <w:bCs/>
        </w:rPr>
        <w:t>Q. Is the best model equally accurate for men and women?</w:t>
      </w:r>
    </w:p>
    <w:p w14:paraId="7331D2D7" w14:textId="77777777" w:rsidR="004E39DD" w:rsidRPr="004E39DD" w:rsidRDefault="004E39DD" w:rsidP="004E39DD">
      <w:pPr>
        <w:pStyle w:val="Heading2"/>
        <w:spacing w:before="180" w:after="90"/>
        <w:rPr>
          <w:color w:val="auto"/>
          <w:sz w:val="20"/>
          <w:szCs w:val="20"/>
        </w:rPr>
      </w:pPr>
      <w:r w:rsidRPr="004E39DD">
        <w:rPr>
          <w:b/>
          <w:bCs/>
          <w:color w:val="auto"/>
          <w:sz w:val="20"/>
          <w:szCs w:val="20"/>
        </w:rPr>
        <w:t>Response</w:t>
      </w:r>
    </w:p>
    <w:p w14:paraId="0221856E" w14:textId="09925FD7" w:rsidR="00BB37CB" w:rsidRDefault="00000000">
      <w:pPr>
        <w:spacing w:after="120"/>
      </w:pPr>
      <w:r>
        <w:rPr>
          <w:sz w:val="22"/>
          <w:szCs w:val="22"/>
        </w:rPr>
        <w:t xml:space="preserve">No. A fairness audit of the Gradient Boosting model by sex shows the model correctly identifies </w:t>
      </w:r>
      <w:r>
        <w:rPr>
          <w:b/>
          <w:bCs/>
          <w:sz w:val="22"/>
          <w:szCs w:val="22"/>
        </w:rPr>
        <w:t>only 35.1% of women who actually earn &gt;$50K, versus 54.6% of men</w:t>
      </w:r>
      <w:r>
        <w:rPr>
          <w:sz w:val="22"/>
          <w:szCs w:val="22"/>
        </w:rPr>
        <w:t>. Paradoxically its accuracy looks higher for women (91.8% vs 80.2%)</w:t>
      </w:r>
      <w:r w:rsidR="004E39DD">
        <w:rPr>
          <w:sz w:val="22"/>
          <w:szCs w:val="22"/>
        </w:rPr>
        <w:t xml:space="preserve">, </w:t>
      </w:r>
      <w:r>
        <w:rPr>
          <w:sz w:val="22"/>
          <w:szCs w:val="22"/>
        </w:rPr>
        <w:t>but that is an artefact of imbalance: because fewer women are high earners, always guessing '≤50K' is a safe bet that scores well on accuracy while failing the women who do earn more.</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600"/>
        <w:gridCol w:w="2200"/>
      </w:tblGrid>
      <w:tr w:rsidR="00BB37CB" w14:paraId="6688FE49" w14:textId="77777777" w:rsidTr="004E39DD">
        <w:tblPrEx>
          <w:tblCellMar>
            <w:top w:w="0" w:type="dxa"/>
            <w:bottom w:w="0" w:type="dxa"/>
          </w:tblCellMar>
        </w:tblPrEx>
        <w:trPr>
          <w:tblHeader/>
          <w:jc w:val="center"/>
        </w:trPr>
        <w:tc>
          <w:tcPr>
            <w:tcW w:w="2200" w:type="dxa"/>
            <w:shd w:val="clear" w:color="auto" w:fill="D1D1D1" w:themeFill="background2" w:themeFillShade="E6"/>
            <w:tcMar>
              <w:top w:w="40" w:type="dxa"/>
              <w:left w:w="90" w:type="dxa"/>
              <w:bottom w:w="40" w:type="dxa"/>
              <w:right w:w="90" w:type="dxa"/>
            </w:tcMar>
          </w:tcPr>
          <w:p w14:paraId="5B087D97" w14:textId="77777777" w:rsidR="00BB37CB" w:rsidRDefault="00000000">
            <w:r>
              <w:rPr>
                <w:b/>
                <w:bCs/>
                <w:sz w:val="19"/>
                <w:szCs w:val="19"/>
              </w:rPr>
              <w:lastRenderedPageBreak/>
              <w:t>Group</w:t>
            </w:r>
          </w:p>
        </w:tc>
        <w:tc>
          <w:tcPr>
            <w:tcW w:w="1400" w:type="dxa"/>
            <w:shd w:val="clear" w:color="auto" w:fill="D1D1D1" w:themeFill="background2" w:themeFillShade="E6"/>
            <w:tcMar>
              <w:top w:w="40" w:type="dxa"/>
              <w:left w:w="90" w:type="dxa"/>
              <w:bottom w:w="40" w:type="dxa"/>
              <w:right w:w="90" w:type="dxa"/>
            </w:tcMar>
          </w:tcPr>
          <w:p w14:paraId="6FC6DF46" w14:textId="77777777" w:rsidR="00BB37CB" w:rsidRDefault="00000000">
            <w:r>
              <w:rPr>
                <w:b/>
                <w:bCs/>
                <w:sz w:val="19"/>
                <w:szCs w:val="19"/>
              </w:rPr>
              <w:t>n</w:t>
            </w:r>
          </w:p>
        </w:tc>
        <w:tc>
          <w:tcPr>
            <w:tcW w:w="1600" w:type="dxa"/>
            <w:shd w:val="clear" w:color="auto" w:fill="D1D1D1" w:themeFill="background2" w:themeFillShade="E6"/>
            <w:tcMar>
              <w:top w:w="40" w:type="dxa"/>
              <w:left w:w="90" w:type="dxa"/>
              <w:bottom w:w="40" w:type="dxa"/>
              <w:right w:w="90" w:type="dxa"/>
            </w:tcMar>
          </w:tcPr>
          <w:p w14:paraId="3B7073F8" w14:textId="77777777" w:rsidR="00BB37CB" w:rsidRDefault="00000000">
            <w:r>
              <w:rPr>
                <w:b/>
                <w:bCs/>
                <w:sz w:val="19"/>
                <w:szCs w:val="19"/>
              </w:rPr>
              <w:t>Accuracy</w:t>
            </w:r>
          </w:p>
        </w:tc>
        <w:tc>
          <w:tcPr>
            <w:tcW w:w="2200" w:type="dxa"/>
            <w:shd w:val="clear" w:color="auto" w:fill="D1D1D1" w:themeFill="background2" w:themeFillShade="E6"/>
            <w:tcMar>
              <w:top w:w="40" w:type="dxa"/>
              <w:left w:w="90" w:type="dxa"/>
              <w:bottom w:w="40" w:type="dxa"/>
              <w:right w:w="90" w:type="dxa"/>
            </w:tcMar>
          </w:tcPr>
          <w:p w14:paraId="641DCE87" w14:textId="77777777" w:rsidR="00BB37CB" w:rsidRDefault="00000000">
            <w:r>
              <w:rPr>
                <w:b/>
                <w:bCs/>
                <w:sz w:val="19"/>
                <w:szCs w:val="19"/>
              </w:rPr>
              <w:t>Recall (&gt;$50K)</w:t>
            </w:r>
          </w:p>
        </w:tc>
      </w:tr>
      <w:tr w:rsidR="00BB37CB" w14:paraId="1DAD1100" w14:textId="77777777" w:rsidTr="004E39DD">
        <w:tblPrEx>
          <w:tblCellMar>
            <w:top w:w="0" w:type="dxa"/>
            <w:bottom w:w="0" w:type="dxa"/>
          </w:tblCellMar>
        </w:tblPrEx>
        <w:trPr>
          <w:jc w:val="center"/>
        </w:trPr>
        <w:tc>
          <w:tcPr>
            <w:tcW w:w="2200" w:type="dxa"/>
            <w:tcMar>
              <w:top w:w="40" w:type="dxa"/>
              <w:left w:w="90" w:type="dxa"/>
              <w:bottom w:w="40" w:type="dxa"/>
              <w:right w:w="90" w:type="dxa"/>
            </w:tcMar>
          </w:tcPr>
          <w:p w14:paraId="30903047" w14:textId="77777777" w:rsidR="00BB37CB" w:rsidRDefault="00000000">
            <w:r>
              <w:rPr>
                <w:sz w:val="19"/>
                <w:szCs w:val="19"/>
              </w:rPr>
              <w:t>Female</w:t>
            </w:r>
          </w:p>
        </w:tc>
        <w:tc>
          <w:tcPr>
            <w:tcW w:w="1400" w:type="dxa"/>
            <w:tcMar>
              <w:top w:w="40" w:type="dxa"/>
              <w:left w:w="90" w:type="dxa"/>
              <w:bottom w:w="40" w:type="dxa"/>
              <w:right w:w="90" w:type="dxa"/>
            </w:tcMar>
          </w:tcPr>
          <w:p w14:paraId="2698F401" w14:textId="77777777" w:rsidR="00BB37CB" w:rsidRDefault="00000000">
            <w:r>
              <w:rPr>
                <w:sz w:val="19"/>
                <w:szCs w:val="19"/>
              </w:rPr>
              <w:t>1,794</w:t>
            </w:r>
          </w:p>
        </w:tc>
        <w:tc>
          <w:tcPr>
            <w:tcW w:w="1600" w:type="dxa"/>
            <w:tcMar>
              <w:top w:w="40" w:type="dxa"/>
              <w:left w:w="90" w:type="dxa"/>
              <w:bottom w:w="40" w:type="dxa"/>
              <w:right w:w="90" w:type="dxa"/>
            </w:tcMar>
          </w:tcPr>
          <w:p w14:paraId="54D58688" w14:textId="77777777" w:rsidR="00BB37CB" w:rsidRDefault="00000000">
            <w:r>
              <w:rPr>
                <w:sz w:val="19"/>
                <w:szCs w:val="19"/>
              </w:rPr>
              <w:t>0.918</w:t>
            </w:r>
          </w:p>
        </w:tc>
        <w:tc>
          <w:tcPr>
            <w:tcW w:w="2200" w:type="dxa"/>
            <w:tcMar>
              <w:top w:w="40" w:type="dxa"/>
              <w:left w:w="90" w:type="dxa"/>
              <w:bottom w:w="40" w:type="dxa"/>
              <w:right w:w="90" w:type="dxa"/>
            </w:tcMar>
          </w:tcPr>
          <w:p w14:paraId="1E96E3C7" w14:textId="77777777" w:rsidR="00BB37CB" w:rsidRDefault="00000000">
            <w:r>
              <w:rPr>
                <w:sz w:val="19"/>
                <w:szCs w:val="19"/>
              </w:rPr>
              <w:t>0.351</w:t>
            </w:r>
          </w:p>
        </w:tc>
      </w:tr>
      <w:tr w:rsidR="00BB37CB" w14:paraId="0EE33420" w14:textId="77777777" w:rsidTr="004E39DD">
        <w:tblPrEx>
          <w:tblCellMar>
            <w:top w:w="0" w:type="dxa"/>
            <w:bottom w:w="0" w:type="dxa"/>
          </w:tblCellMar>
        </w:tblPrEx>
        <w:trPr>
          <w:jc w:val="center"/>
        </w:trPr>
        <w:tc>
          <w:tcPr>
            <w:tcW w:w="2200" w:type="dxa"/>
            <w:tcMar>
              <w:top w:w="40" w:type="dxa"/>
              <w:left w:w="90" w:type="dxa"/>
              <w:bottom w:w="40" w:type="dxa"/>
              <w:right w:w="90" w:type="dxa"/>
            </w:tcMar>
          </w:tcPr>
          <w:p w14:paraId="13720053" w14:textId="77777777" w:rsidR="00BB37CB" w:rsidRDefault="00000000">
            <w:r>
              <w:rPr>
                <w:sz w:val="19"/>
                <w:szCs w:val="19"/>
              </w:rPr>
              <w:t>Male</w:t>
            </w:r>
          </w:p>
        </w:tc>
        <w:tc>
          <w:tcPr>
            <w:tcW w:w="1400" w:type="dxa"/>
            <w:tcMar>
              <w:top w:w="40" w:type="dxa"/>
              <w:left w:w="90" w:type="dxa"/>
              <w:bottom w:w="40" w:type="dxa"/>
              <w:right w:w="90" w:type="dxa"/>
            </w:tcMar>
          </w:tcPr>
          <w:p w14:paraId="17832308" w14:textId="77777777" w:rsidR="00BB37CB" w:rsidRDefault="00000000">
            <w:r>
              <w:rPr>
                <w:sz w:val="19"/>
                <w:szCs w:val="19"/>
              </w:rPr>
              <w:t>3,587</w:t>
            </w:r>
          </w:p>
        </w:tc>
        <w:tc>
          <w:tcPr>
            <w:tcW w:w="1600" w:type="dxa"/>
            <w:tcMar>
              <w:top w:w="40" w:type="dxa"/>
              <w:left w:w="90" w:type="dxa"/>
              <w:bottom w:w="40" w:type="dxa"/>
              <w:right w:w="90" w:type="dxa"/>
            </w:tcMar>
          </w:tcPr>
          <w:p w14:paraId="1CE3AA32" w14:textId="77777777" w:rsidR="00BB37CB" w:rsidRDefault="00000000">
            <w:r>
              <w:rPr>
                <w:sz w:val="19"/>
                <w:szCs w:val="19"/>
              </w:rPr>
              <w:t>0.802</w:t>
            </w:r>
          </w:p>
        </w:tc>
        <w:tc>
          <w:tcPr>
            <w:tcW w:w="2200" w:type="dxa"/>
            <w:tcMar>
              <w:top w:w="40" w:type="dxa"/>
              <w:left w:w="90" w:type="dxa"/>
              <w:bottom w:w="40" w:type="dxa"/>
              <w:right w:w="90" w:type="dxa"/>
            </w:tcMar>
          </w:tcPr>
          <w:p w14:paraId="65051428" w14:textId="77777777" w:rsidR="00BB37CB" w:rsidRDefault="00000000">
            <w:r>
              <w:rPr>
                <w:sz w:val="19"/>
                <w:szCs w:val="19"/>
              </w:rPr>
              <w:t>0.546</w:t>
            </w:r>
          </w:p>
        </w:tc>
      </w:tr>
    </w:tbl>
    <w:p w14:paraId="3D537130" w14:textId="45A03D28" w:rsidR="00BB37CB" w:rsidRDefault="00000000">
      <w:pPr>
        <w:spacing w:after="120"/>
      </w:pPr>
      <w:r>
        <w:rPr>
          <w:b/>
          <w:bCs/>
          <w:sz w:val="22"/>
          <w:szCs w:val="22"/>
        </w:rPr>
        <w:t xml:space="preserve">Consequence: </w:t>
      </w:r>
      <w:r>
        <w:rPr>
          <w:sz w:val="22"/>
          <w:szCs w:val="22"/>
        </w:rPr>
        <w:t>if such a model pre-approved loans or set insurance rates, high-earning women would be systematically under-recognised</w:t>
      </w:r>
      <w:r w:rsidR="004E39DD">
        <w:rPr>
          <w:sz w:val="22"/>
          <w:szCs w:val="22"/>
        </w:rPr>
        <w:t xml:space="preserve">, </w:t>
      </w:r>
      <w:r>
        <w:rPr>
          <w:sz w:val="22"/>
          <w:szCs w:val="22"/>
        </w:rPr>
        <w:t>the model would reproduce, and potentially amplify, the very inequality the data reveals. A model that looks fair on averaged accuracy can still be unfair per-group.</w:t>
      </w:r>
    </w:p>
    <w:p w14:paraId="452A15CE" w14:textId="77777777" w:rsidR="00BB37CB" w:rsidRDefault="00000000" w:rsidP="004E39DD">
      <w:pPr>
        <w:rPr>
          <w:b/>
          <w:bCs/>
        </w:rPr>
      </w:pPr>
      <w:r w:rsidRPr="004E39DD">
        <w:rPr>
          <w:b/>
          <w:bCs/>
        </w:rPr>
        <w:t>Q. What can this 1994 dataset NOT tell us, and who is missing from it?</w:t>
      </w:r>
    </w:p>
    <w:p w14:paraId="5D857A34" w14:textId="77777777" w:rsidR="004E39DD" w:rsidRPr="004E39DD" w:rsidRDefault="004E39DD" w:rsidP="004E39DD">
      <w:pPr>
        <w:pStyle w:val="Heading2"/>
        <w:spacing w:before="180" w:after="90"/>
        <w:rPr>
          <w:color w:val="auto"/>
          <w:sz w:val="20"/>
          <w:szCs w:val="20"/>
        </w:rPr>
      </w:pPr>
      <w:r w:rsidRPr="004E39DD">
        <w:rPr>
          <w:b/>
          <w:bCs/>
          <w:color w:val="auto"/>
          <w:sz w:val="20"/>
          <w:szCs w:val="20"/>
        </w:rPr>
        <w:t>Response</w:t>
      </w:r>
    </w:p>
    <w:p w14:paraId="7A9351BB" w14:textId="2745CD10" w:rsidR="00BB37CB" w:rsidRDefault="00000000">
      <w:pPr>
        <w:spacing w:after="120"/>
      </w:pPr>
      <w:r>
        <w:rPr>
          <w:sz w:val="22"/>
          <w:szCs w:val="22"/>
        </w:rPr>
        <w:t>The data is a 1994 snapshot, so it cannot describe today's wage structure: $50K in 1994 is not $50K today, and whole sectors (the modern tech and gig economy, remote work) did not exist in their current form. It also under-represents people who were not counted in the Census or not in formal employment</w:t>
      </w:r>
      <w:r w:rsidR="004E39DD">
        <w:rPr>
          <w:sz w:val="22"/>
          <w:szCs w:val="22"/>
        </w:rPr>
        <w:t xml:space="preserve">, </w:t>
      </w:r>
      <w:r>
        <w:rPr>
          <w:sz w:val="22"/>
          <w:szCs w:val="22"/>
        </w:rPr>
        <w:t>undocumented workers, people in informal cash work, and some unemployed individuals. Additionally, our own cleaning choice to drop rows with missing workclass/occupation may further remove people at the margins of the labour force. Every conclusion in this report therefore describes the 1994 US workforce and should motivate current measurement rather than substitute for it.</w:t>
      </w:r>
    </w:p>
    <w:p w14:paraId="00B3613B" w14:textId="77777777" w:rsidR="00BB37CB" w:rsidRPr="004E39DD" w:rsidRDefault="00000000">
      <w:pPr>
        <w:pStyle w:val="Heading1"/>
        <w:spacing w:before="300" w:after="120"/>
        <w:rPr>
          <w:color w:val="auto"/>
        </w:rPr>
      </w:pPr>
      <w:r w:rsidRPr="004E39DD">
        <w:rPr>
          <w:b/>
          <w:bCs/>
          <w:color w:val="auto"/>
        </w:rPr>
        <w:t>Summary of Findings</w:t>
      </w:r>
    </w:p>
    <w:p w14:paraId="7CA5D64B" w14:textId="77777777" w:rsidR="00BB37CB" w:rsidRDefault="00000000">
      <w:pPr>
        <w:pStyle w:val="ListParagraph"/>
        <w:numPr>
          <w:ilvl w:val="0"/>
          <w:numId w:val="1"/>
        </w:numPr>
        <w:spacing w:after="70"/>
      </w:pPr>
      <w:r>
        <w:rPr>
          <w:b/>
          <w:bCs/>
          <w:sz w:val="22"/>
          <w:szCs w:val="22"/>
        </w:rPr>
        <w:t xml:space="preserve">Workclass matters independently of education: </w:t>
      </w:r>
      <w:r>
        <w:rPr>
          <w:sz w:val="22"/>
          <w:szCs w:val="22"/>
        </w:rPr>
        <w:t>a 2.5x spread in high-earning rates that persists within education levels (Self-emp-inc 55.6% vs Private 22.4%).</w:t>
      </w:r>
    </w:p>
    <w:p w14:paraId="011AEE7E" w14:textId="77777777" w:rsidR="00BB37CB" w:rsidRDefault="00000000">
      <w:pPr>
        <w:pStyle w:val="ListParagraph"/>
        <w:numPr>
          <w:ilvl w:val="0"/>
          <w:numId w:val="1"/>
        </w:numPr>
        <w:spacing w:after="70"/>
      </w:pPr>
      <w:r>
        <w:rPr>
          <w:b/>
          <w:bCs/>
          <w:sz w:val="22"/>
          <w:szCs w:val="22"/>
        </w:rPr>
        <w:t xml:space="preserve">Education helps but does not equalise: </w:t>
      </w:r>
      <w:r>
        <w:rPr>
          <w:sz w:val="22"/>
          <w:szCs w:val="22"/>
        </w:rPr>
        <w:t>men out-earn women at every level; the gap is widest for degree holders (50.4% vs 22.6% at Bachelor's).</w:t>
      </w:r>
    </w:p>
    <w:p w14:paraId="013BFE5E" w14:textId="77777777" w:rsidR="00BB37CB" w:rsidRDefault="00000000">
      <w:pPr>
        <w:pStyle w:val="ListParagraph"/>
        <w:numPr>
          <w:ilvl w:val="0"/>
          <w:numId w:val="1"/>
        </w:numPr>
        <w:spacing w:after="70"/>
      </w:pPr>
      <w:r>
        <w:rPr>
          <w:b/>
          <w:bCs/>
          <w:sz w:val="22"/>
          <w:szCs w:val="22"/>
        </w:rPr>
        <w:t xml:space="preserve">Best model is accurate but not fair: </w:t>
      </w:r>
      <w:r>
        <w:rPr>
          <w:sz w:val="22"/>
          <w:szCs w:val="22"/>
        </w:rPr>
        <w:t>Gradient Boosting reaches 84% accuracy yet finds high-earning women at a far lower rate than men (35% vs 55% recall).</w:t>
      </w:r>
    </w:p>
    <w:p w14:paraId="7599FE2A" w14:textId="77777777" w:rsidR="00BB37CB" w:rsidRDefault="00000000">
      <w:pPr>
        <w:pStyle w:val="ListParagraph"/>
        <w:numPr>
          <w:ilvl w:val="0"/>
          <w:numId w:val="1"/>
        </w:numPr>
        <w:spacing w:after="70"/>
      </w:pPr>
      <w:r>
        <w:rPr>
          <w:b/>
          <w:bCs/>
          <w:sz w:val="22"/>
          <w:szCs w:val="22"/>
        </w:rPr>
        <w:t xml:space="preserve">Historical scope: </w:t>
      </w:r>
      <w:r>
        <w:rPr>
          <w:sz w:val="22"/>
          <w:szCs w:val="22"/>
        </w:rPr>
        <w:t>findings apply to the 1994 US workforce and should guide present-day measurement, not present-day decisions about individuals.</w:t>
      </w:r>
    </w:p>
    <w:sectPr w:rsidR="00BB37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4659"/>
    <w:multiLevelType w:val="hybridMultilevel"/>
    <w:tmpl w:val="F8965184"/>
    <w:lvl w:ilvl="0" w:tplc="B2808852">
      <w:start w:val="1"/>
      <w:numFmt w:val="bullet"/>
      <w:lvlText w:val="●"/>
      <w:lvlJc w:val="left"/>
      <w:pPr>
        <w:ind w:left="720" w:hanging="360"/>
      </w:pPr>
    </w:lvl>
    <w:lvl w:ilvl="1" w:tplc="3FECB068">
      <w:start w:val="1"/>
      <w:numFmt w:val="bullet"/>
      <w:lvlText w:val="○"/>
      <w:lvlJc w:val="left"/>
      <w:pPr>
        <w:ind w:left="1440" w:hanging="360"/>
      </w:pPr>
    </w:lvl>
    <w:lvl w:ilvl="2" w:tplc="0CA0CA84">
      <w:start w:val="1"/>
      <w:numFmt w:val="bullet"/>
      <w:lvlText w:val="■"/>
      <w:lvlJc w:val="left"/>
      <w:pPr>
        <w:ind w:left="2160" w:hanging="360"/>
      </w:pPr>
    </w:lvl>
    <w:lvl w:ilvl="3" w:tplc="B09A8BC2">
      <w:start w:val="1"/>
      <w:numFmt w:val="bullet"/>
      <w:lvlText w:val="●"/>
      <w:lvlJc w:val="left"/>
      <w:pPr>
        <w:ind w:left="2880" w:hanging="360"/>
      </w:pPr>
    </w:lvl>
    <w:lvl w:ilvl="4" w:tplc="3BA4941E">
      <w:start w:val="1"/>
      <w:numFmt w:val="bullet"/>
      <w:lvlText w:val="○"/>
      <w:lvlJc w:val="left"/>
      <w:pPr>
        <w:ind w:left="3600" w:hanging="360"/>
      </w:pPr>
    </w:lvl>
    <w:lvl w:ilvl="5" w:tplc="AC5AA46E">
      <w:start w:val="1"/>
      <w:numFmt w:val="bullet"/>
      <w:lvlText w:val="■"/>
      <w:lvlJc w:val="left"/>
      <w:pPr>
        <w:ind w:left="4320" w:hanging="360"/>
      </w:pPr>
    </w:lvl>
    <w:lvl w:ilvl="6" w:tplc="A5E839A8">
      <w:start w:val="1"/>
      <w:numFmt w:val="bullet"/>
      <w:lvlText w:val="●"/>
      <w:lvlJc w:val="left"/>
      <w:pPr>
        <w:ind w:left="5040" w:hanging="360"/>
      </w:pPr>
    </w:lvl>
    <w:lvl w:ilvl="7" w:tplc="32543BC6">
      <w:start w:val="1"/>
      <w:numFmt w:val="bullet"/>
      <w:lvlText w:val="●"/>
      <w:lvlJc w:val="left"/>
      <w:pPr>
        <w:ind w:left="5760" w:hanging="360"/>
      </w:pPr>
    </w:lvl>
    <w:lvl w:ilvl="8" w:tplc="7AD47650">
      <w:start w:val="1"/>
      <w:numFmt w:val="bullet"/>
      <w:lvlText w:val="●"/>
      <w:lvlJc w:val="left"/>
      <w:pPr>
        <w:ind w:left="6480" w:hanging="360"/>
      </w:pPr>
    </w:lvl>
  </w:abstractNum>
  <w:num w:numId="1" w16cid:durableId="240065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7CB"/>
    <w:rsid w:val="004E39DD"/>
    <w:rsid w:val="00BB37CB"/>
    <w:rsid w:val="00D07997"/>
    <w:rsid w:val="00FD0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1727"/>
  <w15:docId w15:val="{AC5BBF2F-F748-4160-9B49-02066BCAE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Capstone project — Questions &amp; Responses</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 Questions &amp; Responses</dc:title>
  <dc:creator>Nisha Kudva</dc:creator>
  <cp:lastModifiedBy>KUDVA Nitesh</cp:lastModifiedBy>
  <cp:revision>3</cp:revision>
  <dcterms:created xsi:type="dcterms:W3CDTF">2026-07-23T22:46:00Z</dcterms:created>
  <dcterms:modified xsi:type="dcterms:W3CDTF">2026-07-23T23:09:00Z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5f8ddb-c25f-497d-94ef-0e25e41810d1_Enabled">
    <vt:lpwstr>true</vt:lpwstr>
  </property>
  <property fmtid="{D5CDD505-2E9C-101B-9397-08002B2CF9AE}" pid="3" name="MSIP_Label_995f8ddb-c25f-497d-94ef-0e25e41810d1_SetDate">
    <vt:lpwstr>2026-07-23T23:00:09Z</vt:lpwstr>
  </property>
  <property fmtid="{D5CDD505-2E9C-101B-9397-08002B2CF9AE}" pid="4" name="MSIP_Label_995f8ddb-c25f-497d-94ef-0e25e41810d1_Method">
    <vt:lpwstr>Standard</vt:lpwstr>
  </property>
  <property fmtid="{D5CDD505-2E9C-101B-9397-08002B2CF9AE}" pid="5" name="MSIP_Label_995f8ddb-c25f-497d-94ef-0e25e41810d1_Name">
    <vt:lpwstr>UN Internal</vt:lpwstr>
  </property>
  <property fmtid="{D5CDD505-2E9C-101B-9397-08002B2CF9AE}" pid="6" name="MSIP_Label_995f8ddb-c25f-497d-94ef-0e25e41810d1_SiteId">
    <vt:lpwstr>a33def57-39f8-4005-93ed-e80266830257</vt:lpwstr>
  </property>
  <property fmtid="{D5CDD505-2E9C-101B-9397-08002B2CF9AE}" pid="7" name="MSIP_Label_995f8ddb-c25f-497d-94ef-0e25e41810d1_ActionId">
    <vt:lpwstr>3713afa5-1ef7-48b3-bcc0-8d235bd1ab16</vt:lpwstr>
  </property>
  <property fmtid="{D5CDD505-2E9C-101B-9397-08002B2CF9AE}" pid="8" name="MSIP_Label_995f8ddb-c25f-497d-94ef-0e25e41810d1_ContentBits">
    <vt:lpwstr>0</vt:lpwstr>
  </property>
  <property fmtid="{D5CDD505-2E9C-101B-9397-08002B2CF9AE}" pid="9" name="MSIP_Label_995f8ddb-c25f-497d-94ef-0e25e41810d1_Tag">
    <vt:lpwstr>10, 3, 0, 1</vt:lpwstr>
  </property>
</Properties>
</file>