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Finance LLM Fine-Tune — Kickoff Brief</w:t>
      </w:r>
    </w:p>
    <w:p>
      <w:pPr>
        <w:spacing w:after="40"/>
      </w:pPr>
      <w:r>
        <w:rPr>
          <w:i/>
          <w:iCs/>
        </w:rPr>
        <w:t xml:space="preserve">Data decisions, verified links, corrections to Playbook v3a / Sources v3b, and who starts what.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Samni Labs · internal · July 8, 2026 · read alongside Finance_LLM_Team_Playbookv3a</w:t>
      </w:r>
    </w:p>
    <w:p>
      <w:pPr>
        <w:pStyle w:val="Heading1"/>
      </w:pPr>
      <w:r>
        <w:t xml:space="preserve">1. Decisions — read this first</w:t>
      </w:r>
    </w:p>
    <w:p>
      <w:pPr>
        <w:spacing w:after="120"/>
      </w:pPr>
      <w:r>
        <w:t xml:space="preserve">Every factual claim in the playbook and the sources doc was checked against primary sources (the actual Hugging Face pages, Unsloth docs, pricing pages, and papers) on July 8, 2026. </w:t>
      </w:r>
      <w:r>
        <w:rPr>
          <w:b/>
          <w:bCs/>
        </w:rPr>
        <w:t xml:space="preserve">30 claims checked: 25 confirmed exactly, 5 partly true, 0 refuted.</w:t>
      </w:r>
      <w:r>
        <w:t xml:space="preserve"> The plan is sound. The decisions below are final unless Manish says otherwise: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Base model: </w:t>
      </w:r>
      <w:r>
        <w:t xml:space="preserve">Ministral 3 14B Instruct (</w:t>
      </w:r>
      <w:hyperlink w:history="1" r:id="rIdftemrcuv71jshcuq1sbie">
        <w:r>
          <w:rPr>
            <w:rStyle w:val="Hyperlink"/>
          </w:rPr>
          <w:t xml:space="preserve">mistralai/Ministral-3-14B-Instruct-2512</w:t>
        </w:r>
      </w:hyperlink>
      <w:r>
        <w:t xml:space="preserve">), trained via QLoRA from the Unsloth 4-bit variant. Rehearse on the 8B first, in free Colab.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Primary training data: </w:t>
      </w:r>
      <w:r>
        <w:t xml:space="preserve">our own synthetic QA corpus, generated from 2026 SEC filings. No off-the-shelf dataset can do this job — the whole demo depends on facts published after the model's training cutoff. This corpus is the project.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Mix-in dataset: </w:t>
      </w:r>
      <w:r>
        <w:t xml:space="preserve">tat-llm-instructions (</w:t>
      </w:r>
      <w:r>
        <w:t xml:space="preserve">CC-BY-4.0, built from human-annotated FinQA/TAT-QA/TAT-DQA</w:t>
      </w:r>
      <w:r>
        <w:t xml:space="preserve">). </w:t>
      </w:r>
      <w:r>
        <w:rPr>
          <w:b/>
          <w:bCs/>
        </w:rPr>
        <w:t xml:space="preserve">Fino1 is dropped from training</w:t>
      </w:r>
      <w:r>
        <w:t xml:space="preserve"> — its reasoning paths are GPT-4o-generated, which contradicts our own Rule 2 (no frontier-API output anywhere in the training path) and would weaken the privacy pitch under client due diligence.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EDGAR-CORPUS is dropped. </w:t>
      </w:r>
      <w:r>
        <w:t xml:space="preserve">Its coverage is 1993–2020 only — it contains zero 2026 filings. We pull filings directly from SEC EDGAR full-text search instead (2026 10-Ks confirmed present).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Paraphrase generation is a plain vLLM/Ollama prompt loop, not synthetic-data-kit. </w:t>
      </w:r>
      <w:r>
        <w:t xml:space="preserve">Meta's synthetic-data-kit has no paraphrase mode (only qa / cot / summary / multimodal-qa) and has had no commits since October 2025. It can draft first-pass QA pairs from filing chunks; the 15–30 rewordings per fact are our own scripted loop against a local model.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Eval-only, never trained: </w:t>
      </w:r>
      <w:r>
        <w:t xml:space="preserve">FinQA test split, finqa-verified (91 rows), and our locked 100-question exam.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Banned from training: </w:t>
      </w:r>
      <w:r>
        <w:t xml:space="preserve">Sujet-Finance-Instruct-177k, Finance-Instruct-500k, financial_phrasebank, FinanceBench. Contamination confirmed from the datasets' own cards — see section 3.</w:t>
      </w:r>
    </w:p>
    <w:p>
      <w:pPr>
        <w:pStyle w:val="Heading1"/>
      </w:pPr>
      <w:r>
        <w:t xml:space="preserve">2. Training data — what we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100"/>
        <w:gridCol w:w="1250"/>
        <w:gridCol w:w="296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License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 synthetic SEC QA corpus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Primary. 50–150 atomic facts from one company's 2026 filings × 15–30 paraphrases each ≈ 2,000–3,000 QA pairs, JSONL chat format (playbook §7.2). Hold out 2–3 paraphrases per fact as the dev set.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 text: public information, free commercial reuse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qb_hu4e9v9scyrzx5qch">
              <w:r>
                <w:rPr>
                  <w:rStyle w:val="Hyperlink"/>
                </w:rPr>
                <w:t xml:space="preserve">EDGAR full-text search — 2026 10-Ks, pre-filtered</w:t>
              </w:r>
            </w:hyperlink>
            <w:r>
              <w:t xml:space="preserve">  ·  </w:t>
            </w:r>
            <w:hyperlink w:history="1" r:id="rIdly1n1dfw-ue_judvds8zl">
              <w:r>
                <w:rPr>
                  <w:rStyle w:val="Hyperlink"/>
                </w:rPr>
                <w:t xml:space="preserve">sec.gov/edgar/search</w:t>
              </w:r>
            </w:hyperlink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tat-llm-instructions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Finance-analyst reasoning style mix-in (~36.7k rows; sample down, don't use all of it). Replaces Fino1.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CC-BY-4.0 (confirmed)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l8aqxpofro3mih_gaxhk">
              <w:r>
                <w:rPr>
                  <w:rStyle w:val="Hyperlink"/>
                </w:rPr>
                <w:t xml:space="preserve">HF dataset page</w:t>
              </w:r>
            </w:hyperlink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General chat set — TO PICK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10–20% of the mix, anti-catastrophic-forgetting insurance. The sources doc names none. Candidates: SmolTalk or the Tulu 3 SFT mixture. </w:t>
            </w:r>
            <w:r>
              <w:rPr>
                <w:b/>
                <w:bCs/>
              </w:rPr>
              <w:t xml:space="preserve">Verify the license field on the card before use</w:t>
            </w:r>
            <w:r>
              <w:t xml:space="preserve"> — this is the one unchecked item.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first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u-iphlxqyrrhyl3yidxo">
              <w:r>
                <w:rPr>
                  <w:rStyle w:val="Hyperlink"/>
                </w:rPr>
                <w:t xml:space="preserve">SmolTalk</w:t>
              </w:r>
            </w:hyperlink>
            <w:r>
              <w:t xml:space="preserve">  ·  </w:t>
            </w:r>
            <w:hyperlink w:history="1" r:id="rIdutv1ctoojfg97hrngctia">
              <w:r>
                <w:rPr>
                  <w:rStyle w:val="Hyperlink"/>
                </w:rPr>
                <w:t xml:space="preserve">Tulu 3 SFT</w:t>
              </w:r>
            </w:hyperlink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FinQA test split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 ONLY. Never enters training.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CC-BY-4.0 (confirmed)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aikwzq_uvjfi8lcsrmz_">
              <w:r>
                <w:rPr>
                  <w:rStyle w:val="Hyperlink"/>
                </w:rPr>
                <w:t xml:space="preserve">HF dataset page</w:t>
              </w:r>
            </w:hyperlink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finqa-verified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 ONLY. 91 human-verified examples (confirmed).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 (confirmed)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ddzcj_q8edx8zckpcxd1">
              <w:r>
                <w:rPr>
                  <w:rStyle w:val="Hyperlink"/>
                </w:rPr>
                <w:t xml:space="preserve">HF dataset page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Why Fino1 is out: </w:t>
      </w:r>
      <w:r>
        <w:t xml:space="preserve">the dataset itself is fine (</w:t>
      </w:r>
      <w:hyperlink w:history="1" r:id="rIdw3ko8_evbhu8l7d0nfpn2">
        <w:r>
          <w:rPr>
            <w:rStyle w:val="Hyperlink"/>
          </w:rPr>
          <w:t xml:space="preserve">Fino1 on HF</w:t>
        </w:r>
      </w:hyperlink>
      <w:r>
        <w:t xml:space="preserve">, CC-BY-4.0, 5,499 rows, all confirmed) — but its reasoning paths were generated with GPT-4o. Playbook Rule 2 promises the client no frontier-API output anywhere in the training path. Training on Fino1 makes that sentence false. tat-llm-instructions is built from human-annotated sources and keeps the claim clean. If Manish decides to keep Fino1 anyway, the provenance sheet and the pitch wording must be softened first.</w:t>
      </w:r>
    </w:p>
    <w:p>
      <w:pPr>
        <w:pStyle w:val="Heading1"/>
      </w:pPr>
      <w:r>
        <w:t xml:space="preserve">3. Never train on these (verified, not theoretical)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it's banned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Sujet-Finance-Instruct-177k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Labeled Apache-2.0, but its own card lists financial_phrasebank (4,838 entries, CC-BY-NC-SA) plus FPB derivatives, ConvFinQA and finqabench benchmark data among its 18 sources. Non-commercial data + eval contamination.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ip1ry6ked4arfipt5lpn">
              <w:r>
                <w:rPr>
                  <w:rStyle w:val="Hyperlink"/>
                </w:rPr>
                <w:t xml:space="preserve">card (see sources list)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Finance-Instruct-500k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pattern: Apache-2.0 label, but bundles financial_phrasebank directly AND via Sujet-177k, plus ConvFinQA and finqabench. (Precision note: it does NOT contain FinanceBench — cite phrasebank/ConvFinQA/finqabench when explaining the ban.)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ybrd5lnejxaqsmysuou3">
              <w:r>
                <w:rPr>
                  <w:rStyle w:val="Hyperlink"/>
                </w:rPr>
                <w:t xml:space="preserve">card (see sources list)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financial_phrasebank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CC-BY-NC-SA-3.0 — non-commercial only; card says contact the authors for commercial licensing.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2xomraypupariaeulbal">
              <w:r>
                <w:rPr>
                  <w:rStyle w:val="Hyperlink"/>
                </w:rPr>
                <w:t xml:space="preserve">HF page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FinanceBench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CC-BY-NC-4.0 — non-commercial only. A sales demo is commercial use.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ewd8dy-cphs1jb4fzlno">
              <w:r>
                <w:rPr>
                  <w:rStyle w:val="Hyperlink"/>
                </w:rPr>
                <w:t xml:space="preserve">HF page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XBRL_analysis (FinLoRA)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License tag is missing on the page (confirmed). Do not touch for anything commercial until the FinLoRA authors state a license.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8yctyhu9iitstsj8r2rb">
              <w:r>
                <w:rPr>
                  <w:rStyle w:val="Hyperlink"/>
                </w:rPr>
                <w:t xml:space="preserve">HF page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EDGAR-CORPUS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 license problem (Apache-2.0) — a coverage problem: 1993–2020 only, no 2026 filings. Irrelevant to this project; dropped.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fdlnqg4syhq-drvp-jsf">
              <w:r>
                <w:rPr>
                  <w:rStyle w:val="Hyperlink"/>
                </w:rPr>
                <w:t xml:space="preserve">HF page</w:t>
              </w:r>
            </w:hyperlink>
          </w:p>
        </w:tc>
      </w:tr>
    </w:tbl>
    <w:p>
      <w:pPr>
        <w:pStyle w:val="Heading1"/>
      </w:pPr>
      <w:r>
        <w:t xml:space="preserve">4. Corrections to Playbook v3a / Sources v3b</w:t>
      </w:r>
    </w:p>
    <w:p>
      <w:pPr>
        <w:spacing w:after="120"/>
      </w:pPr>
      <w:r>
        <w:t xml:space="preserve">Five items came back partly true. None kills the plan; all change how we work: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EDGAR-CORPUS ends at 2020. </w:t>
      </w:r>
      <w:r>
        <w:t xml:space="preserve">Sources doc lists it as "raw SEC filing text" — for this project it's useless. All 2026 filings come straight from EDGAR full-text search (verified live: RTX's 10-K filed 2026-02-06, Belden 2026-02-17, and 10,000+ more 2026 hits).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Fino1 contradicts Rule 2. </w:t>
      </w:r>
      <w:r>
        <w:t xml:space="preserve">GPT-4o-generated reasoning paths. Swapped for tat-llm-instructions (section 2).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synthetic-data-kit has no paraphrase mode. </w:t>
      </w:r>
      <w:r>
        <w:t xml:space="preserve">Generation types are qa, cot, summary, multimodal-qa; last commit Oct 28, 2025, zero releases. Usable for first-pass QA drafting only. The paraphrase loop is our own script against vLLM/Ollama — budget real Data Lead time for it; it's the most quality-sensitive step in the pipeline.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"15–30 rewordings" is our engineering choice, not a paper's number. </w:t>
      </w:r>
      <w:r>
        <w:t xml:space="preserve">Allen-Zhu 3.1 proves the mechanism (facts without paraphrase augmentation are memorized but not extractable) but never prescribes 15–30. Ovadia confirms accuracy climbs monotonically with paraphrase count. Keep the practice; don't cite the paper for the specific number in front of a technical audience.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Granite fallback uses the Granite 4.0 notebook. </w:t>
      </w:r>
      <w:r>
        <w:t xml:space="preserve">There is no Granite-4.1-specific Unsloth notebook; Unsloth says to reuse the 4.0 notebook and change the model name to </w:t>
      </w:r>
      <w:hyperlink w:history="1" r:id="rIdfuax_vy3gh764usohioce">
        <w:r>
          <w:rPr>
            <w:rStyle w:val="Hyperlink"/>
          </w:rPr>
          <w:t xml:space="preserve">ibm-granite/granite-4.1-8b</w:t>
        </w:r>
      </w:hyperlink>
      <w:r>
        <w:t xml:space="preserve">. Signed weights confirmed (model.sig in the repo).</w:t>
      </w:r>
    </w:p>
    <w:p>
      <w:pPr>
        <w:spacing w:after="120"/>
      </w:pPr>
      <w:r>
        <w:rPr>
          <w:b/>
          <w:bCs/>
        </w:rPr>
        <w:t xml:space="preserve">Two caveats worth knowing: </w:t>
      </w:r>
      <w:r>
        <w:t xml:space="preserve">(a) the Arena Hard numbers in the model table (0.551 vs 0.427) are real but come from Mistral's own model card, vendor-reported, and the Qwen figure is its non-thinking mode — don't present them as an independent leaderboard. (b) Colab's free T4 is standard but not contractually guaranteed; if a session gives no GPU, wait and retry.</w:t>
      </w:r>
    </w:p>
    <w:p>
      <w:pPr>
        <w:pStyle w:val="Heading1"/>
      </w:pPr>
      <w:r>
        <w:t xml:space="preserve">5. What verification confirmed (so nobody re-litigates it)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Ministral 3 14B: exists, Apache 2.0, dense 13.5B + 0.4B vision encoder we won't use. </w:t>
      </w:r>
      <w:hyperlink w:history="1" r:id="rIdzkdypmo0byqu4yx6qtnho">
        <w:r>
          <w:rPr>
            <w:rStyle w:val="Hyperlink"/>
          </w:rPr>
          <w:t xml:space="preserve">Model page</w:t>
        </w:r>
      </w:hyperlink>
      <w:r>
        <w:t xml:space="preserve">  ·  </w:t>
      </w:r>
      <w:hyperlink w:history="1" r:id="rIdufpu8zmukoncbfo92yuti">
        <w:r>
          <w:rPr>
            <w:rStyle w:val="Hyperlink"/>
          </w:rPr>
          <w:t xml:space="preserve">Unsloth 4-bit variant</w:t>
        </w:r>
      </w:hyperlink>
      <w:r>
        <w:t xml:space="preserve">  ·  </w:t>
      </w:r>
      <w:hyperlink w:history="1" r:id="rId3ynozlhw_rix2vk6qg_d2">
        <w:r>
          <w:rPr>
            <w:rStyle w:val="Hyperlink"/>
          </w:rPr>
          <w:t xml:space="preserve">8B rehearsal model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t xml:space="preserve">Unsloth's advice against QLoRA on Qwen3.5 is verbatim real ("higher than normal quantization differences") — the Qwen drop was correct. </w:t>
      </w:r>
      <w:hyperlink w:history="1" r:id="rIdebxligwbnpgwsiaywrtsa">
        <w:r>
          <w:rPr>
            <w:rStyle w:val="Hyperlink"/>
          </w:rPr>
          <w:t xml:space="preserve">Unsloth Qwen3.5 docs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t xml:space="preserve">VRAM floors per Unsloth: ~6 GB (8B QLoRA), ~8.5 GB (14B QLoRA) — the office RTX 4050 (6 GB) stays a dev machine, as the playbook says. </w:t>
      </w:r>
      <w:hyperlink w:history="1" r:id="rId5_3ugpaowgfg0eugvso2k">
        <w:r>
          <w:rPr>
            <w:rStyle w:val="Hyperlink"/>
          </w:rPr>
          <w:t xml:space="preserve">Unsloth requirements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t xml:space="preserve">Prices to the cent on July 8: RunPod RTX A6000 48 GB $0.49/hr (</w:t>
      </w:r>
      <w:hyperlink w:history="1" r:id="rIdhep0oucoqzbiwub3ekiqd">
        <w:r>
          <w:rPr>
            <w:rStyle w:val="Hyperlink"/>
          </w:rPr>
          <w:t xml:space="preserve">pricing</w:t>
        </w:r>
      </w:hyperlink>
      <w:r>
        <w:t xml:space="preserve">); AWS g6e.xlarge $1.861/hr (</w:t>
      </w:r>
      <w:hyperlink w:history="1" r:id="rIdswx7wayg7nuo4novykkv_">
        <w:r>
          <w:rPr>
            <w:rStyle w:val="Hyperlink"/>
          </w:rPr>
          <w:t xml:space="preserve">g6e page</w:t>
        </w:r>
      </w:hyperlink>
      <w:r>
        <w:t xml:space="preserve">). Budget $150–250 total holds. Stop pods when idle — a forgotten A6000 is ~$82/week.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Research behind the recipe is solid: Ovadia EMNLP'24 (FT 0.219–0.511 vs RAG 0.876; paraphrases fix it) </w:t>
      </w:r>
      <w:hyperlink w:history="1" r:id="rIdmcbmxhmqg8ykhxmyygngr">
        <w:r>
          <w:rPr>
            <w:rStyle w:val="Hyperlink"/>
          </w:rPr>
          <w:t xml:space="preserve">paper</w:t>
        </w:r>
      </w:hyperlink>
      <w:r>
        <w:t xml:space="preserve">; Gekhman EMNLP'24 (new-knowledge fine-tuning raises hallucination → early stop) </w:t>
      </w:r>
      <w:hyperlink w:history="1" r:id="rIdsyqxdi7vtivdipbg8j1qp">
        <w:r>
          <w:rPr>
            <w:rStyle w:val="Hyperlink"/>
          </w:rPr>
          <w:t xml:space="preserve">paper</w:t>
        </w:r>
      </w:hyperlink>
      <w:r>
        <w:t xml:space="preserve">; Allen-Zhu 3.1 </w:t>
      </w:r>
      <w:hyperlink w:history="1" r:id="rId7ukc5qxwnzkmwakt2hk8d">
        <w:r>
          <w:rPr>
            <w:rStyle w:val="Hyperlink"/>
          </w:rPr>
          <w:t xml:space="preserve">paper</w:t>
        </w:r>
      </w:hyperlink>
      <w:r>
        <w:t xml:space="preserve">; RAFT pivot </w:t>
      </w:r>
      <w:hyperlink w:history="1" r:id="rIdokdf0wksn5vdffor_ilme">
        <w:r>
          <w:rPr>
            <w:rStyle w:val="Hyperlink"/>
          </w:rPr>
          <w:t xml:space="preserve">paper</w:t>
        </w:r>
      </w:hyperlink>
      <w:r>
        <w:t xml:space="preserve">; FinLoRA cost benchmark ($14.66–16.54/run) </w:t>
      </w:r>
      <w:hyperlink w:history="1" r:id="rIdxrhecxw8nrjjgbzgcltad">
        <w:r>
          <w:rPr>
            <w:rStyle w:val="Hyperlink"/>
          </w:rPr>
          <w:t xml:space="preserve">paper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t xml:space="preserve">SEC filing text is public information, free for commercial reuse without permission (cite the filing, don't use the SEC seal). </w:t>
      </w:r>
      <w:hyperlink w:history="1" r:id="rId3cvxecalqoulq2twlavct">
        <w:r>
          <w:rPr>
            <w:rStyle w:val="Hyperlink"/>
          </w:rPr>
          <w:t xml:space="preserve">SEC dissemination policy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t xml:space="preserve">Anthropic and OpenAI terms both prohibit using outputs to train competing models (all four current documents checked) — Rule 2 stands: the paraphrase generator is a local open model, no exceptions.</w:t>
      </w:r>
    </w:p>
    <w:p>
      <w:pPr>
        <w:pStyle w:val="Heading1"/>
      </w:pPr>
      <w:r>
        <w:t xml:space="preserve">6. Kickoff — who starts what this week</w:t>
      </w:r>
    </w:p>
    <w:p>
      <w:pPr>
        <w:spacing w:after="120"/>
      </w:pPr>
      <w:r>
        <w:t xml:space="preserve">Roles per playbook §12. With two engineers: Engineer 1 takes Data + Training, Engineer 2 takes App; Manish is Project Lead. The one hard rule: whoever adversarially reviews the exam must not be the person who writes the training data.</w:t>
      </w:r>
    </w:p>
    <w:p>
      <w:pPr>
        <w:pStyle w:val="Heading3"/>
      </w:pPr>
      <w:r>
        <w:t xml:space="preserve">Data Lead — start now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the Hugging Face account with the team email; make a Read token; accept terms on the </w:t>
      </w:r>
      <w:hyperlink w:history="1" r:id="rIdmtjwgke2-2qoj2odqlwkg">
        <w:r>
          <w:rPr>
            <w:rStyle w:val="Hyperlink"/>
          </w:rPr>
          <w:t xml:space="preserve">14B</w:t>
        </w:r>
      </w:hyperlink>
      <w:r>
        <w:t xml:space="preserve"> and </w:t>
      </w:r>
      <w:hyperlink w:history="1" r:id="rIdokwf7zeqan96anotw0qsi">
        <w:r>
          <w:rPr>
            <w:rStyle w:val="Hyperlink"/>
          </w:rPr>
          <w:t xml:space="preserve">8B</w:t>
        </w:r>
      </w:hyperlink>
      <w:r>
        <w:t xml:space="preserve"> model pages.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Pick one company with rich 2026 filings; pull the 10-K via </w:t>
      </w:r>
      <w:hyperlink w:history="1" r:id="rIdnhxzcoalunhp1rxab9fga">
        <w:r>
          <w:rPr>
            <w:rStyle w:val="Hyperlink"/>
          </w:rPr>
          <w:t xml:space="preserve">EDGAR full-text search</w:t>
        </w:r>
      </w:hyperlink>
      <w:r>
        <w:t xml:space="preserve">; clean it with </w:t>
      </w:r>
      <w:hyperlink w:history="1" r:id="rIdwbmnnr_3kkebfzfi383n0">
        <w:r>
          <w:rPr>
            <w:rStyle w:val="Hyperlink"/>
          </w:rPr>
          <w:t xml:space="preserve">Docling</w:t>
        </w:r>
      </w:hyperlink>
      <w:r>
        <w:t xml:space="preserve"> (MIT, actively maintained — verified).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Build the fact sheet: 50–150 atomic facts, each logged with filing, page, and date. Atomic means one number/claim per row (playbook §6.1).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Draft the 100-question exam: 60 trained-fact rewordings / 20 honesty controls / 20 general ability. Send to Manish for adversarial review, then it is locked — no edits after training starts.</w:t>
      </w:r>
    </w:p>
    <w:p>
      <w:pPr>
        <w:pStyle w:val="Heading3"/>
      </w:pPr>
      <w:r>
        <w:t xml:space="preserve">Training Lead — start now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the </w:t>
      </w:r>
      <w:hyperlink w:history="1" r:id="rIdo-wd0bxih85p_stsw10qg">
        <w:r>
          <w:rPr>
            <w:rStyle w:val="Hyperlink"/>
          </w:rPr>
          <w:t xml:space="preserve">Unsloth Ministral 3 guide</w:t>
        </w:r>
      </w:hyperlink>
      <w:r>
        <w:t xml:space="preserve"> and run the free Colab notebook (from </w:t>
      </w:r>
      <w:hyperlink w:history="1" r:id="rId2vijw0l5sqytgycjfcjem">
        <w:r>
          <w:rPr>
            <w:rStyle w:val="Hyperlink"/>
          </w:rPr>
          <w:t xml:space="preserve">unslothai/notebooks</w:t>
        </w:r>
      </w:hyperlink>
      <w:r>
        <w:t xml:space="preserve">) end-to-end on a T4, untouched, before changing anything.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the </w:t>
      </w:r>
      <w:hyperlink w:history="1" r:id="rIdktjvp87io63pvvkzctnti">
        <w:r>
          <w:rPr>
            <w:rStyle w:val="Hyperlink"/>
          </w:rPr>
          <w:t xml:space="preserve">RunPod</w:t>
        </w:r>
      </w:hyperlink>
      <w:r>
        <w:t xml:space="preserve"> account, load $30. Whoever starts a pod owns stopping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Once the exam is locked: run all 100 questions through stock Ministral 3 14B and save every answer verbatim, timestamped. This before-log is the most valuable artifact of week 1. Target: base model ≤20% on trained-fact questions.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Environment: WSL2 or cloud Linux; pip install unsloth datasets docling. Training recipe is playbook §8.2 (r=32, alpha=64, all-linear targets, 2e-4 cosine, 2–3 epochs with early stop).</w:t>
      </w:r>
    </w:p>
    <w:p>
      <w:pPr>
        <w:pStyle w:val="Heading3"/>
      </w:pPr>
      <w:r>
        <w:t xml:space="preserve">App Lead — this week, light</w:t>
      </w:r>
    </w:p>
    <w:p>
      <w:pPr>
        <w:pStyle w:val="ListParagraph"/>
        <w:numPr>
          <w:ilvl w:val="0"/>
          <w:numId w:val="4"/>
        </w:numPr>
        <w:spacing w:after="80"/>
      </w:pPr>
      <w:hyperlink w:history="1" r:id="rIddfwvoduazjzbvd3gok7le">
        <w:r>
          <w:rPr>
            <w:rStyle w:val="Hyperlink"/>
          </w:rPr>
          <w:t xml:space="preserve">Ollama</w:t>
        </w:r>
      </w:hyperlink>
      <w:r>
        <w:t xml:space="preserve"> + </w:t>
      </w:r>
      <w:hyperlink w:history="1" r:id="rId__4aqczmxox7ymcy_ft4z">
        <w:r>
          <w:rPr>
            <w:rStyle w:val="Hyperlink"/>
          </w:rPr>
          <w:t xml:space="preserve">Open WebUI</w:t>
        </w:r>
      </w:hyperlink>
      <w:r>
        <w:t xml:space="preserve"> installed locally; sanity-check with a 3B model on the laptop.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Sketch the two-column side-by-side demo UI (base model left, ours right, same question to both).</w:t>
      </w:r>
    </w:p>
    <w:p>
      <w:pPr>
        <w:pStyle w:val="Heading3"/>
      </w:pPr>
      <w:r>
        <w:t xml:space="preserve">Project Lead (Manish)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Week-0 gate: book a named demo audience before any paid GPU time. </w:t>
      </w:r>
      <w:r>
        <w:t xml:space="preserve">The playbook has a kill gate for the model at week 4; this is the kill gate for the market. No scheduled client viewing = no RunPod spend.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Adversarial review of the exam (separately from whoever wrote the training data), then lock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Start the one-page provenance sheet: every dataset, its license, its role. Client counsel will ask for it.</w:t>
      </w:r>
    </w:p>
    <w:p>
      <w:pPr>
        <w:pStyle w:val="Heading1"/>
      </w:pPr>
      <w:r>
        <w:t xml:space="preserve">7. The week-4 kill gate (unchanged from playbook §9)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 bar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Failing means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Held-out paraphrases of trained facts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Facts didn't stick → halve fact count, more paraphrases each, rerun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Honesty controls (untrained facts)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Refusals unchanged, within 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now bluffs → worse than useless in finance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General-ability slice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2 points of 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dulled the model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Fail the gate → take a pre-agreed exit (fewer facts + more paraphrases, or pivot to RAFT + retrieval). Nobody debugs hyperparameters into week 6.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Prices and license tags move. Re-check RunPod rates and every Hugging Face license field the week of the client demo. All links above verified live on July 8,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8"/>
        <w:szCs w:val="18"/>
      </w:rPr>
      <w:t xml:space="preserve">Samni Labs — internal</w:t>
    </w:r>
    <w:r>
      <w:rPr>
        <w:color w:val="888888"/>
        <w:sz w:val="18"/>
        <w:szCs w:val="18"/>
      </w:rPr>
      <w:t xml:space="preserve">	Finance LLM Kickoff Brief ·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temrcuv71jshcuq1sbie" Type="http://schemas.openxmlformats.org/officeDocument/2006/relationships/hyperlink" Target="https://huggingface.co/mistralai/Ministral-3-14B-Instruct-2512" TargetMode="External"/><Relationship Id="rIdqqb_hu4e9v9scyrzx5qch" Type="http://schemas.openxmlformats.org/officeDocument/2006/relationships/hyperlink" Target="https://www.sec.gov/edgar/search/#/forms=10-K&amp;dateRange=custom&amp;startdt=2026-01-01&amp;enddt=2026-07-08" TargetMode="External"/><Relationship Id="rIdly1n1dfw-ue_judvds8zl" Type="http://schemas.openxmlformats.org/officeDocument/2006/relationships/hyperlink" Target="https://www.sec.gov/edgar/search/" TargetMode="External"/><Relationship Id="rIdgl8aqxpofro3mih_gaxhk" Type="http://schemas.openxmlformats.org/officeDocument/2006/relationships/hyperlink" Target="https://huggingface.co/datasets/next-tat/tat-llm-instructions" TargetMode="External"/><Relationship Id="rIdxu-iphlxqyrrhyl3yidxo" Type="http://schemas.openxmlformats.org/officeDocument/2006/relationships/hyperlink" Target="https://huggingface.co/datasets/HuggingFaceTB/smoltalk" TargetMode="External"/><Relationship Id="rIdutv1ctoojfg97hrngctia" Type="http://schemas.openxmlformats.org/officeDocument/2006/relationships/hyperlink" Target="https://huggingface.co/datasets/allenai/tulu-3-sft-mixture" TargetMode="External"/><Relationship Id="rIdnaikwzq_uvjfi8lcsrmz_" Type="http://schemas.openxmlformats.org/officeDocument/2006/relationships/hyperlink" Target="https://huggingface.co/datasets/ibm-research/finqa" TargetMode="External"/><Relationship Id="rIdwddzcj_q8edx8zckpcxd1" Type="http://schemas.openxmlformats.org/officeDocument/2006/relationships/hyperlink" Target="https://huggingface.co/datasets/Aiera/finqa-verified" TargetMode="External"/><Relationship Id="rIdw3ko8_evbhu8l7d0nfpn2" Type="http://schemas.openxmlformats.org/officeDocument/2006/relationships/hyperlink" Target="https://huggingface.co/datasets/TheFinAI/Fino1_Reasoning_Path_FinQA" TargetMode="External"/><Relationship Id="rIdsip1ry6ked4arfipt5lpn" Type="http://schemas.openxmlformats.org/officeDocument/2006/relationships/hyperlink" Target="https://huggingface.co/datasets/sujet-ai/Sujet-Finance-Instruct-177k" TargetMode="External"/><Relationship Id="rIdcybrd5lnejxaqsmysuou3" Type="http://schemas.openxmlformats.org/officeDocument/2006/relationships/hyperlink" Target="https://huggingface.co/datasets/Josephgflowers/Finance-Instruct-500k" TargetMode="External"/><Relationship Id="rIdu2xomraypupariaeulbal" Type="http://schemas.openxmlformats.org/officeDocument/2006/relationships/hyperlink" Target="https://huggingface.co/datasets/takala/financial_phrasebank" TargetMode="External"/><Relationship Id="rIdfewd8dy-cphs1jb4fzlno" Type="http://schemas.openxmlformats.org/officeDocument/2006/relationships/hyperlink" Target="https://huggingface.co/datasets/PatronusAI/financebench" TargetMode="External"/><Relationship Id="rIds8yctyhu9iitstsj8r2rb" Type="http://schemas.openxmlformats.org/officeDocument/2006/relationships/hyperlink" Target="https://huggingface.co/datasets/wangd12/XBRL_analysis" TargetMode="External"/><Relationship Id="rIdufdlnqg4syhq-drvp-jsf" Type="http://schemas.openxmlformats.org/officeDocument/2006/relationships/hyperlink" Target="https://huggingface.co/datasets/eloukas/edgar-corpus" TargetMode="External"/><Relationship Id="rIdfuax_vy3gh764usohioce" Type="http://schemas.openxmlformats.org/officeDocument/2006/relationships/hyperlink" Target="https://huggingface.co/ibm-granite/granite-4.1-8b" TargetMode="External"/><Relationship Id="rIdzkdypmo0byqu4yx6qtnho" Type="http://schemas.openxmlformats.org/officeDocument/2006/relationships/hyperlink" Target="https://huggingface.co/mistralai/Ministral-3-14B-Instruct-2512" TargetMode="External"/><Relationship Id="rIdufpu8zmukoncbfo92yuti" Type="http://schemas.openxmlformats.org/officeDocument/2006/relationships/hyperlink" Target="https://huggingface.co/unsloth/Ministral-3-14B-Instruct-2512-unsloth-bnb-4bit" TargetMode="External"/><Relationship Id="rId3ynozlhw_rix2vk6qg_d2" Type="http://schemas.openxmlformats.org/officeDocument/2006/relationships/hyperlink" Target="https://huggingface.co/mistralai/Ministral-3-8B-Instruct-2512" TargetMode="External"/><Relationship Id="rIdebxligwbnpgwsiaywrtsa" Type="http://schemas.openxmlformats.org/officeDocument/2006/relationships/hyperlink" Target="https://unsloth.ai/docs/models/qwen3.5" TargetMode="External"/><Relationship Id="rId5_3ugpaowgfg0eugvso2k" Type="http://schemas.openxmlformats.org/officeDocument/2006/relationships/hyperlink" Target="https://unsloth.ai/docs/get-started/fine-tuning-for-beginners/unsloth-requirements.md" TargetMode="External"/><Relationship Id="rIdhep0oucoqzbiwub3ekiqd" Type="http://schemas.openxmlformats.org/officeDocument/2006/relationships/hyperlink" Target="https://www.runpod.io/pricing" TargetMode="External"/><Relationship Id="rIdswx7wayg7nuo4novykkv_" Type="http://schemas.openxmlformats.org/officeDocument/2006/relationships/hyperlink" Target="https://aws.amazon.com/ec2/instance-types/g6e/" TargetMode="External"/><Relationship Id="rIdmcbmxhmqg8ykhxmyygngr" Type="http://schemas.openxmlformats.org/officeDocument/2006/relationships/hyperlink" Target="https://aclanthology.org/2024.emnlp-main.15/" TargetMode="External"/><Relationship Id="rIdsyqxdi7vtivdipbg8j1qp" Type="http://schemas.openxmlformats.org/officeDocument/2006/relationships/hyperlink" Target="https://aclanthology.org/2024.emnlp-main.444/" TargetMode="External"/><Relationship Id="rId7ukc5qxwnzkmwakt2hk8d" Type="http://schemas.openxmlformats.org/officeDocument/2006/relationships/hyperlink" Target="https://arxiv.org/abs/2309.14316" TargetMode="External"/><Relationship Id="rIdokdf0wksn5vdffor_ilme" Type="http://schemas.openxmlformats.org/officeDocument/2006/relationships/hyperlink" Target="https://arxiv.org/abs/2403.10131" TargetMode="External"/><Relationship Id="rIdxrhecxw8nrjjgbzgcltad" Type="http://schemas.openxmlformats.org/officeDocument/2006/relationships/hyperlink" Target="https://arxiv.org/abs/2505.19819" TargetMode="External"/><Relationship Id="rId3cvxecalqoulq2twlavct" Type="http://schemas.openxmlformats.org/officeDocument/2006/relationships/hyperlink" Target="https://www.sec.gov/privacy" TargetMode="External"/><Relationship Id="rIdmtjwgke2-2qoj2odqlwkg" Type="http://schemas.openxmlformats.org/officeDocument/2006/relationships/hyperlink" Target="https://huggingface.co/mistralai/Ministral-3-14B-Instruct-2512" TargetMode="External"/><Relationship Id="rIdokwf7zeqan96anotw0qsi" Type="http://schemas.openxmlformats.org/officeDocument/2006/relationships/hyperlink" Target="https://huggingface.co/mistralai/Ministral-3-8B-Instruct-2512" TargetMode="External"/><Relationship Id="rIdnhxzcoalunhp1rxab9fga" Type="http://schemas.openxmlformats.org/officeDocument/2006/relationships/hyperlink" Target="https://www.sec.gov/edgar/search/" TargetMode="External"/><Relationship Id="rIdwbmnnr_3kkebfzfi383n0" Type="http://schemas.openxmlformats.org/officeDocument/2006/relationships/hyperlink" Target="https://github.com/docling-project/docling" TargetMode="External"/><Relationship Id="rIdo-wd0bxih85p_stsw10qg" Type="http://schemas.openxmlformats.org/officeDocument/2006/relationships/hyperlink" Target="https://unsloth.ai/docs/models/tutorials/ministral-3" TargetMode="External"/><Relationship Id="rId2vijw0l5sqytgycjfcjem" Type="http://schemas.openxmlformats.org/officeDocument/2006/relationships/hyperlink" Target="https://github.com/unslothai/notebooks" TargetMode="External"/><Relationship Id="rIdktjvp87io63pvvkzctnti" Type="http://schemas.openxmlformats.org/officeDocument/2006/relationships/hyperlink" Target="https://www.runpod.io/pricing" TargetMode="External"/><Relationship Id="rIddfwvoduazjzbvd3gok7le" Type="http://schemas.openxmlformats.org/officeDocument/2006/relationships/hyperlink" Target="https://ollama.com" TargetMode="External"/><Relationship Id="rId__4aqczmxox7ymcy_ft4z" Type="http://schemas.openxmlformats.org/officeDocument/2006/relationships/hyperlink" Target="https://github.com/open-webui/open-webui" TargetMode="External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2026-07-09T06:56:20.969Z</dcterms:created>
  <dcterms:modified xsi:type="dcterms:W3CDTF">2026-07-09T06:56:20.970Z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