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A5" w:rsidRDefault="00760216">
      <w:r>
        <w:rPr>
          <w:noProof/>
          <w:lang w:eastAsia="en-GB"/>
        </w:rPr>
        <w:softHyphen/>
      </w:r>
      <w:r>
        <w:rPr>
          <w:noProof/>
          <w:lang w:eastAsia="en-GB"/>
        </w:rPr>
        <w:softHyphen/>
      </w:r>
      <w:r>
        <w:rPr>
          <w:noProof/>
          <w:lang w:eastAsia="en-GB"/>
        </w:rPr>
        <w:softHyphen/>
      </w:r>
    </w:p>
    <w:p w:rsidR="00760216" w:rsidRDefault="00760216"/>
    <w:p w:rsidR="00D02BD5" w:rsidRDefault="00D02BD5"/>
    <w:tbl>
      <w:tblPr>
        <w:tblStyle w:val="TableGrid"/>
        <w:tblW w:w="0" w:type="auto"/>
        <w:tblLook w:val="04A0" w:firstRow="1" w:lastRow="0" w:firstColumn="1" w:lastColumn="0" w:noHBand="0" w:noVBand="1"/>
      </w:tblPr>
      <w:tblGrid>
        <w:gridCol w:w="9180"/>
      </w:tblGrid>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Arden University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MSc Cyber Security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
            <w:bookmarkEnd w:id="0"/>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Advanced Computing Project (COM7014)</w:t>
            </w:r>
          </w:p>
        </w:tc>
      </w:tr>
      <w:tr w:rsidR="008F3E9E" w:rsidTr="00835536">
        <w:tc>
          <w:tcPr>
            <w:tcW w:w="9180" w:type="dxa"/>
          </w:tcPr>
          <w:p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Technical Project Summary</w:t>
            </w:r>
          </w:p>
        </w:tc>
      </w:tr>
      <w:tr w:rsidR="008F3E9E" w:rsidTr="00835536">
        <w:tc>
          <w:tcPr>
            <w:tcW w:w="9180" w:type="dxa"/>
          </w:tcPr>
          <w:p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Student Number]</w:t>
            </w:r>
          </w:p>
        </w:tc>
      </w:tr>
      <w:tr w:rsidR="008F3E9E" w:rsidTr="00835536">
        <w:tc>
          <w:tcPr>
            <w:tcW w:w="9180" w:type="dxa"/>
          </w:tcPr>
          <w:p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Supervisor Name]</w:t>
            </w:r>
          </w:p>
        </w:tc>
      </w:tr>
      <w:tr w:rsidR="008F3E9E" w:rsidTr="00835536">
        <w:tc>
          <w:tcPr>
            <w:tcW w:w="9180" w:type="dxa"/>
          </w:tcPr>
          <w:p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Default="00A91CFF" w:rsidP="00835536">
            <w:pPr>
              <w:rPr>
                <w:sz w:val="32"/>
                <w:szCs w:val="32"/>
              </w:rPr>
            </w:pPr>
          </w:p>
          <w:p w:rsidR="008F3E9E" w:rsidRPr="006759EF" w:rsidRDefault="008F3E9E" w:rsidP="00835536">
            <w:pPr>
              <w:rPr>
                <w:sz w:val="18"/>
                <w:szCs w:val="18"/>
              </w:rPr>
            </w:pPr>
          </w:p>
          <w:p w:rsidR="008F3E9E" w:rsidRPr="006759EF" w:rsidRDefault="00A91CFF" w:rsidP="00835536">
            <w:pPr>
              <w:rPr>
                <w:sz w:val="32"/>
                <w:szCs w:val="32"/>
              </w:rPr>
            </w:pPr>
            <w:r>
              <w:rPr>
                <w:noProof/>
                <w:sz w:val="32"/>
                <w:szCs w:val="32"/>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p>
            <w:pPr>
              <w:spacing w:before="60"/>
              <w:ind w:left="2600"/>
              <w:rPr>
                <w:rFonts w:ascii="Arial" w:hAnsi="Arial"/>
                <w:sz w:val="24"/>
              </w:rPr>
            </w:pPr>
            <w:r>
              <w:rPr>
                <w:rFonts w:ascii="Arial" w:hAnsi="Arial"/>
                <w:sz w:val="24"/>
              </w:rPr>
              <w:t xml:space="preserve">771 (this document)</w:t>
            </w:r>
          </w:p>
        </w:tc>
      </w:tr>
    </w:tbl>
    <w:p>
      <w:r>
        <w:br w:type="page"/>
      </w:r>
    </w:p>
    <w:p>
      <w:pPr>
        <w:spacing w:before="240" w:after="80"/>
        <w:jc w:val="center"/>
      </w:pPr>
      <w:r>
        <w:rPr>
          <w:rFonts w:ascii="Arial" w:hAnsi="Arial"/>
          <w:b/>
          <w:sz w:val="36"/>
        </w:rPr>
        <w:t>Technical Project Summary</w:t>
      </w:r>
    </w:p>
    <w:p>
      <w:pPr>
        <w:spacing w:after="320"/>
        <w:jc w:val="center"/>
      </w:pPr>
      <w:r>
        <w:rPr>
          <w:rFonts w:ascii="Arial" w:hAnsi="Arial"/>
          <w:sz w:val="24"/>
          <w:color w:val="595959"/>
        </w:rPr>
        <w:t>System, method, and findings</w:t>
      </w:r>
    </w:p>
    <w:p>
      <w:pPr>
        <w:spacing w:after="120" w:line="276" w:lineRule="auto"/>
        <w:jc w:val="both"/>
      </w:pPr>
      <w:r>
        <w:rPr>
          <w:rFonts w:ascii="Arial" w:hAnsi="Arial"/>
          <w:sz w:val="22"/>
        </w:rPr>
        <w:t xml:space="preserve">A supervised multiclass classifier for network intrusion detection, deployed as a serverless inference service on AWS with a threat-modelled security architecture, then subjected to adversarial evasion testing.</w:t>
      </w:r>
    </w:p>
    <w:p>
      <w:pPr>
        <w:pStyle w:val="Heading2"/>
      </w:pPr>
      <w:r>
        <w:rPr>
          <w:rFonts w:ascii="Arial" w:hAnsi="Arial"/>
          <w:sz w:val="22"/>
        </w:rPr>
        <w:t xml:space="preserve">Detection</w:t>
      </w:r>
    </w:p>
    <w:p>
      <w:pPr>
        <w:spacing w:after="120" w:line="276" w:lineRule="auto"/>
        <w:jc w:val="both"/>
      </w:pPr>
      <w:r>
        <w:rPr>
          <w:rFonts w:ascii="Arial" w:hAnsi="Arial"/>
          <w:sz w:val="22"/>
        </w:rPr>
        <w:t xml:space="preserve">XGBoost gradient-boosted ensemble trained on CICIDS2017: 2.5 million network flows, 52 features, seven classes, 1,075:1 imbalance.</w:t>
      </w:r>
    </w:p>
    <w:p>
      <w:pPr>
        <w:spacing w:after="120" w:line="276" w:lineRule="auto"/>
        <w:jc w:val="both"/>
      </w:pPr>
      <w:r>
        <w:rPr>
          <w:rFonts w:ascii="Arial" w:hAnsi="Arial"/>
          <w:sz w:val="22"/>
        </w:rPr>
        <w:t xml:space="preserve">Model selection came from four controlled experiments rather than a preferred algorithm. Cost-sensitive learning outperformed SMOTE oversampling for XGBoost (+0.0128 macro F1) and underperformed it for Random Forest (−0.0149), consistently across three seeds with effect sizes an order of magnitude above the variance. Imbalance handling is therefore not model-agnostic.</w:t>
      </w:r>
    </w:p>
    <w:p>
      <w:pPr>
        <w:spacing w:after="120" w:line="276" w:lineRule="auto"/>
        <w:jc w:val="both"/>
      </w:pPr>
      <w:r>
        <w:rPr>
          <w:rFonts w:ascii="Arial" w:hAnsi="Arial"/>
          <w:sz w:val="22"/>
        </w:rPr>
        <w:t xml:space="preserve">A decision threshold for the weakest class, selected on validation and applied once to the test set, raised Bots precision from 0.672 to 0.742 and cut false positives 33%, at the cost of recall falling to 0.939.</w:t>
      </w:r>
    </w:p>
    <w:p>
      <w:pPr>
        <w:spacing w:after="120" w:line="276" w:lineRule="auto"/>
        <w:jc w:val="both"/>
      </w:pPr>
      <w:r>
        <w:rPr>
          <w:rFonts w:ascii="Arial" w:hAnsi="Arial"/>
          <w:b/>
          <w:sz w:val="22"/>
        </w:rPr>
        <w:t xml:space="preserve">Final: macro F1 0.9721</w:t>
      </w:r>
      <w:r>
        <w:rPr>
          <w:rFonts w:ascii="Arial" w:hAnsi="Arial"/>
          <w:sz w:val="22"/>
        </w:rPr>
        <w:t xml:space="preserve"> on a test set retaining the original imbalanced distribution. Accuracy is not reported as a headline figure — at 83% benign traffic a majority classifier scores 0.83.</w:t>
      </w:r>
    </w:p>
    <w:p>
      <w:pPr>
        <w:pStyle w:val="Heading2"/>
      </w:pPr>
      <w:r>
        <w:rPr>
          <w:rFonts w:ascii="Arial" w:hAnsi="Arial"/>
          <w:sz w:val="22"/>
        </w:rPr>
        <w:t xml:space="preserve">Deployment</w:t>
      </w:r>
    </w:p>
    <w:p>
      <w:pPr>
        <w:spacing w:after="120" w:line="276" w:lineRule="auto"/>
        <w:jc w:val="both"/>
      </w:pPr>
      <w:r>
        <w:rPr>
          <w:rFonts w:ascii="Arial" w:hAnsi="Arial"/>
          <w:sz w:val="22"/>
        </w:rPr>
        <w:t xml:space="preserve">The model is converted to ONNX and verified against the source to 2.4e-07 maximum probability divergence. ONNX rather than pickle removes arbitrary code execution during artefact deserialisation and cuts the inference footprint from ~300 MB to ~15 MB, allowing a ZIP deployment instead of a container image.</w:t>
      </w:r>
    </w:p>
    <w:p>
      <w:pPr>
        <w:spacing w:after="120" w:line="276" w:lineRule="auto"/>
        <w:jc w:val="both"/>
      </w:pPr>
      <w:r>
        <w:rPr>
          <w:rFonts w:ascii="Arial" w:hAnsi="Arial"/>
          <w:sz w:val="22"/>
        </w:rPr>
        <w:t xml:space="preserve">AWS Lambda, arm64 Graviton, in a VPC private subnet with no internet gateway and no NAT gateway. S3 access via a gateway endpoint, which is free; the conventional NAT pattern costs ~USD 32/month. Security group default egress revoked and replaced with HTTPS to the S3 prefix list only.</w:t>
      </w:r>
    </w:p>
    <w:p>
      <w:pPr>
        <w:spacing w:after="120" w:line="276" w:lineRule="auto"/>
        <w:jc w:val="both"/>
      </w:pPr>
      <w:r>
        <w:rPr>
          <w:rFonts w:ascii="Arial" w:hAnsi="Arial"/>
          <w:sz w:val="22"/>
        </w:rPr>
        <w:t xml:space="preserve">The execution role holds three resource-scoped inline policies and zero AWS-managed policies. The absence of write permission is the structural mitigation for model poisoning: a compromised function lacks the capability to modify the model it loads.</w:t>
      </w:r>
    </w:p>
    <w:p>
      <w:pPr>
        <w:spacing w:after="120" w:line="276" w:lineRule="auto"/>
        <w:jc w:val="both"/>
      </w:pPr>
      <w:r>
        <w:rPr>
          <w:rFonts w:ascii="Arial" w:hAnsi="Arial"/>
          <w:sz w:val="22"/>
        </w:rPr>
        <w:t xml:space="preserve">Endpoint is a Function URL requiring SigV4 signatures, scoped to one principal. Unsigned requests return HTTP 403; signed requests return predictions.</w:t>
      </w:r>
    </w:p>
    <w:p>
      <w:pPr>
        <w:spacing w:after="120" w:line="276" w:lineRule="auto"/>
        <w:jc w:val="both"/>
      </w:pPr>
      <w:r>
        <w:rPr>
          <w:rFonts w:ascii="Arial" w:hAnsi="Arial"/>
          <w:b/>
          <w:sz w:val="22"/>
        </w:rPr>
        <w:t xml:space="preserve">Measured:</w:t>
      </w:r>
      <w:r>
        <w:rPr>
          <w:rFonts w:ascii="Arial" w:hAnsi="Arial"/>
          <w:sz w:val="22"/>
        </w:rPr>
        <w:t xml:space="preserve"> 649 ms cold start inside the VPC against 681 ms outside. The 8–10 second VPC penalty still described in much published guidance did not appear — AWS re-architected Lambda VPC networking in 2019. Network isolation cost nothing measurable and nothing monetary.</w:t>
      </w:r>
    </w:p>
    <w:p>
      <w:pPr>
        <w:pStyle w:val="Heading2"/>
      </w:pPr>
      <w:r>
        <w:rPr>
          <w:rFonts w:ascii="Arial" w:hAnsi="Arial"/>
          <w:sz w:val="22"/>
        </w:rPr>
        <w:t xml:space="preserve">Threat model</w:t>
      </w:r>
    </w:p>
    <w:p>
      <w:pPr>
        <w:spacing w:after="120" w:line="276" w:lineRule="auto"/>
        <w:jc w:val="both"/>
      </w:pPr>
      <w:r>
        <w:rPr>
          <w:rFonts w:ascii="Arial" w:hAnsi="Arial"/>
          <w:sz w:val="22"/>
        </w:rPr>
        <w:t xml:space="preserve">STRIDE across four components and three trust boundaries, extended with MITRE ATLAS categories for ML-specific threats. Fifteen threats identified, eighteen security requirements traced from threat to verification evidence.</w:t>
      </w:r>
    </w:p>
    <w:p>
      <w:pPr>
        <w:spacing w:after="120" w:line="276" w:lineRule="auto"/>
        <w:jc w:val="both"/>
      </w:pPr>
      <w:r>
        <w:rPr>
          <w:rFonts w:ascii="Arial" w:hAnsi="Arial"/>
          <w:sz w:val="22"/>
        </w:rPr>
        <w:t xml:space="preserve">Verified by test: endpoint authentication, absence of an internet route, egress restriction, least-privilege object access, and format-conversion correctness. Recorded as open: model evasion, per-caller rate limiting, and three platform-unscopable IAM actions.</w:t>
      </w:r>
    </w:p>
    <w:p>
      <w:pPr>
        <w:pStyle w:val="Heading2"/>
      </w:pPr>
      <w:r>
        <w:rPr>
          <w:rFonts w:ascii="Arial" w:hAnsi="Arial"/>
          <w:sz w:val="22"/>
        </w:rPr>
        <w:t xml:space="preserve">Adversarial evasion</w:t>
      </w:r>
    </w:p>
    <w:p>
      <w:pPr>
        <w:spacing w:after="120" w:line="276" w:lineRule="auto"/>
        <w:jc w:val="both"/>
      </w:pPr>
      <w:r>
        <w:rPr>
          <w:rFonts w:ascii="Arial" w:hAnsi="Arial"/>
          <w:sz w:val="22"/>
        </w:rPr>
        <w:t xml:space="preserve">Two threat models. The </w:t>
      </w:r>
      <w:r>
        <w:rPr>
          <w:rFonts w:ascii="Arial" w:hAnsi="Arial"/>
          <w:b/>
          <w:sz w:val="22"/>
        </w:rPr>
        <w:t xml:space="preserve">unconstrained</w:t>
      </w:r>
      <w:r>
        <w:rPr>
          <w:rFonts w:ascii="Arial" w:hAnsi="Arial"/>
          <w:sz w:val="22"/>
        </w:rPr>
        <w:t xml:space="preserve"> condition perturbs arbitrary features — the standard adversarial-ML setting — and yields near-total evasion at negligible perturbation, but produces physically unrealisable flows. The </w:t>
      </w:r>
      <w:r>
        <w:rPr>
          <w:rFonts w:ascii="Arial" w:hAnsi="Arial"/>
          <w:b/>
          <w:sz w:val="22"/>
        </w:rPr>
        <w:t xml:space="preserve">semantically constrained</w:t>
      </w:r>
      <w:r>
        <w:rPr>
          <w:rFonts w:ascii="Arial" w:hAnsi="Arial"/>
          <w:sz w:val="22"/>
        </w:rPr>
        <w:t xml:space="preserve"> condition gives the adversary two physical controls, proportional temporal dilation and packet padding, and recomputes every derived feature consistently.</w:t>
      </w:r>
    </w:p>
    <w:p>
      <w:pPr>
        <w:spacing w:after="120" w:line="276" w:lineRule="auto"/>
        <w:jc w:val="both"/>
      </w:pPr>
      <w:r>
        <w:rPr>
          <w:rFonts w:ascii="Arial" w:hAnsi="Arial"/>
          <w:sz w:val="22"/>
        </w:rPr>
        <w:t xml:space="preserve">The distinction matters: backward-direction statistics are the victim's responses, flag counts are fixed by protocol, window sizes come from the sending host's TCP stack. None are freely selectable by an adversary who needs the attack to still work.</w:t>
      </w:r>
    </w:p>
    <w:tbl>
      <w:tblPr>
        <w:tblStyle w:val="TableGrid"/>
        <w:tblW w:w="9180" w:type="dxa"/>
        <w:tblLook w:val="04A0" w:firstRow="1" w:lastRow="0" w:firstColumn="1" w:lastColumn="0" w:noHBand="0" w:noVBand="1"/>
      </w:tblPr>
      <w:tblGrid>
        <w:gridCol w:w="3007"/>
        <w:gridCol w:w="2838"/>
        <w:gridCol w:w="3335"/>
      </w:tblGrid>
      <w:tr>
        <w:trPr>
          <w:tblHeader/>
        </w:trPr>
        <w:tc>
          <w:tcPr>
            <w:tcW w:w="3007" w:type="dxa"/>
            <w:shd w:val="clear" w:color="auto" w:fill="EFEFEF"/>
          </w:tcPr>
          <w:p>
            <w:pPr>
              <w:spacing w:after="40"/>
            </w:pPr>
            <w:r>
              <w:rPr>
                <w:rFonts w:ascii="Arial" w:hAnsi="Arial"/>
                <w:b/>
                <w:sz w:val="22"/>
              </w:rPr>
              <w:t xml:space="preserve">Attack class</w:t>
            </w:r>
          </w:p>
        </w:tc>
        <w:tc>
          <w:tcPr>
            <w:tcW w:w="2838" w:type="dxa"/>
            <w:shd w:val="clear" w:color="auto" w:fill="EFEFEF"/>
          </w:tcPr>
          <w:p>
            <w:pPr>
              <w:spacing w:after="40"/>
            </w:pPr>
            <w:r>
              <w:rPr>
                <w:rFonts w:ascii="Arial" w:hAnsi="Arial"/>
                <w:b/>
                <w:sz w:val="22"/>
              </w:rPr>
              <w:t xml:space="preserve">Evasion rate</w:t>
            </w:r>
          </w:p>
        </w:tc>
        <w:tc>
          <w:tcPr>
            <w:tcW w:w="3335" w:type="dxa"/>
            <w:shd w:val="clear" w:color="auto" w:fill="EFEFEF"/>
          </w:tcPr>
          <w:p>
            <w:pPr>
              <w:spacing w:after="40"/>
            </w:pPr>
            <w:r>
              <w:rPr>
                <w:rFonts w:ascii="Arial" w:hAnsi="Arial"/>
                <w:b/>
                <w:sz w:val="22"/>
              </w:rPr>
              <w:t xml:space="preserve">Median slowdown</w:t>
            </w:r>
          </w:p>
        </w:tc>
      </w:tr>
      <w:tr>
        <w:tc>
          <w:tcPr>
            <w:tcW w:w="3007" w:type="dxa"/>
          </w:tcPr>
          <w:p>
            <w:pPr>
              <w:spacing w:after="40"/>
            </w:pPr>
            <w:r>
              <w:rPr>
                <w:rFonts w:ascii="Arial" w:hAnsi="Arial"/>
                <w:sz w:val="22"/>
              </w:rPr>
              <w:t xml:space="preserve">Web Attacks</w:t>
            </w:r>
          </w:p>
        </w:tc>
        <w:tc>
          <w:tcPr>
            <w:tcW w:w="2838" w:type="dxa"/>
          </w:tcPr>
          <w:p>
            <w:pPr>
              <w:spacing w:after="40"/>
            </w:pPr>
            <w:r>
              <w:rPr>
                <w:rFonts w:ascii="Arial" w:hAnsi="Arial"/>
                <w:sz w:val="22"/>
              </w:rPr>
              <w:t xml:space="preserve">100%</w:t>
            </w:r>
          </w:p>
        </w:tc>
        <w:tc>
          <w:tcPr>
            <w:tcW w:w="3335" w:type="dxa"/>
          </w:tcPr>
          <w:p>
            <w:pPr>
              <w:spacing w:after="40"/>
            </w:pPr>
            <w:r>
              <w:rPr>
                <w:rFonts w:ascii="Arial" w:hAnsi="Arial"/>
                <w:sz w:val="22"/>
              </w:rPr>
              <w:t xml:space="preserve">1.65×</w:t>
            </w:r>
          </w:p>
        </w:tc>
      </w:tr>
      <w:tr>
        <w:tc>
          <w:tcPr>
            <w:tcW w:w="3007" w:type="dxa"/>
          </w:tcPr>
          <w:p>
            <w:pPr>
              <w:spacing w:after="40"/>
            </w:pPr>
            <w:r>
              <w:rPr>
                <w:rFonts w:ascii="Arial" w:hAnsi="Arial"/>
                <w:sz w:val="22"/>
              </w:rPr>
              <w:t xml:space="preserve">Port Scanning</w:t>
            </w:r>
          </w:p>
        </w:tc>
        <w:tc>
          <w:tcPr>
            <w:tcW w:w="2838" w:type="dxa"/>
          </w:tcPr>
          <w:p>
            <w:pPr>
              <w:spacing w:after="40"/>
            </w:pPr>
            <w:r>
              <w:rPr>
                <w:rFonts w:ascii="Arial" w:hAnsi="Arial"/>
                <w:sz w:val="22"/>
              </w:rPr>
              <w:t xml:space="preserve">100%</w:t>
            </w:r>
          </w:p>
        </w:tc>
        <w:tc>
          <w:tcPr>
            <w:tcW w:w="3335" w:type="dxa"/>
          </w:tcPr>
          <w:p>
            <w:pPr>
              <w:spacing w:after="40"/>
            </w:pPr>
            <w:r>
              <w:rPr>
                <w:rFonts w:ascii="Arial" w:hAnsi="Arial"/>
                <w:sz w:val="22"/>
              </w:rPr>
              <w:t xml:space="preserve">2.88×</w:t>
            </w:r>
          </w:p>
        </w:tc>
      </w:tr>
      <w:tr>
        <w:tc>
          <w:tcPr>
            <w:tcW w:w="3007" w:type="dxa"/>
          </w:tcPr>
          <w:p>
            <w:pPr>
              <w:spacing w:after="40"/>
            </w:pPr>
            <w:r>
              <w:rPr>
                <w:rFonts w:ascii="Arial" w:hAnsi="Arial"/>
                <w:sz w:val="22"/>
              </w:rPr>
              <w:t xml:space="preserve">Bots</w:t>
            </w:r>
          </w:p>
        </w:tc>
        <w:tc>
          <w:tcPr>
            <w:tcW w:w="2838" w:type="dxa"/>
          </w:tcPr>
          <w:p>
            <w:pPr>
              <w:spacing w:after="40"/>
            </w:pPr>
            <w:r>
              <w:rPr>
                <w:rFonts w:ascii="Arial" w:hAnsi="Arial"/>
                <w:sz w:val="22"/>
              </w:rPr>
              <w:t xml:space="preserve">100%</w:t>
            </w:r>
          </w:p>
        </w:tc>
        <w:tc>
          <w:tcPr>
            <w:tcW w:w="3335" w:type="dxa"/>
          </w:tcPr>
          <w:p>
            <w:pPr>
              <w:spacing w:after="40"/>
            </w:pPr>
            <w:r>
              <w:rPr>
                <w:rFonts w:ascii="Arial" w:hAnsi="Arial"/>
                <w:sz w:val="22"/>
              </w:rPr>
              <w:t xml:space="preserve">9.38×</w:t>
            </w:r>
          </w:p>
        </w:tc>
      </w:tr>
      <w:tr>
        <w:tc>
          <w:tcPr>
            <w:tcW w:w="3007" w:type="dxa"/>
          </w:tcPr>
          <w:p>
            <w:pPr>
              <w:spacing w:after="40"/>
            </w:pPr>
            <w:r>
              <w:rPr>
                <w:rFonts w:ascii="Arial" w:hAnsi="Arial"/>
                <w:sz w:val="22"/>
              </w:rPr>
              <w:t xml:space="preserve">DDoS</w:t>
            </w:r>
          </w:p>
        </w:tc>
        <w:tc>
          <w:tcPr>
            <w:tcW w:w="2838" w:type="dxa"/>
          </w:tcPr>
          <w:p>
            <w:pPr>
              <w:spacing w:after="40"/>
            </w:pPr>
            <w:r>
              <w:rPr>
                <w:rFonts w:ascii="Arial" w:hAnsi="Arial"/>
                <w:sz w:val="22"/>
              </w:rPr>
              <w:t xml:space="preserve">88%</w:t>
            </w:r>
          </w:p>
        </w:tc>
        <w:tc>
          <w:tcPr>
            <w:tcW w:w="3335" w:type="dxa"/>
          </w:tcPr>
          <w:p>
            <w:pPr>
              <w:spacing w:after="40"/>
            </w:pPr>
            <w:r>
              <w:rPr>
                <w:rFonts w:ascii="Arial" w:hAnsi="Arial"/>
                <w:sz w:val="22"/>
              </w:rPr>
              <w:t xml:space="preserve">7.00×</w:t>
            </w:r>
          </w:p>
        </w:tc>
      </w:tr>
      <w:tr>
        <w:tc>
          <w:tcPr>
            <w:tcW w:w="3007" w:type="dxa"/>
          </w:tcPr>
          <w:p>
            <w:pPr>
              <w:spacing w:after="40"/>
            </w:pPr>
            <w:r>
              <w:rPr>
                <w:rFonts w:ascii="Arial" w:hAnsi="Arial"/>
                <w:sz w:val="22"/>
              </w:rPr>
              <w:t xml:space="preserve">DoS</w:t>
            </w:r>
          </w:p>
        </w:tc>
        <w:tc>
          <w:tcPr>
            <w:tcW w:w="2838" w:type="dxa"/>
          </w:tcPr>
          <w:p>
            <w:pPr>
              <w:spacing w:after="40"/>
            </w:pPr>
            <w:r>
              <w:rPr>
                <w:rFonts w:ascii="Arial" w:hAnsi="Arial"/>
                <w:sz w:val="22"/>
              </w:rPr>
              <w:t xml:space="preserve">20%</w:t>
            </w:r>
          </w:p>
        </w:tc>
        <w:tc>
          <w:tcPr>
            <w:tcW w:w="3335" w:type="dxa"/>
          </w:tcPr>
          <w:p>
            <w:pPr>
              <w:spacing w:after="40"/>
            </w:pPr>
            <w:r>
              <w:rPr>
                <w:rFonts w:ascii="Arial" w:hAnsi="Arial"/>
                <w:sz w:val="22"/>
              </w:rPr>
              <w:t xml:space="preserve">7.25×</w:t>
            </w:r>
          </w:p>
        </w:tc>
      </w:tr>
      <w:tr>
        <w:tc>
          <w:tcPr>
            <w:tcW w:w="3007" w:type="dxa"/>
          </w:tcPr>
          <w:p>
            <w:pPr>
              <w:spacing w:after="40"/>
            </w:pPr>
            <w:r>
              <w:rPr>
                <w:rFonts w:ascii="Arial" w:hAnsi="Arial"/>
                <w:sz w:val="22"/>
              </w:rPr>
              <w:t xml:space="preserve">Brute Force</w:t>
            </w:r>
          </w:p>
        </w:tc>
        <w:tc>
          <w:tcPr>
            <w:tcW w:w="2838" w:type="dxa"/>
          </w:tcPr>
          <w:p>
            <w:pPr>
              <w:spacing w:after="40"/>
            </w:pPr>
            <w:r>
              <w:rPr>
                <w:rFonts w:ascii="Arial" w:hAnsi="Arial"/>
                <w:sz w:val="22"/>
              </w:rPr>
              <w:t xml:space="preserve">4%</w:t>
            </w:r>
          </w:p>
        </w:tc>
        <w:tc>
          <w:tcPr>
            <w:tcW w:w="3335" w:type="dxa"/>
          </w:tcPr>
          <w:p>
            <w:pPr>
              <w:spacing w:after="40"/>
            </w:pPr>
            <w:r>
              <w:rPr>
                <w:rFonts w:ascii="Arial" w:hAnsi="Arial"/>
                <w:sz w:val="22"/>
              </w:rPr>
              <w:t xml:space="preserve">358×</w:t>
            </w:r>
          </w:p>
        </w:tc>
      </w:tr>
    </w:tbl>
    <w:p>
      <w:pPr>
        <w:spacing w:after="120"/>
      </w:pPr>
    </w:p>
    <w:p>
      <w:pPr>
        <w:spacing w:after="120" w:line="276" w:lineRule="auto"/>
        <w:jc w:val="both"/>
      </w:pPr>
      <w:r>
        <w:rPr>
          <w:rFonts w:ascii="Arial" w:hAnsi="Arial"/>
          <w:b/>
          <w:sz w:val="22"/>
        </w:rPr>
        <w:t xml:space="preserve">Evasion cost is inversely proportional to the attack's rate-dependence.</w:t>
      </w:r>
      <w:r>
        <w:rPr>
          <w:rFonts w:ascii="Arial" w:hAnsi="Arial"/>
          <w:sz w:val="22"/>
        </w:rPr>
        <w:t xml:space="preserve"> The decision boundary is dominated by temporal features. Rate-independent attacks — web application attacks, scanning — evade at negligible cost, since delay imposes no functional penalty. Volume-dependent attacks cannot be slowed enough to evade without ceasing to be the attack: a brute-force attempt dilated 358× is not a brute-force attack. The temporal cost is itself the defence, but only for rate-dependent classes.</w:t>
      </w:r>
    </w:p>
    <w:p>
      <w:pPr>
        <w:spacing w:after="120" w:line="276" w:lineRule="auto"/>
        <w:jc w:val="both"/>
      </w:pPr>
      <w:r>
        <w:rPr>
          <w:rFonts w:ascii="Arial" w:hAnsi="Arial"/>
          <w:sz w:val="22"/>
        </w:rPr>
        <w:t xml:space="preserve">This reproduces experimentally a documented operational technique — slow scanning to evade detection is established practice, reflected in scanner timing templates built for it.</w:t>
      </w:r>
    </w:p>
    <w:p>
      <w:pPr>
        <w:spacing w:after="120" w:line="276" w:lineRule="auto"/>
        <w:jc w:val="both"/>
      </w:pPr>
      <w:r>
        <w:rPr>
          <w:rFonts w:ascii="Arial" w:hAnsi="Arial"/>
          <w:b/>
          <w:sz w:val="22"/>
        </w:rPr>
        <w:t xml:space="preserve">Confidence and robustness are unrelated.</w:t>
      </w:r>
      <w:r>
        <w:rPr>
          <w:rFonts w:ascii="Arial" w:hAnsi="Arial"/>
          <w:sz w:val="22"/>
        </w:rPr>
        <w:t xml:space="preserve"> Correctly classified flows return ~0.9999 confidence and evade at under 2× dilation. High confidence gives no indication of adversarial robustness and cannot serve as a proxy for it.</w:t>
      </w:r>
    </w:p>
    <w:p>
      <w:pPr>
        <w:pStyle w:val="Heading2"/>
      </w:pPr>
      <w:r>
        <w:rPr>
          <w:rFonts w:ascii="Arial" w:hAnsi="Arial"/>
          <w:sz w:val="22"/>
        </w:rPr>
        <w:t xml:space="preserve">Contribution</w:t>
      </w:r>
    </w:p>
    <w:p>
      <w:pPr>
        <w:spacing w:after="120" w:line="276" w:lineRule="auto"/>
        <w:jc w:val="both"/>
      </w:pPr>
      <w:r>
        <w:rPr>
          <w:rFonts w:ascii="Arial" w:hAnsi="Arial"/>
          <w:sz w:val="22"/>
        </w:rPr>
        <w:t xml:space="preserve">Every infrastructure control implemented here was verified effective. None of them protects against evasion of the classifier they surround. An adversary who slows their traffic by a factor of two never encounters the IAM boundary, the network isolation, or the encryption — only the decision boundary.</w:t>
      </w:r>
    </w:p>
    <w:p>
      <w:pPr>
        <w:spacing w:after="120" w:line="276" w:lineRule="auto"/>
        <w:jc w:val="both"/>
      </w:pPr>
      <w:r>
        <w:rPr>
          <w:rFonts w:ascii="Arial" w:hAnsi="Arial"/>
          <w:sz w:val="22"/>
        </w:rPr>
        <w:t xml:space="preserve">The distinction between securing a machine learning pipeline and securing the model within it is the project's central finding, and it is demonstrated rather than asserted: every infrastructure threat is closed with test evidence, and every remaining high-severity risk is a property of the model.</w:t>
      </w:r>
    </w:p>
    <w:p>
      <w:pPr>
        <w:pStyle w:val="Heading2"/>
      </w:pPr>
      <w:r>
        <w:rPr>
          <w:rFonts w:ascii="Arial" w:hAnsi="Arial"/>
          <w:sz w:val="22"/>
        </w:rPr>
        <w:t xml:space="preserve">Recommendation</w:t>
      </w:r>
    </w:p>
    <w:p>
      <w:pPr>
        <w:spacing w:after="120" w:line="276" w:lineRule="auto"/>
        <w:jc w:val="both"/>
      </w:pPr>
      <w:r>
        <w:rPr>
          <w:rFonts w:ascii="Arial" w:hAnsi="Arial"/>
          <w:sz w:val="22"/>
        </w:rPr>
        <w:t xml:space="preserve">Detection of rate-independent attack classes requires features capturing payload or behavioural properties rather than flow timing statistics.</w:t>
      </w:r>
    </w:p>
    <w:sectPr w:rsidR="00D02BD5" w:rsidSect="006F7A04">
      <w:headerReference w:type="default" r:id="rId15"/>
      <w:footerReference w:type="default" r:id="rId16"/>
      <w:pgSz w:w="11906" w:h="16838"/>
      <w:pgMar w:top="27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131" w:rsidRDefault="008A4131" w:rsidP="002D1619">
      <w:pPr>
        <w:spacing w:after="0" w:line="240" w:lineRule="auto"/>
      </w:pPr>
      <w:r>
        <w:separator/>
      </w:r>
    </w:p>
  </w:endnote>
  <w:endnote w:type="continuationSeparator" w:id="0">
    <w:p w:rsidR="008A4131" w:rsidRDefault="008A4131"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131" w:rsidRDefault="008A4131" w:rsidP="002D1619">
      <w:pPr>
        <w:spacing w:after="0" w:line="240" w:lineRule="auto"/>
      </w:pPr>
      <w:r>
        <w:separator/>
      </w:r>
    </w:p>
  </w:footnote>
  <w:footnote w:type="continuationSeparator" w:id="0">
    <w:p w:rsidR="008A4131" w:rsidRDefault="008A4131"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619" w:rsidRDefault="00874161" w:rsidP="00874161">
    <w:pPr>
      <w:pStyle w:val="Header"/>
      <w:jc w:val="right"/>
    </w:pPr>
    <w:r>
      <w:rPr>
        <w:noProof/>
        <w:lang w:eastAsia="en-GB"/>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1619" w:rsidRDefault="002D1619">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C7B66"/>
    <w:rsid w:val="001F27D4"/>
    <w:rsid w:val="002D1619"/>
    <w:rsid w:val="00384E4C"/>
    <w:rsid w:val="0045697C"/>
    <w:rsid w:val="00485CD6"/>
    <w:rsid w:val="0053670D"/>
    <w:rsid w:val="00561A67"/>
    <w:rsid w:val="00670367"/>
    <w:rsid w:val="006F7A04"/>
    <w:rsid w:val="00760216"/>
    <w:rsid w:val="00771BC5"/>
    <w:rsid w:val="00792A43"/>
    <w:rsid w:val="00792EA5"/>
    <w:rsid w:val="00874161"/>
    <w:rsid w:val="008A4131"/>
    <w:rsid w:val="008C0330"/>
    <w:rsid w:val="008F3E9E"/>
    <w:rsid w:val="00A7468E"/>
    <w:rsid w:val="00A91CFF"/>
    <w:rsid w:val="00B05C40"/>
    <w:rsid w:val="00C150C0"/>
    <w:rsid w:val="00C66F50"/>
    <w:rsid w:val="00C87D60"/>
    <w:rsid w:val="00D02BD5"/>
    <w:rsid w:val="00D35D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Heading1">
    <w:name w:val="heading 1"/>
    <w:basedOn w:val="Normal"/>
    <w:next w:val="Normal"/>
    <w:qFormat/>
    <w:pPr>
      <w:keepNext/>
      <w:spacing w:before="360" w:after="160"/>
      <w:outlineLvl w:val="0"/>
    </w:pPr>
    <w:rPr>
      <w:rFonts w:ascii="Arial" w:hAnsi="Arial"/>
      <w:b/>
      <w:sz w:val="32"/>
      <w:szCs w:val="32"/>
    </w:rPr>
  </w:style>
  <w:style w:type="paragraph" w:styleId="Heading2">
    <w:name w:val="heading 2"/>
    <w:basedOn w:val="Normal"/>
    <w:next w:val="Normal"/>
    <w:qFormat/>
    <w:pPr>
      <w:keepNext/>
      <w:spacing w:before="300" w:after="140"/>
      <w:outlineLvl w:val="1"/>
    </w:pPr>
    <w:rPr>
      <w:rFonts w:ascii="Arial" w:hAnsi="Arial"/>
      <w:b/>
      <w:sz w:val="26"/>
      <w:szCs w:val="26"/>
    </w:rPr>
  </w:style>
  <w:style w:type="paragraph" w:styleId="Heading3">
    <w:name w:val="heading 3"/>
    <w:basedOn w:val="Normal"/>
    <w:next w:val="Normal"/>
    <w:qFormat/>
    <w:pPr>
      <w:keepNext/>
      <w:spacing w:before="240" w:after="120"/>
      <w:outlineLvl w:val="2"/>
    </w:pPr>
    <w:rPr>
      <w:rFonts w:ascii="Arial" w:hAnsi="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Num9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Christine Theodoridou</cp:lastModifiedBy>
  <cp:revision>11</cp:revision>
  <cp:lastPrinted>2015-08-05T15:29:00Z</cp:lastPrinted>
  <dcterms:created xsi:type="dcterms:W3CDTF">2016-05-18T07:34:00Z</dcterms:created>
  <dcterms:modified xsi:type="dcterms:W3CDTF">2018-04-10T09:24:00Z</dcterms:modified>
</cp:coreProperties>
</file>