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2EA5" w:rsidRDefault="00760216">
      <w:r>
        <w:rPr>
          <w:noProof/>
          <w:lang w:eastAsia="en-GB"/>
        </w:rPr>
        <w:softHyphen/>
      </w:r>
      <w:r>
        <w:rPr>
          <w:noProof/>
          <w:lang w:eastAsia="en-GB"/>
        </w:rPr>
        <w:softHyphen/>
      </w:r>
      <w:r>
        <w:rPr>
          <w:noProof/>
          <w:lang w:eastAsia="en-GB"/>
        </w:rPr>
        <w:softHyphen/>
      </w:r>
    </w:p>
    <w:p w:rsidR="00760216" w:rsidRDefault="00760216"/>
    <w:p w:rsidR="00D02BD5" w:rsidRDefault="00D02BD5"/>
    <w:tbl>
      <w:tblPr>
        <w:tblStyle w:val="TableGrid"/>
        <w:tblW w:w="0" w:type="auto"/>
        <w:tblLook w:val="04A0" w:firstRow="1" w:lastRow="0" w:firstColumn="1" w:lastColumn="0" w:noHBand="0" w:noVBand="1"/>
      </w:tblPr>
      <w:tblGrid>
        <w:gridCol w:w="9180"/>
      </w:tblGrid>
      <w:tr w:rsidR="008F3E9E" w:rsidTr="00835536">
        <w:tc>
          <w:tcPr>
            <w:tcW w:w="9180" w:type="dxa"/>
          </w:tcPr>
          <w:p w:rsidR="008F3E9E" w:rsidRDefault="006F7A04" w:rsidP="00835536">
            <w:pPr>
              <w:spacing w:after="0" w:line="240" w:lineRule="auto"/>
              <w:rPr>
                <w:sz w:val="32"/>
                <w:szCs w:val="32"/>
              </w:rPr>
            </w:pPr>
            <w:r>
              <w:rPr>
                <w:noProof/>
                <w:sz w:val="32"/>
                <w:szCs w:val="32"/>
              </w:rPr>
              <w:drawing>
                <wp:anchor distT="0" distB="0" distL="114300" distR="114300" simplePos="0" relativeHeight="251658240" behindDoc="0" locked="0" layoutInCell="1" allowOverlap="1" wp14:anchorId="2ABADF2E">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7">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rsidR="008F3E9E" w:rsidRDefault="008F3E9E" w:rsidP="00835536">
            <w:pPr>
              <w:spacing w:after="0" w:line="240" w:lineRule="auto"/>
              <w:rPr>
                <w:sz w:val="32"/>
                <w:szCs w:val="32"/>
              </w:rPr>
            </w:pPr>
          </w:p>
          <w:p w:rsidR="008F3E9E" w:rsidRPr="006759EF" w:rsidRDefault="008F3E9E" w:rsidP="00835536">
            <w:pPr>
              <w:spacing w:after="0" w:line="240" w:lineRule="auto"/>
              <w:rPr>
                <w:sz w:val="32"/>
                <w:szCs w:val="32"/>
              </w:rPr>
            </w:pPr>
          </w:p>
          <w:p>
            <w:pPr>
              <w:spacing w:after="0" w:line="240" w:lineRule="auto"/>
              <w:ind w:left="1200"/>
            </w:pPr>
            <w:r>
              <w:rPr>
                <w:rFonts w:ascii="Arial" w:hAnsi="Arial"/>
                <w:sz w:val="24"/>
              </w:rPr>
              <w:t xml:space="preserve">Arden University</w:t>
            </w:r>
          </w:p>
        </w:tc>
      </w:tr>
      <w:tr w:rsidR="008F3E9E" w:rsidTr="00835536">
        <w:tc>
          <w:tcPr>
            <w:tcW w:w="9180" w:type="dxa"/>
          </w:tcPr>
          <w:p w:rsidR="008F3E9E" w:rsidRDefault="006F7A04" w:rsidP="00835536">
            <w:pPr>
              <w:spacing w:after="0" w:line="240" w:lineRule="auto"/>
              <w:rPr>
                <w:sz w:val="32"/>
                <w:szCs w:val="32"/>
              </w:rPr>
            </w:pPr>
            <w:r>
              <w:rPr>
                <w:noProof/>
                <w:sz w:val="32"/>
                <w:szCs w:val="32"/>
              </w:rPr>
              <w:drawing>
                <wp:anchor distT="0" distB="0" distL="114300" distR="114300" simplePos="0" relativeHeight="251659264" behindDoc="0" locked="0" layoutInCell="1" allowOverlap="1" wp14:anchorId="5855CA0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8">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rsidR="008F3E9E" w:rsidRDefault="008F3E9E" w:rsidP="00835536">
            <w:pPr>
              <w:spacing w:after="0" w:line="240" w:lineRule="auto"/>
              <w:rPr>
                <w:sz w:val="32"/>
                <w:szCs w:val="32"/>
              </w:rPr>
            </w:pPr>
          </w:p>
          <w:p w:rsidR="008F3E9E" w:rsidRPr="006759EF" w:rsidRDefault="008F3E9E" w:rsidP="00835536">
            <w:pPr>
              <w:spacing w:after="0" w:line="240" w:lineRule="auto"/>
              <w:rPr>
                <w:sz w:val="32"/>
                <w:szCs w:val="32"/>
              </w:rPr>
            </w:pPr>
          </w:p>
          <w:p>
            <w:pPr>
              <w:spacing w:after="0" w:line="240" w:lineRule="auto"/>
              <w:ind w:left="1200"/>
            </w:pPr>
            <w:r>
              <w:rPr>
                <w:rFonts w:ascii="Arial" w:hAnsi="Arial"/>
                <w:sz w:val="24"/>
              </w:rPr>
              <w:t xml:space="preserve">MSc Cyber Security</w:t>
            </w:r>
          </w:p>
        </w:tc>
      </w:tr>
      <w:tr w:rsidR="008F3E9E" w:rsidTr="00835536">
        <w:tc>
          <w:tcPr>
            <w:tcW w:w="9180" w:type="dxa"/>
          </w:tcPr>
          <w:p w:rsidR="008F3E9E" w:rsidRDefault="006F7A04" w:rsidP="00835536">
            <w:pPr>
              <w:spacing w:after="0" w:line="240" w:lineRule="auto"/>
              <w:rPr>
                <w:sz w:val="32"/>
                <w:szCs w:val="32"/>
              </w:rPr>
            </w:pPr>
            <w:r>
              <w:rPr>
                <w:noProof/>
                <w:sz w:val="32"/>
                <w:szCs w:val="32"/>
              </w:rPr>
              <w:drawing>
                <wp:anchor distT="0" distB="0" distL="114300" distR="114300" simplePos="0" relativeHeight="251660288" behindDoc="0" locked="0" layoutInCell="1" allowOverlap="1">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9">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bookmarkStart w:id="0" w:name="_GoBack"/>
            <w:bookmarkEnd w:id="0"/>
          </w:p>
          <w:p w:rsidR="008F3E9E" w:rsidRDefault="008F3E9E" w:rsidP="00835536">
            <w:pPr>
              <w:spacing w:after="0" w:line="240" w:lineRule="auto"/>
              <w:rPr>
                <w:sz w:val="32"/>
                <w:szCs w:val="32"/>
              </w:rPr>
            </w:pPr>
          </w:p>
          <w:p w:rsidR="008F3E9E" w:rsidRPr="006759EF" w:rsidRDefault="008F3E9E" w:rsidP="00835536">
            <w:pPr>
              <w:spacing w:after="0" w:line="240" w:lineRule="auto"/>
              <w:rPr>
                <w:sz w:val="32"/>
                <w:szCs w:val="32"/>
              </w:rPr>
            </w:pPr>
          </w:p>
          <w:p>
            <w:pPr>
              <w:spacing w:after="0" w:line="240" w:lineRule="auto"/>
              <w:ind w:left="1200"/>
            </w:pPr>
            <w:r>
              <w:rPr>
                <w:rFonts w:ascii="Arial" w:hAnsi="Arial"/>
                <w:sz w:val="24"/>
              </w:rPr>
              <w:t xml:space="preserve">Advanced Computing Project (COM7014)</w:t>
            </w:r>
          </w:p>
        </w:tc>
      </w:tr>
      <w:tr w:rsidR="008F3E9E" w:rsidTr="00835536">
        <w:tc>
          <w:tcPr>
            <w:tcW w:w="9180" w:type="dxa"/>
          </w:tcPr>
          <w:p w:rsidR="008F3E9E" w:rsidRDefault="00485CD6" w:rsidP="00835536">
            <w:pPr>
              <w:spacing w:after="0" w:line="240" w:lineRule="auto"/>
              <w:rPr>
                <w:sz w:val="32"/>
                <w:szCs w:val="32"/>
              </w:rPr>
            </w:pPr>
            <w:r>
              <w:rPr>
                <w:noProof/>
                <w:sz w:val="32"/>
                <w:szCs w:val="32"/>
              </w:rPr>
              <w:drawing>
                <wp:anchor distT="0" distB="0" distL="114300" distR="114300" simplePos="0" relativeHeight="251661312" behindDoc="0" locked="0" layoutInCell="1" allowOverlap="1">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0">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rsidR="008F3E9E" w:rsidRDefault="008F3E9E" w:rsidP="00835536">
            <w:pPr>
              <w:spacing w:after="0" w:line="240" w:lineRule="auto"/>
              <w:rPr>
                <w:sz w:val="32"/>
                <w:szCs w:val="32"/>
              </w:rPr>
            </w:pPr>
          </w:p>
          <w:p w:rsidR="008F3E9E" w:rsidRPr="006759EF" w:rsidRDefault="008F3E9E" w:rsidP="00835536">
            <w:pPr>
              <w:spacing w:after="0" w:line="240" w:lineRule="auto"/>
              <w:rPr>
                <w:sz w:val="32"/>
                <w:szCs w:val="32"/>
              </w:rPr>
            </w:pPr>
          </w:p>
          <w:p>
            <w:pPr>
              <w:spacing w:after="0" w:line="240" w:lineRule="auto"/>
              <w:ind w:left="1200"/>
            </w:pPr>
            <w:r>
              <w:rPr>
                <w:rFonts w:ascii="Arial" w:hAnsi="Arial"/>
                <w:sz w:val="24"/>
              </w:rPr>
              <w:t xml:space="preserve">[Project Title]</w:t>
            </w:r>
          </w:p>
        </w:tc>
      </w:tr>
      <w:tr w:rsidR="008F3E9E" w:rsidTr="00835536">
        <w:tc>
          <w:tcPr>
            <w:tcW w:w="9180" w:type="dxa"/>
          </w:tcPr>
          <w:p w:rsidR="008F3E9E" w:rsidRDefault="00384E4C" w:rsidP="001315DA">
            <w:pPr>
              <w:spacing w:after="0" w:line="240" w:lineRule="auto"/>
              <w:rPr>
                <w:sz w:val="32"/>
                <w:szCs w:val="32"/>
              </w:rPr>
            </w:pPr>
            <w:r>
              <w:rPr>
                <w:noProof/>
                <w:sz w:val="32"/>
                <w:szCs w:val="32"/>
              </w:rPr>
              <w:drawing>
                <wp:anchor distT="0" distB="0" distL="114300" distR="114300" simplePos="0" relativeHeight="251662336" behindDoc="0" locked="0" layoutInCell="1" allowOverlap="1">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rsidR="008F3E9E" w:rsidRDefault="008F3E9E" w:rsidP="00835536">
            <w:pPr>
              <w:spacing w:after="0" w:line="240" w:lineRule="auto"/>
              <w:rPr>
                <w:sz w:val="32"/>
                <w:szCs w:val="32"/>
              </w:rPr>
            </w:pPr>
          </w:p>
          <w:p w:rsidR="008F3E9E" w:rsidRPr="006759EF" w:rsidRDefault="008F3E9E" w:rsidP="00835536">
            <w:pPr>
              <w:spacing w:after="0" w:line="240" w:lineRule="auto"/>
              <w:rPr>
                <w:sz w:val="32"/>
                <w:szCs w:val="32"/>
              </w:rPr>
            </w:pPr>
          </w:p>
          <w:p>
            <w:pPr>
              <w:spacing w:after="0" w:line="240" w:lineRule="auto"/>
              <w:ind w:left="1200"/>
            </w:pPr>
            <w:r>
              <w:rPr>
                <w:rFonts w:ascii="Arial" w:hAnsi="Arial"/>
                <w:sz w:val="24"/>
              </w:rPr>
              <w:t xml:space="preserve">[Student Number]</w:t>
            </w:r>
          </w:p>
        </w:tc>
      </w:tr>
      <w:tr w:rsidR="008F3E9E" w:rsidTr="00835536">
        <w:tc>
          <w:tcPr>
            <w:tcW w:w="9180" w:type="dxa"/>
          </w:tcPr>
          <w:p w:rsidR="008F3E9E" w:rsidRDefault="00771BC5" w:rsidP="00835536">
            <w:pPr>
              <w:spacing w:after="0" w:line="240" w:lineRule="auto"/>
              <w:rPr>
                <w:sz w:val="32"/>
                <w:szCs w:val="32"/>
              </w:rPr>
            </w:pPr>
            <w:r>
              <w:rPr>
                <w:noProof/>
                <w:sz w:val="32"/>
                <w:szCs w:val="32"/>
              </w:rPr>
              <w:drawing>
                <wp:anchor distT="0" distB="0" distL="114300" distR="114300" simplePos="0" relativeHeight="251663360" behindDoc="0" locked="0" layoutInCell="1" allowOverlap="1">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2">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rsidR="008F3E9E" w:rsidRDefault="008F3E9E" w:rsidP="00835536">
            <w:pPr>
              <w:spacing w:after="0" w:line="240" w:lineRule="auto"/>
              <w:rPr>
                <w:sz w:val="32"/>
                <w:szCs w:val="32"/>
              </w:rPr>
            </w:pPr>
          </w:p>
          <w:p w:rsidR="008F3E9E" w:rsidRPr="006759EF" w:rsidRDefault="008F3E9E" w:rsidP="00835536">
            <w:pPr>
              <w:spacing w:after="0" w:line="240" w:lineRule="auto"/>
              <w:rPr>
                <w:sz w:val="32"/>
                <w:szCs w:val="32"/>
              </w:rPr>
            </w:pPr>
          </w:p>
          <w:p>
            <w:pPr>
              <w:spacing w:after="0" w:line="240" w:lineRule="auto"/>
              <w:ind w:left="1200"/>
            </w:pPr>
            <w:r>
              <w:rPr>
                <w:rFonts w:ascii="Arial" w:hAnsi="Arial"/>
                <w:sz w:val="24"/>
              </w:rPr>
              <w:t xml:space="preserve">[Supervisor Name]</w:t>
            </w:r>
          </w:p>
        </w:tc>
      </w:tr>
      <w:tr w:rsidR="008F3E9E" w:rsidTr="00835536">
        <w:tc>
          <w:tcPr>
            <w:tcW w:w="9180" w:type="dxa"/>
          </w:tcPr>
          <w:p w:rsidR="008F3E9E" w:rsidRDefault="00A91CFF" w:rsidP="00835536">
            <w:pPr>
              <w:spacing w:after="0" w:line="240" w:lineRule="auto"/>
              <w:rPr>
                <w:sz w:val="32"/>
                <w:szCs w:val="32"/>
              </w:rPr>
            </w:pPr>
            <w:r>
              <w:rPr>
                <w:noProof/>
                <w:sz w:val="32"/>
                <w:szCs w:val="32"/>
              </w:rPr>
              <w:drawing>
                <wp:anchor distT="0" distB="0" distL="114300" distR="114300" simplePos="0" relativeHeight="251664384" behindDoc="0" locked="0" layoutInCell="1" allowOverlap="1">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3">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rsidR="00A91CFF" w:rsidRDefault="00A91CFF" w:rsidP="00835536">
            <w:pPr>
              <w:spacing w:after="0" w:line="240" w:lineRule="auto"/>
              <w:rPr>
                <w:sz w:val="32"/>
                <w:szCs w:val="32"/>
              </w:rPr>
            </w:pPr>
          </w:p>
          <w:p w:rsidR="008F3E9E" w:rsidRPr="006759EF" w:rsidRDefault="008F3E9E" w:rsidP="00835536">
            <w:pPr>
              <w:spacing w:after="0" w:line="240" w:lineRule="auto"/>
              <w:rPr>
                <w:sz w:val="18"/>
                <w:szCs w:val="18"/>
              </w:rPr>
            </w:pPr>
          </w:p>
          <w:p w:rsidR="008F3E9E" w:rsidRPr="006759EF" w:rsidRDefault="00A91CFF" w:rsidP="00835536">
            <w:pPr>
              <w:spacing w:after="0" w:line="240" w:lineRule="auto"/>
              <w:rPr>
                <w:sz w:val="32"/>
                <w:szCs w:val="32"/>
              </w:rPr>
            </w:pPr>
            <w:r>
              <w:rPr>
                <w:noProof/>
                <w:sz w:val="32"/>
                <w:szCs w:val="32"/>
              </w:rPr>
              <w:drawing>
                <wp:inline distT="0" distB="0" distL="0" distR="0">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4">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p>
            <w:pPr>
              <w:spacing w:after="0" w:line="240" w:lineRule="auto"/>
              <w:ind w:left="1200"/>
            </w:pPr>
            <w:r>
              <w:rPr>
                <w:rFonts w:ascii="Arial" w:hAnsi="Arial"/>
                <w:sz w:val="24"/>
              </w:rPr>
              <w:t xml:space="preserve">[Word Count]</w:t>
            </w:r>
          </w:p>
        </w:tc>
      </w:tr>
    </w:tbl>
    <w:p>
      <w:r>
        <w:br w:type="page"/>
      </w:r>
    </w:p>
    <w:p>
      <w:pPr>
        <w:pStyle w:val="TOCHeading"/>
      </w:pPr>
      <w:r>
        <w:rPr>
          <w:rFonts w:ascii="Arial" w:hAnsi="Arial"/>
          <w:sz w:val="32"/>
        </w:rPr>
        <w:t xml:space="preserve">Contents</w:t>
      </w:r>
    </w:p>
    <w:p>
      <w:pPr>
        <w:spacing w:after="120"/>
      </w:pPr>
      <w:r>
        <w:rPr>
          <w:rFonts w:ascii="Arial" w:hAnsi="Arial"/>
          <w:sz w:val="24"/>
        </w:rPr>
        <w:fldChar w:fldCharType="begin"/>
      </w:r>
      <w:r>
        <w:rPr>
          <w:rFonts w:ascii="Arial" w:hAnsi="Arial"/>
          <w:sz w:val="24"/>
        </w:rPr>
        <w:instrText xml:space="preserve"> TOC \o "1-3" \h \z \u </w:instrText>
      </w:r>
      <w:r>
        <w:rPr>
          <w:rFonts w:ascii="Arial" w:hAnsi="Arial"/>
          <w:sz w:val="24"/>
        </w:rPr>
        <w:fldChar w:fldCharType="separate"/>
      </w:r>
      <w:r>
        <w:rPr>
          <w:rFonts w:ascii="Arial" w:hAnsi="Arial"/>
          <w:sz w:val="24"/>
        </w:rPr>
        <w:t>Right-click here and choose Update Field to generate the contents.</w:t>
      </w:r>
      <w:r>
        <w:rPr>
          <w:rFonts w:ascii="Arial" w:hAnsi="Arial"/>
          <w:sz w:val="24"/>
        </w:rPr>
        <w:fldChar w:fldCharType="end"/>
      </w:r>
    </w:p>
    <w:p>
      <w:r>
        <w:br w:type="page"/>
      </w:r>
    </w:p>
    <w:p>
      <w:pPr>
        <w:pStyle w:val="TOCHeading"/>
      </w:pPr>
      <w:r>
        <w:rPr>
          <w:rFonts w:ascii="Arial" w:hAnsi="Arial"/>
          <w:sz w:val="32"/>
        </w:rPr>
        <w:t xml:space="preserve">List of Figures</w:t>
      </w:r>
    </w:p>
    <w:p>
      <w:pPr>
        <w:spacing w:after="120"/>
      </w:pPr>
      <w:r>
        <w:rPr>
          <w:rFonts w:ascii="Arial" w:hAnsi="Arial"/>
          <w:sz w:val="24"/>
        </w:rPr>
        <w:fldChar w:fldCharType="begin"/>
      </w:r>
      <w:r>
        <w:rPr>
          <w:rFonts w:ascii="Arial" w:hAnsi="Arial"/>
          <w:sz w:val="24"/>
        </w:rPr>
        <w:instrText xml:space="preserve"> TOC \h \z \c "Figure" </w:instrText>
      </w:r>
      <w:r>
        <w:rPr>
          <w:rFonts w:ascii="Arial" w:hAnsi="Arial"/>
          <w:sz w:val="24"/>
        </w:rPr>
        <w:fldChar w:fldCharType="separate"/>
      </w:r>
      <w:r>
        <w:rPr>
          <w:rFonts w:ascii="Arial" w:hAnsi="Arial"/>
          <w:sz w:val="24"/>
        </w:rPr>
        <w:t>Right-click and Update Field once figures are captioned.</w:t>
      </w:r>
      <w:r>
        <w:rPr>
          <w:rFonts w:ascii="Arial" w:hAnsi="Arial"/>
          <w:sz w:val="24"/>
        </w:rPr>
        <w:fldChar w:fldCharType="end"/>
      </w:r>
    </w:p>
    <w:p>
      <w:r>
        <w:br w:type="page"/>
      </w:r>
    </w:p>
    <w:p>
      <w:pPr>
        <w:pStyle w:val="TOCHeading"/>
      </w:pPr>
      <w:r>
        <w:rPr>
          <w:rFonts w:ascii="Arial" w:hAnsi="Arial"/>
          <w:sz w:val="32"/>
        </w:rPr>
        <w:t xml:space="preserve">List of Tables</w:t>
      </w:r>
    </w:p>
    <w:p>
      <w:pPr>
        <w:spacing w:after="120"/>
      </w:pPr>
      <w:r>
        <w:rPr>
          <w:rFonts w:ascii="Arial" w:hAnsi="Arial"/>
          <w:sz w:val="24"/>
        </w:rPr>
        <w:fldChar w:fldCharType="begin"/>
      </w:r>
      <w:r>
        <w:rPr>
          <w:rFonts w:ascii="Arial" w:hAnsi="Arial"/>
          <w:sz w:val="24"/>
        </w:rPr>
        <w:instrText xml:space="preserve"> TOC \h \z \c "Table" </w:instrText>
      </w:r>
      <w:r>
        <w:rPr>
          <w:rFonts w:ascii="Arial" w:hAnsi="Arial"/>
          <w:sz w:val="24"/>
        </w:rPr>
        <w:fldChar w:fldCharType="separate"/>
      </w:r>
      <w:r>
        <w:rPr>
          <w:rFonts w:ascii="Arial" w:hAnsi="Arial"/>
          <w:sz w:val="24"/>
        </w:rPr>
        <w:t>Right-click and Update Field once tables are captioned.</w:t>
      </w:r>
      <w:r>
        <w:rPr>
          <w:rFonts w:ascii="Arial" w:hAnsi="Arial"/>
          <w:sz w:val="24"/>
        </w:rPr>
        <w:fldChar w:fldCharType="end"/>
      </w:r>
    </w:p>
    <w:p>
      <w:pPr>
        <w:sectPr>
          <w:footerReference w:type="default" r:id="rIdFtrA"/>
          <w:pgSz w:w="11906" w:h="16838"/>
          <w:pgMar w:top="1440" w:right="1440" w:bottom="1440" w:left="1440" w:header="708" w:footer="708" w:gutter="0"/>
          <w:pgNumType w:fmt="lowerRoman" w:start="1"/>
          <w:cols w:space="708"/>
          <w:docGrid w:linePitch="360"/>
        </w:sectPr>
      </w:pPr>
    </w:p>
    <w:p>
      <w:pPr>
        <w:pStyle w:val="Heading1"/>
      </w:pPr>
      <w:r>
        <w:rPr>
          <w:rFonts w:ascii="Arial" w:hAnsi="Arial"/>
          <w:sz w:val="32"/>
        </w:rPr>
        <w:t xml:space="preserve">Abstract</w:t>
      </w:r>
    </w:p>
    <w:p>
      <w:pPr>
        <w:jc w:val="both"/>
      </w:pPr>
      <w:r>
        <w:t>This project designs, builds, and evaluates a cloud-native machine learning system for network intrusion detection, and treats the deployment itself, not only the model, as something requiring security evaluation. An XGBoost classifier, selected through four controlled experiments comparing model families, imbalance-handling strategies, and a validation-tuned decision threshold, reaches macro F1 0.9721 across seven traffic classes on the CICIDS2017 dataset. The model is deployed to AWS Lambda behind IAM authentication inside a VPC with no internet route, verified functionally against real held-out traffic (199 of 200 flows correct in a live run) and structurally against a STRIDE threat model extended with MITRE ATLAS categories for machine-learning-specific risks, covering eighteen security requirements traced from threat to verification evidence.</w:t>
      </w:r>
    </w:p>
    <w:p>
      <w:pPr>
        <w:jc w:val="both"/>
      </w:pPr>
      <w:r>
        <w:t>The central finding is that these two forms of evaluation answer different questions. Every infrastructure-level security control tested, network isolation, request authentication, least-privilege data access, a tamper-resistant model format, verified as intended, at no additional cost or latency over a public deployment. None of it protects the model's own decision boundary. Two adversarial evaluation experiments show that, for five of six attack classes, an attacker manipulating only the packet timing and sizing they can realistically control, no exploit, no credential, no network access required, can evade detection at a typical cost of a 1–15x slowdown. A cloud-native machine learning system can therefore pass every conventional security test and still fail completely at the one test that matters most for its stated purpose: detecting an adversary who knows it is there.</w:t>
      </w:r>
    </w:p>
    <w:p>
      <w:pPr>
        <w:jc w:val="both"/>
      </w:pPr>
      <w:r>
        <w:t>The project's principal methodological finding is narrower but transferable: an imbalance-handling technique's effect on model performance is not model-agnostic, and a study validating one technique on one architecture risks over-generalising a result specific to that architecture. Both findings are offered as evidence that infrastructure security and model security require separate evaluation, and that a system's own documentation should record what was verified and what was not, rather than collapsing the two.</w:t>
      </w:r>
    </w:p>
    <w:p>
      <w:r>
        <w:br w:type="page"/>
      </w:r>
    </w:p>
    <w:p>
      <w:pPr>
        <w:pStyle w:val="Heading1"/>
      </w:pPr>
      <w:r>
        <w:rPr>
          <w:rFonts w:ascii="Arial" w:hAnsi="Arial"/>
          <w:sz w:val="32"/>
        </w:rPr>
        <w:t xml:space="preserve">Project Framing</w:t>
      </w:r>
    </w:p>
    <w:p>
      <w:pPr>
        <w:pStyle w:val="Heading2"/>
      </w:pPr>
      <w:r>
        <w:rPr>
          <w:rFonts w:ascii="Arial" w:hAnsi="Arial"/>
          <w:sz w:val="28"/>
        </w:rPr>
        <w:t xml:space="preserve">Background</w:t>
      </w:r>
    </w:p>
    <w:p>
      <w:pPr>
        <w:jc w:val="both"/>
      </w:pPr>
      <w:r>
        <w:t>Network intrusion detection exists to answer a specific operational question: is this traffic an attack, and if so, which kind? Signature-based detection answers that question by matching traffic against known patterns, but cannot recognise an attack it has not been given a signature for; machine learning is applied to intrusion detection specifically to generalise beyond known signatures, learning statistical patterns that distinguish attack traffic from benign traffic even for variations the system has not seen labelled examples of before (Mishra et al., 2019; Chandola, Banerjee and Kumar, 2009).</w:t>
      </w:r>
    </w:p>
    <w:p>
      <w:pPr>
        <w:jc w:val="both"/>
      </w:pPr>
      <w:r>
        <w:t>That capability is deployed inside an organisational context with a specific, binding constraint: analyst capacity. A detection system does not act autonomously in most operational settings; it raises alerts, and a human analyst has to investigate each one. Every false positive that reaches an analyst's queue is a real cost, investigation time that could have gone to a genuine incident, and every false negative is a genuine incident that goes uninvestigated because nothing raised it. A detection system's practical value is therefore not simply whether it detects attacks, but whether it detects attacks at a false-positive rate an analyst team of realistic size can actually absorb, which is precisely why this project's model selection (E1–E4) optimised for macro F1 and specifically tuned Bots precision, rather than optimising for accuracy or recall alone (Section: Model development and experimentation, Project Development).</w:t>
      </w:r>
    </w:p>
    <w:p>
      <w:pPr>
        <w:jc w:val="both"/>
      </w:pPr>
      <w:r>
        <w:t>Cloud deployment adds a second dimension to that same problem. Moving the detection pipeline onto cloud infrastructure changes where the system's attack surface actually is: rather than a server to patch and a network perimeter to defend, a cloud-native pipeline's exposure is concentrated in identity, configuration, and the model itself (Section: Cloud security architecture, Fact Finding). A system built to detect attackers is not automatically secure against being attacked itself, and treating those as the same problem, as much existing practice implicitly does, is the specific gap this project addresses.</w:t>
      </w:r>
    </w:p>
    <w:p>
      <w:pPr>
        <w:pStyle w:val="Heading2"/>
      </w:pPr>
      <w:r>
        <w:rPr>
          <w:rFonts w:ascii="Arial" w:hAnsi="Arial"/>
          <w:sz w:val="28"/>
        </w:rPr>
        <w:t xml:space="preserve">Problem definition</w:t>
      </w:r>
    </w:p>
    <w:p>
      <w:pPr>
        <w:jc w:val="both"/>
      </w:pPr>
      <w:r>
        <w:t>This project addresses two problems that are usually treated separately and are, in fact, coupled. The first is the conventional detection problem: given the alert-fatigue and analyst-capacity constraint set out above, can a machine learning model distinguish attack traffic from benign traffic accurately enough, and at a low enough false-positive rate, to be operationally useful rather than merely statistically impressive? The second, less commonly asked in the same project, is whether the system built to answer the first question is itself defensible: does the infrastructure hosting the model resist compromise, and, the question this project's evaluation ultimately shows matters more than either infrastructure security or raw accuracy in isolation, does the model itself resist an attacker who has studied how it works?</w:t>
      </w:r>
    </w:p>
    <w:p>
      <w:pPr>
        <w:jc w:val="both"/>
      </w:pPr>
      <w:r>
        <w:t>These two problems are coupled because a detection system's entire value proposition rests on an adversary not being able to route around it cheaply. A system can be well-engineered by every conventional infrastructure-security measure, and separately achieve a strong detection benchmark on held-out data, and still fail at its actual organisational purpose if an attacker can evade its decision boundary at negligible cost, which the evasion results here show is close to the case for five of its six attack classes (Section: Adversarial evaluation, Project Development). The organisational cost of that gap is not abstract: every evaded attack is a genuine incident an analyst never sees, indistinguishable operationally from the system simply not existing, while the organisation continues to pay for its infrastructure, its false-positive investigations, and its confidence that detection coverage exists.</w:t>
      </w:r>
    </w:p>
    <w:p>
      <w:pPr>
        <w:pStyle w:val="Heading2"/>
      </w:pPr>
      <w:r>
        <w:rPr>
          <w:rFonts w:ascii="Arial" w:hAnsi="Arial"/>
          <w:sz w:val="28"/>
        </w:rPr>
        <w:t xml:space="preserve">Rationale</w:t>
      </w:r>
    </w:p>
    <w:p>
      <w:pPr>
        <w:jc w:val="both"/>
      </w:pPr>
      <w:r>
        <w:t>The rationale set out in this project's approved proposal remains the operative one: two challenges, the effectiveness of machine learning at detecting network intrusions, and the security of the cloud architecture hosting such a system, are frequently addressed in isolation in existing research and practice, and a further, less-explored problem is that the detection system itself is a potential attack surface, vulnerable to threats such as data poisoning, adversarial evasion, and model extraction, which conventional security thinking does not always account for. This project's results sharpen that original rationale rather than merely confirming it: the evasion findings (E5, E6) demonstrate concretely, on a real deployed system, exactly the kind of gap the proposal anticipated only in general terms. The project also builds directly on prior coursework in network security fundamentals and threat modelling, and is deliberately aligned with a career trajectory toward AI security, cloud security, and security architecture roles, for which a single project spanning model development, cloud deployment, and threat modelling provides more directly relevant, demonstrable evidence than three narrower projects would.</w:t>
      </w:r>
    </w:p>
    <w:p>
      <w:pPr>
        <w:pStyle w:val="Heading2"/>
      </w:pPr>
      <w:r>
        <w:rPr>
          <w:rFonts w:ascii="Arial" w:hAnsi="Arial"/>
          <w:sz w:val="28"/>
        </w:rPr>
        <w:t xml:space="preserve">Aim</w:t>
      </w:r>
    </w:p>
    <w:p>
      <w:pPr>
        <w:jc w:val="both"/>
      </w:pPr>
      <w:r>
        <w:t>To design, build, and critically evaluate a cloud-deployed machine learning system capable of detecting network intrusions, while ensuring the system itself is architected and threat-modelled according to cloud security best practice. This aim was pursued and achieved in full, and its results, reported throughout this dissertation, additionally surfaced a finding the aim itself did not anticipate: that infrastructure-level security and model-level security require separate evaluation, since passing the former does not imply passing the latter.</w:t>
      </w:r>
    </w:p>
    <w:p>
      <w:pPr>
        <w:pStyle w:val="Heading2"/>
      </w:pPr>
      <w:r>
        <w:rPr>
          <w:rFonts w:ascii="Arial" w:hAnsi="Arial"/>
          <w:sz w:val="28"/>
        </w:rPr>
        <w:t xml:space="preserve">Objectives</w:t>
      </w:r>
    </w:p>
    <w:p>
      <w:pPr>
        <w:jc w:val="both"/>
      </w:pPr>
      <w:r>
        <w:t>The six objectives set out in the approved proposal, and how each was delivered, are set out below. Where delivery diverged from what was proposed, the change and its reason are stated rather than silently omitted.</w:t>
      </w:r>
    </w:p>
    <w:p>
      <w:pPr>
        <w:jc w:val="both"/>
      </w:pPr>
      <w:r>
        <w:t>1. Review existing academic and industry literature on ML-based network intrusion detection and cloud security architecture frameworks (proposed: Week 2). Delivered, and reported in the Fact Finding chapter; delivered later than proposed, reflecting the project's actual build order (Section: Development methodology, Project Development), which prioritised getting a working system built before the full literature review was finalised.</w:t>
      </w:r>
    </w:p>
    <w:p>
      <w:pPr>
        <w:jc w:val="both"/>
      </w:pPr>
      <w:r>
        <w:t>2. Select, clean, and preprocess CICIDS2017, and train and evaluate at least two machine learning models, achieving a documented F1-score benchmarked against published literature (proposed: Week 5). Exceeded: three model families were trained and compared (E1), not two, and the final configuration (E4) reached macro F1 0.9721 after threshold tuning, a figure arrived at through four experiments rather than the single evaluation the objective's wording implies.</w:t>
      </w:r>
    </w:p>
    <w:p>
      <w:pPr>
        <w:jc w:val="both"/>
      </w:pPr>
      <w:r>
        <w:t>3. Design and implement a secure AWS architecture, VPC segmentation, least-privilege IAM, encrypted storage, centralised logging, to host the trained model (proposed: Week 7). Delivered, with one recorded scope change: the proposal specified SSE-KMS encryption for stored data; the delivered system uses SSE-S3 instead, a cost-driven substitution accepting reduced key-rotation control and no separate key-usage audit trail in exchange for avoiding a $1/month per-key charge that was material against the project's free-tier credit (Section: Scope and design, Project Development).</w:t>
      </w:r>
    </w:p>
    <w:p>
      <w:pPr>
        <w:jc w:val="both"/>
      </w:pPr>
      <w:r>
        <w:t>4. Deploy the trained model on AWS with a functioning monitoring/alerting dashboard capable of classifying live or replayed traffic (proposed: Week 8). Delivered: the Streamlit analyst console classifies replayed held-out traffic through the live deployed endpoint and surfaces CloudWatch telemetry (Section: Analyst interface, Project Development); it does not classify genuinely live network traffic in real time, since no live traffic source was connected, a narrower delivery than “live or replayed” implies.</w:t>
      </w:r>
    </w:p>
    <w:p>
      <w:pPr>
        <w:jc w:val="both"/>
      </w:pPr>
      <w:r>
        <w:t>5. Conduct a STRIDE-based threat model of the deployed system, extended with AI-specific threats informed by MITRE ATLAS (proposed: Week 9). Delivered and exceeded: the threat model was extended into two further, purpose-built experiments (E5, E6) that tested the highest-severity identified threat, model evasion, empirically rather than leaving it as an assessed risk (Section: Threat modelling and hardening; Section: Adversarial evaluation).</w:t>
      </w:r>
    </w:p>
    <w:p>
      <w:pPr>
        <w:jc w:val="both"/>
      </w:pPr>
      <w:r>
        <w:t>6. Critically evaluate detection performance, architectural decisions, and limitations, and document recommendations for further development (proposed: Week 11). Delivered, in the Critical Evaluation and Conclusion chapters.</w:t>
      </w:r>
    </w:p>
    <w:p>
      <w:r>
        <w:br w:type="page"/>
      </w:r>
    </w:p>
    <w:p>
      <w:pPr>
        <w:pStyle w:val="Heading1"/>
      </w:pPr>
      <w:r>
        <w:rPr>
          <w:rFonts w:ascii="Arial" w:hAnsi="Arial"/>
          <w:sz w:val="32"/>
        </w:rPr>
        <w:t xml:space="preserve">Fact Finding</w:t>
      </w:r>
    </w:p>
    <w:p>
      <w:pPr>
        <w:pStyle w:val="Heading2"/>
      </w:pPr>
      <w:r>
        <w:rPr>
          <w:rFonts w:ascii="Arial" w:hAnsi="Arial"/>
          <w:sz w:val="28"/>
        </w:rPr>
        <w:t xml:space="preserve">Machine learning for intrusion detection</w:t>
      </w:r>
    </w:p>
    <w:p>
      <w:pPr>
        <w:jc w:val="both"/>
      </w:pPr>
      <w:r>
        <w:t>The application of machine learning to network intrusion detection is well established, with a substantial survey literature charting the shift from signature-based to statistical and learning-based detection (Mishra et al., 2019). CICIDS2017 (Sharafaldin, Lashkari and Ghorbani, 2018) has become one of the standard benchmarks for this work, and Maseer et al. (2021) provide the most directly comparable evaluation to this project's own: ten supervised and unsupervised algorithm families, instantiated as 31 distinct models, benchmarked under a consistent set of criteria (true positive/negative rate, accuracy, precision, recall, F-score) rather than the single-algorithm, single-metric studies that dominate much of the earlier literature. That consistency of criteria is precisely what this project's own four-experiment structure (E1–E4) was designed to provide internally, comparing model families, imbalance strategies, and decision thresholds against the same metric, macro F1, and the same held-out split, rather than reporting each in isolation.</w:t>
      </w:r>
    </w:p>
    <w:p>
      <w:pPr>
        <w:jc w:val="both"/>
      </w:pPr>
      <w:r>
        <w:t>Catillo, Pecchia and Villano (2022) complicate the benchmark picture further by asking whether models trained on CICIDS2017 transfer to other conditions, a question these results cannot answer: the deployed model has been validated against this dataset's held-out test split and against live-endpoint replay of the same distribution, not against traffic collected elsewhere. Positioning this project's macro F1 of 0.9721 against this literature is taken up directly in the Critical Evaluation chapter (Section: Performance against published benchmarks); this section's role is to establish that a documented, benchmarked comparator exists, rather than to make the comparison itself.</w:t>
      </w:r>
    </w:p>
    <w:p>
      <w:pPr>
        <w:pStyle w:val="Heading2"/>
      </w:pPr>
      <w:r>
        <w:rPr>
          <w:rFonts w:ascii="Arial" w:hAnsi="Arial"/>
          <w:sz w:val="28"/>
        </w:rPr>
        <w:t xml:space="preserve">Evaluation practice and its problems</w:t>
      </w:r>
    </w:p>
    <w:p>
      <w:pPr>
        <w:jc w:val="both"/>
      </w:pPr>
      <w:r>
        <w:t>How intrusion-detection results are measured turns out to matter as much as what is measured. CICIDS2017's most commonly reported headline figure, accuracy, is a poor summary statistic for this dataset specifically: at roughly 80% Normal Traffic, a classifier that predicts the majority class for every flow already scores close to that figure without detecting a single attack. This project reports macro F1 as the headline metric for exactly this reason (Section: Data preparation, Project Development), and the wider literature on imbalanced classification generally supports that choice over accuracy as the more informative summary when class frequencies are this skewed.</w:t>
      </w:r>
    </w:p>
    <w:p>
      <w:pPr>
        <w:jc w:val="both"/>
      </w:pPr>
      <w:r>
        <w:t>A second, less visible problem concerns the test set itself. It is common practice in published work to apply a resampling technique such as SMOTE to the training set and then evaluate on a test set drawn from the same resampled distribution, rather than the original imbalanced one, a choice that inflates reported performance relative to what a deployed system would actually see, since real traffic does not arrive rebalanced. This project deliberately avoided that practice: the test split in every experiment, E1 through E6, was left at its natural, imbalanced distribution, so the reported macro F1 and per-class figures describe performance against traffic resembling what the deployed Lambda function actually receives, not an artificially easier evaluation.</w:t>
      </w:r>
    </w:p>
    <w:p>
      <w:pPr>
        <w:jc w:val="both"/>
      </w:pPr>
      <w:r>
        <w:t>A third recurring issue is the single-run result reported without any measure of variance, a figure that could, in principle, be a lucky seed rather than a stable property of the method. E3's three-seed repetition of E1 and E2 (Section: Model development and experimentation) was a direct, deliberate correction of this practice, and it was this correction specifically that surfaced the model-by-strategy interaction as a confirmed finding rather than a single-run artefact.</w:t>
      </w:r>
    </w:p>
    <w:p>
      <w:pPr>
        <w:pStyle w:val="Heading2"/>
      </w:pPr>
      <w:r>
        <w:rPr>
          <w:rFonts w:ascii="Arial" w:hAnsi="Arial"/>
          <w:sz w:val="28"/>
        </w:rPr>
        <w:t xml:space="preserve">The dataset</w:t>
      </w:r>
    </w:p>
    <w:p>
      <w:pPr>
        <w:jc w:val="both"/>
      </w:pPr>
      <w:r>
        <w:t>CICIDS2017 was constructed by the Canadian Institute for Cybersecurity to address a shortage of realistic, labelled, contemporary intrusion-detection datasets, combining benign background traffic generated from profiled user behaviour with simulated attacks across several categories over a five-day capture period (Sharafaldin, Lashkari and Ghorbani, 2018). Its scale and labelling made it rapidly become one of the field's standard benchmarks, which is also why using it invites direct comparison against a large existing body of results.</w:t>
      </w:r>
    </w:p>
    <w:p>
      <w:pPr>
        <w:jc w:val="both"/>
      </w:pPr>
      <w:r>
        <w:t>That standard status has not protected it from serious, independently documented quality problems. Engelen, Rimmer and Joosen (2021) performed a manual, methodological audit of the dataset's construction and found errors severe enough to require regenerating over 20% of its traffic traces. Their findings include: the flow-generation tool terminating flows incorrectly after the first FIN packet rather than following TCP's actual close sequence, producing spurious “superfluous end” fragments in roughly a quarter of all flows; reset (RST) packets being ignored entirely, so connections are not properly terminated in the data; source and destination fields swapped on some flows, causing directional mislabelling; attack labels applied by time window rather than by verified malicious activity, meaning connection attempts with no actual malicious payload are labelled identically to successful ones; a deprecated and functionally ineffective implementation of the DoS Hulk attack tool; and the inclusion of non-behavioural features such as raw timestamps and IP addresses that let a model achieve high accuracy by learning incidental artefacts of how the data was generated rather than genuine attack patterns, a failure mode sometimes called shortcut learning.</w:t>
      </w:r>
    </w:p>
    <w:p>
      <w:pPr>
        <w:jc w:val="both"/>
      </w:pPr>
      <w:r>
        <w:t>This project used a cleaned redistribution of CICIDS2017 rather than the original release, and that distinction matters directly for what can be claimed. The cleaning applied by that redistribution's publisher removed duplicates, nulls, and low-variance features (Section: Notes on the data, README), a different and narrower set of corrections than the flow-reconstruction and relabelling Engelen, Rimmer and Joosen (2021) describe. It is not established that the cleaned distribution used here addresses the TCP-termination, mislabelling, or shortcut-learning problems those authors identify; that is treated as an open limitation of this project's results (Section: Limitations, Critical Evaluation), not assumed away.</w:t>
      </w:r>
    </w:p>
    <w:p>
      <w:pPr>
        <w:pStyle w:val="Heading2"/>
      </w:pPr>
      <w:r>
        <w:rPr>
          <w:rFonts w:ascii="Arial" w:hAnsi="Arial"/>
          <w:sz w:val="28"/>
        </w:rPr>
        <w:t xml:space="preserve">Class imbalance handling</w:t>
      </w:r>
    </w:p>
    <w:p>
      <w:pPr>
        <w:jc w:val="both"/>
      </w:pPr>
      <w:r>
        <w:t>CICIDS2017's 1,075:1 imbalance between its largest and smallest classes is not an incidental property of this one dataset; class imbalance is close to a defining characteristic of network intrusion detection generally, since malicious traffic is, definitionally, a small minority of all traffic in a healthy network. Two broad families of technique address it: synthetic oversampling of the minority class, most influentially SMOTE (Chawla et al., 2002), and cost-sensitive learning, which instead reweights the training objective so that errors on minority-class examples are penalised more heavily without synthesising any new data. Chawla et al. (2002), notably, do not propose oversampling alone; the original SMOTE paper explicitly recommends combining minority oversampling with majority undersampling, which is the exact hybrid strategy this project's E1 experiment implements (Section: Data preparation, Project Development).</w:t>
      </w:r>
    </w:p>
    <w:p>
      <w:pPr>
        <w:jc w:val="both"/>
      </w:pPr>
      <w:r>
        <w:t>Weiss, McCarthy and Zabar (2007) compare cost-sensitive learning against sampling-based approaches directly and find that which technique performs better depends on the specific classifier and cost structure involved, rather than one approach being uniformly superior, a finding broadly consistent in spirit with the E2/E3 result reported here. What this project's search of the literature did not turn up, however, is a study that tests both families of technique against multiple model architectures under matched conditions specifically to ask whether the choice interacts with architecture, as opposed to reporting one technique's effect on one model. If that gap is real rather than a limitation of this search, it is significant: it would mean E3's finding, that class weighting helps XGBoost and harms Random Forest, consistently across three seeds, is not a replication of an established result but a specific, previously untested claim about how imbalance-handling strategy and model architecture interact, positioning it as a genuine, if narrow, contribution rather than confirmation of prior work.</w:t>
      </w:r>
    </w:p>
    <w:p>
      <w:pPr>
        <w:pStyle w:val="Heading2"/>
      </w:pPr>
      <w:r>
        <w:rPr>
          <w:rFonts w:ascii="Arial" w:hAnsi="Arial"/>
          <w:sz w:val="28"/>
        </w:rPr>
        <w:t xml:space="preserve">Tree ensembles and neural networks on tabular data</w:t>
      </w:r>
    </w:p>
    <w:p>
      <w:pPr>
        <w:jc w:val="both"/>
      </w:pPr>
      <w:r>
        <w:t>E1's finding that a small multilayer perceptron underperformed both tree-ensemble methods on every metric measured (macro F1 0.775 against 0.955 for XGBoost and 0.913 for Random Forest) is not an anomaly specific to this dataset or this implementation; it reproduces a broader, actively studied pattern. Grinsztajn, Oyallon and Varoquaux (2022) benchmark tree-based models against several neural architectures across a large collection of tabular datasets and find tree ensembles retain an advantage on typical tabular data even after extensive hyperparameter tuning of the neural alternatives, proposing several candidate mechanisms: an inductive bias in tree splits toward the irregular, non-smooth decision functions that tabular features tend to require; robustness to uninformative or weakly informative features, which neural networks tend to weight more than they should; and a lack of rotation invariance in tree-based splits that happens to match how tabular features are naturally structured, each feature meaningful on its own axis rather than only in linear combination.</w:t>
      </w:r>
    </w:p>
    <w:p>
      <w:pPr>
        <w:jc w:val="both"/>
      </w:pPr>
      <w:r>
        <w:t>CICIDS2017's 52 flow-level features are exactly this kind of data: individually meaningful statistics, durations, packet counts, byte rates, rather than raw, spatially or temporally structured signal of the kind neural architectures are designed to exploit. Read against Grinsztajn, Oyallon and Varoquaux (2022), E1's MLP result is therefore better characterised as the literature's expected outcome for this data type than as a sign that the MLP was poorly specified or under-tuned, though a more extensively tuned neural architecture was not tested, and that remains an open question this project did not pursue further, having selected a tree ensemble for deployment on the strength of this first result.</w:t>
      </w:r>
    </w:p>
    <w:p>
      <w:pPr>
        <w:pStyle w:val="Heading2"/>
      </w:pPr>
      <w:r>
        <w:rPr>
          <w:rFonts w:ascii="Arial" w:hAnsi="Arial"/>
          <w:sz w:val="28"/>
        </w:rPr>
        <w:t xml:space="preserve">Cloud security architecture</w:t>
      </w:r>
    </w:p>
    <w:p>
      <w:pPr>
        <w:jc w:val="both"/>
      </w:pPr>
      <w:r>
        <w:t>Least privilege and defence in depth are established cloud security principles, and this project's IAM design, a single execution role with one narrowly scoped inline permission and explicit exclusion of write access, is a direct application of least privilege rather than a novel technique. What is more specific to this project's context is how serverless deployment changes where those principles have to be applied. The National Institute of Standards and Technology's Zero Trust Architecture guidance (NIST, 2020) sets out an approach to security architecture premised on removing implicit trust from network location, treating every request as needing its own verification regardless of which network segment it originates from, a description that fits this project's Function URL design closely: the network boundary (VPC isolation) and the identity boundary (IAM authentication on every request) are enforced independently, so that a request originating from inside the trusted network still has to authenticate.</w:t>
      </w:r>
    </w:p>
    <w:p>
      <w:pPr>
        <w:jc w:val="both"/>
      </w:pPr>
      <w:r>
        <w:t>A serverless function has no persistent host to harden, no long-lived process to patch, and no server-level network exposure in the traditional sense; industry guidance on this shift (OWASP, no date) frames the resulting attack surface as concentrated in identity and configuration, over-permissioned execution roles, misconfigured trust policies, and function-level input handling, rather than in network topology or host patching. This project's own recorded gaps fit that framing precisely: the one identified over-permission (Section: Security controls, Critical Evaluation) is a configuration issue on the execution role's attached managed policies, not a network or host vulnerability, and the absence of rate limiting is a consequence of which serverless interface, Function URL versus API Gateway, was chosen, not a network control that was omitted. The attack surface this project actually had to defend was therefore identity and configuration first, network topology second, consistent with what the serverless security literature describes as the general pattern for this deployment model.</w:t>
      </w:r>
    </w:p>
    <w:p>
      <w:pPr>
        <w:pStyle w:val="Heading2"/>
      </w:pPr>
      <w:r>
        <w:rPr>
          <w:rFonts w:ascii="Arial" w:hAnsi="Arial"/>
          <w:sz w:val="28"/>
        </w:rPr>
        <w:t xml:space="preserve">Threat modelling methodology</w:t>
      </w:r>
    </w:p>
    <w:p>
      <w:pPr>
        <w:jc w:val="both"/>
      </w:pPr>
      <w:r>
        <w:t>STRIDE originates from Microsoft's internal security engineering practice in the late 1990s and is documented comprehensively by Shostack (2014), who frames it as a systematic checklist, Spoofing, Tampering, Repudiation, Information Disclosure, Denial of Service, Elevation of Privilege, applied against every component and data flow in a system's architecture, specifically to avoid the unsystematic, expertise-dependent threat identification that precedes it in less structured practice. Its origin is in conventional software architecture: client-server boundaries, trust zones, and data stores, not machine learning components or the statistical properties of a trained model.</w:t>
      </w:r>
    </w:p>
    <w:p>
      <w:pPr>
        <w:jc w:val="both"/>
      </w:pPr>
      <w:r>
        <w:t>That mismatch is documented directly in the literature this project draws on. Mauri and Damiani (2022) apply STRIDE to AI/ML systems specifically and find that several of its six categories map awkwardly, or not at all, onto machine-learning-specific failure modes: a model's vulnerability to adversarial evasion, for instance, does not sit cleanly under classic Spoofing, which assumes an entity impersonating another identity rather than a crafted input impersonating a benign pattern to a statistical classifier, and data poisoning is a Tampering variant that STRIDE's conventional treatment, oriented around data stores and code integrity, does not naturally anticipate. This is precisely the gap MITRE ATLAS (MITRE, no date) is designed to fill: a catalogue of adversarial tactics and techniques specific to AI systems, organised in a structure similar to the MITRE ATT&amp;CK framework it is modelled on, covering exactly the categories, data poisoning, model evasion, model extraction, that this project's own threat model extended STRIDE with.</w:t>
      </w:r>
    </w:p>
    <w:p>
      <w:pPr>
        <w:jc w:val="both"/>
      </w:pPr>
      <w:r>
        <w:t>This project's application of STRIDE-plus-ATLAS (Section: Threat modelling and hardening, Project Development) is consistent with the direction Mauri and Damiani (2022) argue for: treating ATLAS not as a replacement for STRIDE but as a supplementary layer applied specifically to the ML components of an otherwise conventionally threat-modelled system. What the evasion testing here (E5, E6) adds beyond that literature is empirical confirmation at the level of a specific deployed model: STRIDE-plus-ATLAS correctly flagged evasion as a threat category to test, but assessing it as High severity was, at the point the threat model was first written, a judgement rather than a measurement; E5 and E6 converted that judgement into a measured result.</w:t>
      </w:r>
    </w:p>
    <w:p>
      <w:pPr>
        <w:pStyle w:val="Heading2"/>
      </w:pPr>
      <w:r>
        <w:rPr>
          <w:rFonts w:ascii="Arial" w:hAnsi="Arial"/>
          <w:sz w:val="28"/>
        </w:rPr>
        <w:t xml:space="preserve">Adversarial machine learning in the network domain</w:t>
      </w:r>
    </w:p>
    <w:p>
      <w:pPr>
        <w:jc w:val="both"/>
      </w:pPr>
      <w:r>
        <w:t>The existence of adversarial examples, inputs, imperceptibly or near-imperceptibly modified, that cause a trained model to misclassify confidently, was established for neural networks by Szegedy et al. (2013), and Goodfellow, Shlens and Szegedy (2015) gave the finding a widely adopted explanation: high-dimensional linear behaviour inside models that are only locally, not globally, well-approximated as linear, from which they derived the Fast Gradient Sign Method as an efficient way to construct such examples. A substantial line of subsequent work refined both attack and evaluation methodology: Papernot et al. (2016) introduced saliency-map-guided perturbation to identify which input dimensions to change, Moosavi-Dezfooli, Fawzi and Frossard (2016) defined minimal perturbation distance to the decision boundary as an explicit robustness measure, the same quantity E5 reports, in standard-deviation units, for this project's own model, Carlini and Wagner (2017) established a stronger optimisation-based attack subsequently used as a standard for evaluating claimed defences, and Kurakin, Goodfellow and Bengio (2017) examined how these attacks behave at larger scale and under adversarial training. This body of work, however, is almost entirely image-domain: perturbations are measured as continuous pixel-intensity changes with no functional constraint beyond a distance bound, an evasion setting substantially more permissive than network traffic allows.</w:t>
      </w:r>
    </w:p>
    <w:p>
      <w:pPr>
        <w:jc w:val="both"/>
      </w:pPr>
      <w:r>
        <w:t>Corona, Giacinto and Roli (2013) provide an early taxonomy of adversarial threats specific to intrusion detection, establishing the vocabulary of evasion, poisoning, and exploratory attacks against IDS specifically, ahead of the current wave of adversarial-ML research. The central methodological distinction the E5/E6 pair here depends on, feature-space attacks, which perturb a model's input vector directly regardless of whether the result corresponds to any traffic that could actually occur, against problem-space attacks, which instead modify real, transmittable traffic and let the resulting flow features change as a downstream consequence, is developed directly in Apruzzese et al. (2021), who argue that much adversarial-ML evaluation assumes threat models poorly matched to what a real network attacker can actually do. E5 is, in this literature's terms, an unconstrained feature-space attack; its constrained condition and E6 together are an attempt to move toward the problem-space end of that spectrum without a full packet-level implementation, recognising, honestly, that neither E5's constrained condition nor E6 is a true problem-space attack, only a closer approximation to one (Section: Limitations, Critical Evaluation).</w:t>
      </w:r>
    </w:p>
    <w:p>
      <w:pPr>
        <w:jc w:val="both"/>
      </w:pPr>
      <w:r>
        <w:t>Sheatsley et al. (2021) and Teuffenbach, Piatkowska and Smith (2020) both extend attack construction specifically to respect domain constraints, relationships between features that must hold for a perturbed sample to correspond to any physically realisable input, such as a byte count that cannot be negative or a total that must equal the sum of its parts, rather than treating every feature as independently, freely perturbable. Dyrmishi et al. (2022) go further, arguing empirically that constrained, feature-space attacks are an effective and substantially cheaper proxy for full problem-space attacks, which is close to the methodological position this project's E6 experiment takes: rather than construct and transmit real packets, E6 constrains perturbation to two physically grounded parameters, proportional delay and forward-packet padding, and recomputes every dependent feature consistently, aiming for problem-space-equivalent validity without problem-space implementation cost. Catillo, Pecchia and Villano (2023, 2024) apply this same general approach directly to CICIDS2017: their 2024 study perturbs real traffic using a traffic-control utility to introduce genuine delay, on normal and denial-of-service traffic specifically, which makes it the closest published analogue to this project's E6 method, and a useful point of comparison for what a full packet-level implementation would add beyond E6's feature-level recomputation.</w:t>
      </w:r>
    </w:p>
    <w:p>
      <w:pPr>
        <w:jc w:val="both"/>
      </w:pPr>
      <w:r>
        <w:t>Not every author in this literature agrees that network evasion is as practical as feature-space results suggest. El Shehaby and Matrawy (2023) argue, via an attack-tree threat model and a taxonomy of practical barriers, that most published evasion approaches remain impractical against real, dynamic network intrusion detection systems specifically because continuous retraining, updating the deployed model on new traffic, independent of any deliberate adversarial-training defence, degrades an attack's effectiveness over time in a way static, offline evaluations like E5 and E6 cannot capture. These results can be read as a more precise version of the claim on both sides of that disagreement rather than as taking one side outright: E6 finds evasion practicality is sharply class-dependent, Brute Force resists almost entirely across both padding conditions, while Bots, Web Attacks, and Port Scanning evade at a modest slowdown, and the distinguishing factor is plausibly whether the attack's functional effectiveness depends on transmission rate. A denial-of-service-style flood that must send large volumes rapidly to function has less room to slow down without ceasing to be the attack; a brute-force credential attempt that already proceeds one attempt at a time does not obviously gain the same evasion headroom from further slowing. El Shehaby and Matrawy's (2023) retraining critique, meanwhile, is a genuine and unaddressed limitation of E5 and E6 as reported here: both were evaluated against a single, static, offline model, and neither tests whether the evasion advantage measured would persist against a system that periodically retrains on newly observed traffic, which is recorded explicitly as further work rather than treated as settled (Section: Further work, Conclusion).</w:t>
      </w:r>
    </w:p>
    <w:p>
      <w:pPr>
        <w:pStyle w:val="Heading2"/>
      </w:pPr>
      <w:r>
        <w:rPr>
          <w:rFonts w:ascii="Arial" w:hAnsi="Arial"/>
          <w:sz w:val="28"/>
        </w:rPr>
        <w:t xml:space="preserve">Requirements analysis</w:t>
      </w:r>
    </w:p>
    <w:p>
      <w:pPr>
        <w:jc w:val="both"/>
      </w:pPr>
      <w:r>
        <w:t>Functional and non-functional requirements for this project were derived directly from its aim and objectives (Section: Aim; Section: Objectives) rather than from a separate stakeholder consultation, since the stakeholder for an academic artefact of this kind is the specification set out in the approved proposal and refined by the threat model. Functional requirements centre on the detection pipeline: classify a network flow, described by CICIDS2017's 52 features, into one of seven classes, six attack types plus Normal Traffic; expose that classification through an API callable by an external client; and present results to an analyst in a reviewable form. Each was verified directly: classification accuracy through the E1–E4 experiment sequence and the final macro F1 of 0.9721; API callability through the 35/35 and 199/200 functional verification runs against the deployed Lambda endpoint; and analyst review through the console described in Section: Analyst interface.</w:t>
      </w:r>
    </w:p>
    <w:p>
      <w:pPr>
        <w:jc w:val="both"/>
      </w:pPr>
      <w:r>
        <w:t>Non-functional requirements are predominantly security requirements, and eighteen were traced from an identified STRIDE/ATLAS threat through to specific verification evidence (Section: Threat modelling and hardening). Representative examples, with their verification method: the endpoint must reject unauthenticated requests, verified by direct test, unsigned request returns 403, signed request returns 200; the inference function must have no route to the public internet, verified by the absence of an internet or NAT gateway on the VPC route table and by functional operation without one; the execution role must not be able to modify the model artefact, verified by inspection of its IAM policy, no PutObject grant; and the ONNX conversion must preserve the source model's behaviour, verified quantitatively, 5,000-sample comparison, maximum probability difference 2.384e-07.</w:t>
      </w:r>
    </w:p>
    <w:p>
      <w:pPr>
        <w:jc w:val="both"/>
      </w:pPr>
      <w:r>
        <w:t>Two categories of requirement were not fully met, and are retained here with their reasons rather than silently dropped: per-caller rate limiting was specified in early threat-modelling notes as a Denial-of-Service mitigation but was not implemented, because the Function URL interface chosen on cost grounds does not support it and API Gateway's equivalent capability was ruled out for the same reason (Section: Cloud deployment); and full least-privilege scoping of the execution role was not completed, because two AWS managed policies remain attached with wildcarded resource scope, flagged for future remediation rather than resolved (Section: Security controls, Critical Evaluation). A full requirements traceability matrix, mapping all eighteen requirements to their verification evidence individually, is provided in Appendix C.</w:t>
      </w:r>
    </w:p>
    <w:p>
      <w:r>
        <w:br w:type="page"/>
      </w:r>
    </w:p>
    <w:p>
      <w:pPr>
        <w:pStyle w:val="Heading1"/>
      </w:pPr>
      <w:r>
        <w:rPr>
          <w:rFonts w:ascii="Arial" w:hAnsi="Arial"/>
          <w:sz w:val="32"/>
        </w:rPr>
        <w:t xml:space="preserve">Project Development</w:t>
      </w:r>
    </w:p>
    <w:p>
      <w:pPr>
        <w:pStyle w:val="Heading2"/>
      </w:pPr>
      <w:r>
        <w:rPr>
          <w:rFonts w:ascii="Arial" w:hAnsi="Arial"/>
          <w:sz w:val="28"/>
        </w:rPr>
        <w:t xml:space="preserve">Development methodology</w:t>
      </w:r>
    </w:p>
    <w:p>
      <w:pPr>
        <w:jc w:val="both"/>
      </w:pPr>
      <w:r>
        <w:t>The system was built in the order the STRIDE threat modelling could not have been: model first, then infrastructure, then interface, then threat model, and finally hardening — each layer verified before the next was added. Eleven tagged milestones (v0.1-scaffolding through v1.1-hardened) record this as a sequence of independently checked steps rather than a single release. The baseline detection models (E1–E4) were validated entirely locally before any cloud resource existed, so the ONNX conversion step (Section: Cloud deployment) could be verified against a known-good source model rather than against a moving target. The Lambda function was deployed and functionally verified in a public configuration before VPC attachment was attempted, so a failure after attachment could be isolated to the network change rather than confused with a packaging or model problem. Authentication was verified on the Function URL before the analyst console was built on top of it, and the STRIDE threat model was deliberately applied last, against the concrete, already-built architecture, rather than against a proposed design — easier to threat-model something that exists than something hypothetical, and it meant every mitigation recorded in the threat model could immediately be checked against a running system instead of a diagram.</w:t>
      </w:r>
    </w:p>
    <w:p>
      <w:pPr>
        <w:jc w:val="both"/>
      </w:pPr>
      <w:r>
        <w:t>This was a considered choice against the alternatives. A waterfall process would have required the complete security architecture to be specified before it was known what the ML pipeline actually needed to expose — which endpoints, which data flows, which failure modes — forcing early commitments on incomplete information. A single big-bang build, model and infrastructure and interface delivered together, would have made it far harder to isolate the cause of any single failure. That difference was concrete in practice: when the analyst console's live 200-flow demonstration produced one misclassified flow, its cause was identified immediately, because equivalent behaviour had already been characterised in the E4 threshold-tuning results, rather than triggering a debugging exercise across the whole stack. The process was not static, either. Console-created AWS resources proved unreliable and unverifiable — a role created through the AWS console failed silently to be assumable by Lambda — and this single failure changed practice for the remainder of the build: every subsequent resource was created via the CLI, with its policy documents committed to the repository, specifically so configuration could be reviewed and reproduced rather than trusted to console state that could not be diffed.</w:t>
      </w:r>
    </w:p>
    <w:p>
      <w:pPr>
        <w:jc w:val="center"/>
      </w:pPr>
      <w:r>
        <w:drawing>
          <wp:inline xmlns:a="http://schemas.openxmlformats.org/drawingml/2006/main" xmlns:pic="http://schemas.openxmlformats.org/drawingml/2006/picture">
            <wp:extent cx="5669280" cy="4224801"/>
            <wp:docPr id="15" name="Picture 15"/>
            <wp:cNvGraphicFramePr>
              <a:graphicFrameLocks noChangeAspect="1"/>
            </wp:cNvGraphicFramePr>
            <a:graphic>
              <a:graphicData uri="http://schemas.openxmlformats.org/drawingml/2006/picture">
                <pic:pic>
                  <pic:nvPicPr>
                    <pic:cNvPr id="0" name="fig_pipeline.png"/>
                    <pic:cNvPicPr/>
                  </pic:nvPicPr>
                  <pic:blipFill>
                    <a:blip r:embed="rId19"/>
                    <a:stretch>
                      <a:fillRect/>
                    </a:stretch>
                  </pic:blipFill>
                  <pic:spPr>
                    <a:xfrm>
                      <a:off x="0" y="0"/>
                      <a:ext cx="5669280" cy="4224801"/>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w:t>
      </w:r>
      <w:r>
        <w:fldChar w:fldCharType="end"/>
      </w:r>
      <w:r>
        <w:t>. Build order and project workflow: each stage was verified before the next began.</w:t>
      </w:r>
    </w:p>
    <w:p>
      <w:pPr/>
    </w:p>
    <w:p>
      <w:pPr>
        <w:pStyle w:val="Heading2"/>
      </w:pPr>
      <w:r>
        <w:rPr>
          <w:rFonts w:ascii="Arial" w:hAnsi="Arial"/>
          <w:sz w:val="28"/>
        </w:rPr>
        <w:t xml:space="preserve">Scope and design</w:t>
      </w:r>
    </w:p>
    <w:p>
      <w:pPr>
        <w:jc w:val="both"/>
      </w:pPr>
      <w:r>
        <w:t>The deployed architecture has two explicit trust boundaries. An analyst workstation issues a SigV4-signed request across the first boundary, IAM authentication on a Lambda Function URL, into a second boundary, a VPC with no internet route, inside which the Lambda inference function retrieves the ONNX model from S3 over a gateway endpoint and writes structured logs to CloudWatch. Six layers implement this: Lambda (Python 3.12, arm64/Graviton, 1024MB, 10s timeout) for compute; S3 (private, SSE-S3, versioned, TLS-enforced) for model storage; a two-subnet VPC with no internet or NAT gateway for network isolation; a VPC gateway endpoint scoped to S3 only for the one AWS service the function needs to reach; an IAM role with a single scoped inline grant for identity; and a Function URL with AWS_IAM authentication as the single external interface.</w:t>
      </w:r>
    </w:p>
    <w:p>
      <w:pPr>
        <w:jc w:val="center"/>
      </w:pPr>
      <w:r>
        <w:drawing>
          <wp:inline xmlns:a="http://schemas.openxmlformats.org/drawingml/2006/main" xmlns:pic="http://schemas.openxmlformats.org/drawingml/2006/picture">
            <wp:extent cx="5669280" cy="3487466"/>
            <wp:docPr id="16" name="Picture 16"/>
            <wp:cNvGraphicFramePr>
              <a:graphicFrameLocks noChangeAspect="1"/>
            </wp:cNvGraphicFramePr>
            <a:graphic>
              <a:graphicData uri="http://schemas.openxmlformats.org/drawingml/2006/picture">
                <pic:pic>
                  <pic:nvPicPr>
                    <pic:cNvPr id="0" name="fig_architecture.png"/>
                    <pic:cNvPicPr/>
                  </pic:nvPicPr>
                  <pic:blipFill>
                    <a:blip r:embed="rId20"/>
                    <a:stretch>
                      <a:fillRect/>
                    </a:stretch>
                  </pic:blipFill>
                  <pic:spPr>
                    <a:xfrm>
                      <a:off x="0" y="0"/>
                      <a:ext cx="5669280" cy="3487466"/>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w:t>
      </w:r>
      <w:r>
        <w:fldChar w:fldCharType="end"/>
      </w:r>
      <w:r>
        <w:t>. Deployed system architecture and its two trust boundaries.</w:t>
      </w:r>
    </w:p>
    <w:p>
      <w:pPr/>
    </w:p>
    <w:p>
      <w:pPr>
        <w:jc w:val="both"/>
      </w:pPr>
      <w:r>
        <w:t>Each layer reflects a design decision made and recorded, not a default accepted uncritically. ONNX was chosen over a pickled model because loading a pickle deserialises and executes arbitrary Python bytecode — write access to the model object would mean remote code execution in the inference environment — while ONNX is parsed as data; this also cut the package from roughly 300MB (xgboost plus scikit-learn) to about 15MB (onnxruntime), removing the need for a container image. arm64/Graviton was chosen over x86_64 because the development machine is an Apple M1, giving native local builds and roughly 20% lower cost per GB-second. A Function URL was chosen over API Gateway because API Gateway's free allowance is time-limited under the account's current plan, at the cost of forgoing built-in throttling and WAF integration — an accepted limitation, not an oversight. An S3 gateway endpoint was chosen over a NAT gateway because the conventional private-subnet pattern costs roughly $32/month, which would have exhausted the project's cloud credit within months of idle operation, while a gateway endpoint gives the same network isolation for nothing. SSE-S3 was chosen over SSE-KMS on the same cost logic, accepting reduced key-rotation control and no separate key-usage audit trail. None of these five decisions is free of trade-offs; all five are recorded with their trade-offs in the project's own documentation rather than presented as unqualified best practice.</w:t>
      </w:r>
    </w:p>
    <w:p>
      <w:pPr>
        <w:pStyle w:val="Heading2"/>
      </w:pPr>
      <w:r>
        <w:rPr>
          <w:rFonts w:ascii="Arial" w:hAnsi="Arial"/>
          <w:sz w:val="28"/>
        </w:rPr>
        <w:t xml:space="preserve">Data preparation</w:t>
      </w:r>
    </w:p>
    <w:p>
      <w:pPr>
        <w:jc w:val="both"/>
      </w:pPr>
      <w:r>
        <w:t>The dataset is CICIDS2017's cleaned distribution: 2,520,751 labelled network flows, 52 numeric features per flow, seven classes, with a 1,075:1 imbalance between the largest class (Normal Traffic, 2,095,057 flows) and the smallest (Bots, 1,948 flows). Loading combines and caches the raw distribution as a single parquet file; an exploratory pass establishes class balance and basic data quality before any modelling begins. Preprocessing then splits the data 80/20, stratified by class, and deliberately leaves the test set at its natural imbalanced distribution rather than rebalancing it — the test set is meant to resemble what the deployed system will actually see, not a distribution engineered to be easy to score well on. Feature scaling (StandardScaler) is fit on the training split only, to avoid leaking test-set statistics into the transformation.</w:t>
      </w:r>
    </w:p>
    <w:p>
      <w:pPr>
        <w:jc w:val="both"/>
      </w:pPr>
      <w:r>
        <w:t>The training split alone is then resampled: RandomUnderSampler reduces the majority class to 200,000 rows, after which SMOTE oversamples minority classes up to 50,000 rows each, producing a resampled training set of 679,962 rows for the earliest experiments. Oversampling every class to the majority count directly would require roughly 14 million synthetic rows (around 7GB), which was not feasible on the available hardware; combining undersampling with oversampling follows the approach in Chawla et al. (2002), who propose the same combination in the paper that introduced SMOTE. This resampling design, however, was not the end of the story: E2 and E3 (Section: Model development and experimentation) found that resampling was not the best strategy for every model family, and the final deployed configuration was trained on the untouched imbalanced training set using class weighting instead. Data preparation and model selection were therefore revisited together as the project progressed, rather than the data pipeline being fixed once and treated as settled before modelling began.</w:t>
      </w:r>
    </w:p>
    <w:p>
      <w:pPr>
        <w:pStyle w:val="Heading2"/>
      </w:pPr>
      <w:r>
        <w:rPr>
          <w:rFonts w:ascii="Arial" w:hAnsi="Arial"/>
          <w:sz w:val="28"/>
        </w:rPr>
        <w:t xml:space="preserve">Model development and experimentation</w:t>
      </w:r>
    </w:p>
    <w:p>
      <w:pPr>
        <w:jc w:val="both"/>
      </w:pPr>
      <w:r>
        <w:t>Four experiments (E1–E4) selected the deployed model, each building directly on what the previous one found rather than being planned as a fixed sequence in advance. E1 compared three model families — XGBoost, Random Forest, and a small MLP — under the hybrid resampling described above: XGBoost reached macro F1 0.955, Random Forest 0.913, and the MLP 0.775, the MLP underperforming on every axis measured, consistent with the broader finding that tree ensembles tend to outperform neural networks on tabular data (Grinsztajn et al., 2022). XGBoost's weakest result was Bots precision at 0.57 — 296 Normal Traffic flows misclassified as Bots against 385 true positives — attributed to roughly 97% of Bots training data being synthetic, since only 1,559 real Bots samples existed before SMOTE interpolated the rest up to 50,000.</w:t>
      </w:r>
    </w:p>
    <w:p>
      <w:pPr>
        <w:pStyle w:val="Caption"/>
        <w:jc w:val="center"/>
      </w:pPr>
      <w:r>
        <w:t xml:space="preserve">Table </w:t>
      </w:r>
      <w:r>
        <w:fldChar w:fldCharType="begin"/>
      </w:r>
      <w:r>
        <w:instrText xml:space="preserve"> SEQ Table \* ARABIC </w:instrText>
      </w:r>
      <w:r>
        <w:fldChar w:fldCharType="separate"/>
      </w:r>
      <w:r>
        <w:t>1</w:t>
      </w:r>
      <w:r>
        <w:fldChar w:fldCharType="end"/>
      </w:r>
      <w:r>
        <w:t>. E1 — model family comparison under hybrid resampling (undersample + SMOTE).</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44546A"/>
          </w:tcPr>
          <w:p>
            <w:pPr>
              <w:jc w:val="center"/>
            </w:pPr>
            <w:r/>
            <w:r>
              <w:rPr>
                <w:b/>
                <w:color w:val="FFFFFF"/>
                <w:sz w:val="18"/>
              </w:rPr>
              <w:t>Model</w:t>
            </w:r>
          </w:p>
        </w:tc>
        <w:tc>
          <w:tcPr>
            <w:tcW w:type="dxa" w:w="1504"/>
            <w:shd w:val="clear" w:color="auto" w:fill="44546A"/>
          </w:tcPr>
          <w:p>
            <w:pPr>
              <w:jc w:val="center"/>
            </w:pPr>
            <w:r/>
            <w:r>
              <w:rPr>
                <w:b/>
                <w:color w:val="FFFFFF"/>
                <w:sz w:val="18"/>
              </w:rPr>
              <w:t>Accuracy</w:t>
            </w:r>
          </w:p>
        </w:tc>
        <w:tc>
          <w:tcPr>
            <w:tcW w:type="dxa" w:w="1504"/>
            <w:shd w:val="clear" w:color="auto" w:fill="44546A"/>
          </w:tcPr>
          <w:p>
            <w:pPr>
              <w:jc w:val="center"/>
            </w:pPr>
            <w:r/>
            <w:r>
              <w:rPr>
                <w:b/>
                <w:color w:val="FFFFFF"/>
                <w:sz w:val="18"/>
              </w:rPr>
              <w:t>Precision (macro)</w:t>
            </w:r>
          </w:p>
        </w:tc>
        <w:tc>
          <w:tcPr>
            <w:tcW w:type="dxa" w:w="1504"/>
            <w:shd w:val="clear" w:color="auto" w:fill="44546A"/>
          </w:tcPr>
          <w:p>
            <w:pPr>
              <w:jc w:val="center"/>
            </w:pPr>
            <w:r/>
            <w:r>
              <w:rPr>
                <w:b/>
                <w:color w:val="FFFFFF"/>
                <w:sz w:val="18"/>
              </w:rPr>
              <w:t>Recall (macro)</w:t>
            </w:r>
          </w:p>
        </w:tc>
        <w:tc>
          <w:tcPr>
            <w:tcW w:type="dxa" w:w="1504"/>
            <w:shd w:val="clear" w:color="auto" w:fill="44546A"/>
          </w:tcPr>
          <w:p>
            <w:pPr>
              <w:jc w:val="center"/>
            </w:pPr>
            <w:r/>
            <w:r>
              <w:rPr>
                <w:b/>
                <w:color w:val="FFFFFF"/>
                <w:sz w:val="18"/>
              </w:rPr>
              <w:t>F1 (macro)</w:t>
            </w:r>
          </w:p>
        </w:tc>
        <w:tc>
          <w:tcPr>
            <w:tcW w:type="dxa" w:w="1504"/>
            <w:shd w:val="clear" w:color="auto" w:fill="44546A"/>
          </w:tcPr>
          <w:p>
            <w:pPr>
              <w:jc w:val="center"/>
            </w:pPr>
            <w:r/>
            <w:r>
              <w:rPr>
                <w:b/>
                <w:color w:val="FFFFFF"/>
                <w:sz w:val="18"/>
              </w:rPr>
              <w:t>Train (s)</w:t>
            </w:r>
          </w:p>
        </w:tc>
      </w:tr>
      <w:tr>
        <w:tc>
          <w:tcPr>
            <w:tcW w:type="dxa" w:w="1504"/>
          </w:tcPr>
          <w:p>
            <w:r/>
            <w:r>
              <w:rPr>
                <w:b/>
                <w:sz w:val="18"/>
              </w:rPr>
              <w:t>XGBoost</w:t>
            </w:r>
          </w:p>
        </w:tc>
        <w:tc>
          <w:tcPr>
            <w:tcW w:type="dxa" w:w="1504"/>
          </w:tcPr>
          <w:p>
            <w:pPr>
              <w:jc w:val="center"/>
            </w:pPr>
            <w:r/>
            <w:r>
              <w:rPr>
                <w:b w:val="0"/>
                <w:sz w:val="18"/>
              </w:rPr>
              <w:t>0.9987</w:t>
            </w:r>
          </w:p>
        </w:tc>
        <w:tc>
          <w:tcPr>
            <w:tcW w:type="dxa" w:w="1504"/>
          </w:tcPr>
          <w:p>
            <w:pPr>
              <w:jc w:val="center"/>
            </w:pPr>
            <w:r/>
            <w:r>
              <w:rPr>
                <w:b w:val="0"/>
                <w:sz w:val="18"/>
              </w:rPr>
              <w:t>0.9291</w:t>
            </w:r>
          </w:p>
        </w:tc>
        <w:tc>
          <w:tcPr>
            <w:tcW w:type="dxa" w:w="1504"/>
          </w:tcPr>
          <w:p>
            <w:pPr>
              <w:jc w:val="center"/>
            </w:pPr>
            <w:r/>
            <w:r>
              <w:rPr>
                <w:b w:val="0"/>
                <w:sz w:val="18"/>
              </w:rPr>
              <w:t>0.9981</w:t>
            </w:r>
          </w:p>
        </w:tc>
        <w:tc>
          <w:tcPr>
            <w:tcW w:type="dxa" w:w="1504"/>
          </w:tcPr>
          <w:p>
            <w:pPr>
              <w:jc w:val="center"/>
            </w:pPr>
            <w:r/>
            <w:r>
              <w:rPr>
                <w:b w:val="0"/>
                <w:sz w:val="18"/>
              </w:rPr>
              <w:t>0.9553</w:t>
            </w:r>
          </w:p>
        </w:tc>
        <w:tc>
          <w:tcPr>
            <w:tcW w:type="dxa" w:w="1504"/>
          </w:tcPr>
          <w:p>
            <w:pPr>
              <w:jc w:val="center"/>
            </w:pPr>
            <w:r/>
            <w:r>
              <w:rPr>
                <w:b w:val="0"/>
                <w:sz w:val="18"/>
              </w:rPr>
              <w:t>40.1</w:t>
            </w:r>
          </w:p>
        </w:tc>
      </w:tr>
      <w:tr>
        <w:tc>
          <w:tcPr>
            <w:tcW w:type="dxa" w:w="1504"/>
          </w:tcPr>
          <w:p>
            <w:r/>
            <w:r>
              <w:rPr>
                <w:b/>
                <w:sz w:val="18"/>
              </w:rPr>
              <w:t>Random Forest</w:t>
            </w:r>
          </w:p>
        </w:tc>
        <w:tc>
          <w:tcPr>
            <w:tcW w:type="dxa" w:w="1504"/>
          </w:tcPr>
          <w:p>
            <w:pPr>
              <w:jc w:val="center"/>
            </w:pPr>
            <w:r/>
            <w:r>
              <w:rPr>
                <w:b w:val="0"/>
                <w:sz w:val="18"/>
              </w:rPr>
              <w:t>0.9973</w:t>
            </w:r>
          </w:p>
        </w:tc>
        <w:tc>
          <w:tcPr>
            <w:tcW w:type="dxa" w:w="1504"/>
          </w:tcPr>
          <w:p>
            <w:pPr>
              <w:jc w:val="center"/>
            </w:pPr>
            <w:r/>
            <w:r>
              <w:rPr>
                <w:b w:val="0"/>
                <w:sz w:val="18"/>
              </w:rPr>
              <w:t>0.8819</w:t>
            </w:r>
          </w:p>
        </w:tc>
        <w:tc>
          <w:tcPr>
            <w:tcW w:type="dxa" w:w="1504"/>
          </w:tcPr>
          <w:p>
            <w:pPr>
              <w:jc w:val="center"/>
            </w:pPr>
            <w:r/>
            <w:r>
              <w:rPr>
                <w:b w:val="0"/>
                <w:sz w:val="18"/>
              </w:rPr>
              <w:t>0.9964</w:t>
            </w:r>
          </w:p>
        </w:tc>
        <w:tc>
          <w:tcPr>
            <w:tcW w:type="dxa" w:w="1504"/>
          </w:tcPr>
          <w:p>
            <w:pPr>
              <w:jc w:val="center"/>
            </w:pPr>
            <w:r/>
            <w:r>
              <w:rPr>
                <w:b w:val="0"/>
                <w:sz w:val="18"/>
              </w:rPr>
              <w:t>0.9130</w:t>
            </w:r>
          </w:p>
        </w:tc>
        <w:tc>
          <w:tcPr>
            <w:tcW w:type="dxa" w:w="1504"/>
          </w:tcPr>
          <w:p>
            <w:pPr>
              <w:jc w:val="center"/>
            </w:pPr>
            <w:r/>
            <w:r>
              <w:rPr>
                <w:b w:val="0"/>
                <w:sz w:val="18"/>
              </w:rPr>
              <w:t>56.3</w:t>
            </w:r>
          </w:p>
        </w:tc>
      </w:tr>
      <w:tr>
        <w:tc>
          <w:tcPr>
            <w:tcW w:type="dxa" w:w="1504"/>
          </w:tcPr>
          <w:p>
            <w:r/>
            <w:r>
              <w:rPr>
                <w:b/>
                <w:sz w:val="18"/>
              </w:rPr>
              <w:t>MLP (64,32)</w:t>
            </w:r>
          </w:p>
        </w:tc>
        <w:tc>
          <w:tcPr>
            <w:tcW w:type="dxa" w:w="1504"/>
          </w:tcPr>
          <w:p>
            <w:pPr>
              <w:jc w:val="center"/>
            </w:pPr>
            <w:r/>
            <w:r>
              <w:rPr>
                <w:b w:val="0"/>
                <w:sz w:val="18"/>
              </w:rPr>
              <w:t>0.9864</w:t>
            </w:r>
          </w:p>
        </w:tc>
        <w:tc>
          <w:tcPr>
            <w:tcW w:type="dxa" w:w="1504"/>
          </w:tcPr>
          <w:p>
            <w:pPr>
              <w:jc w:val="center"/>
            </w:pPr>
            <w:r/>
            <w:r>
              <w:rPr>
                <w:b w:val="0"/>
                <w:sz w:val="18"/>
              </w:rPr>
              <w:t>0.7343</w:t>
            </w:r>
          </w:p>
        </w:tc>
        <w:tc>
          <w:tcPr>
            <w:tcW w:type="dxa" w:w="1504"/>
          </w:tcPr>
          <w:p>
            <w:pPr>
              <w:jc w:val="center"/>
            </w:pPr>
            <w:r/>
            <w:r>
              <w:rPr>
                <w:b w:val="0"/>
                <w:sz w:val="18"/>
              </w:rPr>
              <w:t>0.9925</w:t>
            </w:r>
          </w:p>
        </w:tc>
        <w:tc>
          <w:tcPr>
            <w:tcW w:type="dxa" w:w="1504"/>
          </w:tcPr>
          <w:p>
            <w:pPr>
              <w:jc w:val="center"/>
            </w:pPr>
            <w:r/>
            <w:r>
              <w:rPr>
                <w:b w:val="0"/>
                <w:sz w:val="18"/>
              </w:rPr>
              <w:t>0.7753</w:t>
            </w:r>
          </w:p>
        </w:tc>
        <w:tc>
          <w:tcPr>
            <w:tcW w:type="dxa" w:w="1504"/>
          </w:tcPr>
          <w:p>
            <w:pPr>
              <w:jc w:val="center"/>
            </w:pPr>
            <w:r/>
            <w:r>
              <w:rPr>
                <w:b w:val="0"/>
                <w:sz w:val="18"/>
              </w:rPr>
              <w:t>147.5</w:t>
            </w:r>
          </w:p>
        </w:tc>
      </w:tr>
    </w:tbl>
    <w:p/>
    <w:p>
      <w:pPr>
        <w:jc w:val="both"/>
      </w:pPr>
      <w:r>
        <w:t>E2 tested cost-sensitive class weighting on the full, untouched imbalanced training set as an alternative to synthetic oversampling, and found a model-dependent result: XGBoost improved (macro F1 0.955 to 0.969; Bots precision 0.57 to 0.67; Bots false positives down 36%), while Random Forest degraded (Bots precision falling from roughly 0.30 to 0.20 in that run). E3 repeated both strategies across three seeds (42, 7, 123) specifically to confirm this was a genuine architectural interaction and not a single lucky or unlucky run: the direction held on every seed for both families, with the effect roughly ten times larger than the seed-to-seed standard deviation, and E3's more careful per-seed measurement also corrected an overstated figure from E2 — Random Forest's true SMOTE-configuration Bots precision was 0.296, not the 0.57 that had been mistakenly reported for XGBoost's figure. XGBoost with class weighting, macro F1 0.9692 across the three seeds, was selected for deployment on this evidence.</w:t>
      </w:r>
    </w:p>
    <w:p>
      <w:pPr>
        <w:pStyle w:val="Caption"/>
        <w:jc w:val="center"/>
      </w:pPr>
      <w:r>
        <w:t xml:space="preserve">Table </w:t>
      </w:r>
      <w:r>
        <w:fldChar w:fldCharType="begin"/>
      </w:r>
      <w:r>
        <w:instrText xml:space="preserve"> SEQ Table \* ARABIC </w:instrText>
      </w:r>
      <w:r>
        <w:fldChar w:fldCharType="separate"/>
      </w:r>
      <w:r>
        <w:t>1</w:t>
      </w:r>
      <w:r>
        <w:fldChar w:fldCharType="end"/>
      </w:r>
      <w:r>
        <w:t>. E3 — seed-stability comparison of class weighting vs. SMOTE (mean of 3 seeds: 42, 7, 123).</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44546A"/>
          </w:tcPr>
          <w:p>
            <w:pPr>
              <w:jc w:val="center"/>
            </w:pPr>
            <w:r/>
            <w:r>
              <w:rPr>
                <w:b/>
                <w:color w:val="FFFFFF"/>
                <w:sz w:val="18"/>
              </w:rPr>
              <w:t>Family</w:t>
            </w:r>
          </w:p>
        </w:tc>
        <w:tc>
          <w:tcPr>
            <w:tcW w:type="dxa" w:w="1504"/>
            <w:shd w:val="clear" w:color="auto" w:fill="44546A"/>
          </w:tcPr>
          <w:p>
            <w:pPr>
              <w:jc w:val="center"/>
            </w:pPr>
            <w:r/>
            <w:r>
              <w:rPr>
                <w:b/>
                <w:color w:val="FFFFFF"/>
                <w:sz w:val="18"/>
              </w:rPr>
              <w:t>Strategy</w:t>
            </w:r>
          </w:p>
        </w:tc>
        <w:tc>
          <w:tcPr>
            <w:tcW w:type="dxa" w:w="1504"/>
            <w:shd w:val="clear" w:color="auto" w:fill="44546A"/>
          </w:tcPr>
          <w:p>
            <w:pPr>
              <w:jc w:val="center"/>
            </w:pPr>
            <w:r/>
            <w:r>
              <w:rPr>
                <w:b/>
                <w:color w:val="FFFFFF"/>
                <w:sz w:val="18"/>
              </w:rPr>
              <w:t>Macro F1 (SD)</w:t>
            </w:r>
          </w:p>
        </w:tc>
        <w:tc>
          <w:tcPr>
            <w:tcW w:type="dxa" w:w="1504"/>
            <w:shd w:val="clear" w:color="auto" w:fill="44546A"/>
          </w:tcPr>
          <w:p>
            <w:pPr>
              <w:jc w:val="center"/>
            </w:pPr>
            <w:r/>
            <w:r>
              <w:rPr>
                <w:b/>
                <w:color w:val="FFFFFF"/>
                <w:sz w:val="18"/>
              </w:rPr>
              <w:t>Bots P (SD)</w:t>
            </w:r>
          </w:p>
        </w:tc>
        <w:tc>
          <w:tcPr>
            <w:tcW w:type="dxa" w:w="1504"/>
            <w:shd w:val="clear" w:color="auto" w:fill="44546A"/>
          </w:tcPr>
          <w:p>
            <w:pPr>
              <w:jc w:val="center"/>
            </w:pPr>
            <w:r/>
            <w:r>
              <w:rPr>
                <w:b/>
                <w:color w:val="FFFFFF"/>
                <w:sz w:val="18"/>
              </w:rPr>
              <w:t>Bots R</w:t>
            </w:r>
          </w:p>
        </w:tc>
        <w:tc>
          <w:tcPr>
            <w:tcW w:type="dxa" w:w="1504"/>
            <w:shd w:val="clear" w:color="auto" w:fill="44546A"/>
          </w:tcPr>
          <w:p>
            <w:pPr>
              <w:jc w:val="center"/>
            </w:pPr>
            <w:r/>
            <w:r>
              <w:rPr>
                <w:b/>
                <w:color w:val="FFFFFF"/>
                <w:sz w:val="18"/>
              </w:rPr>
              <w:t>Benign→Bots FP</w:t>
            </w:r>
          </w:p>
        </w:tc>
      </w:tr>
      <w:tr>
        <w:tc>
          <w:tcPr>
            <w:tcW w:type="dxa" w:w="1504"/>
          </w:tcPr>
          <w:p>
            <w:r/>
            <w:r>
              <w:rPr>
                <w:b/>
                <w:sz w:val="18"/>
              </w:rPr>
              <w:t>XGBoost</w:t>
            </w:r>
          </w:p>
        </w:tc>
        <w:tc>
          <w:tcPr>
            <w:tcW w:type="dxa" w:w="1504"/>
          </w:tcPr>
          <w:p>
            <w:pPr>
              <w:jc w:val="center"/>
            </w:pPr>
            <w:r/>
            <w:r>
              <w:rPr>
                <w:b w:val="0"/>
                <w:sz w:val="18"/>
              </w:rPr>
              <w:t>Class weights</w:t>
            </w:r>
          </w:p>
        </w:tc>
        <w:tc>
          <w:tcPr>
            <w:tcW w:type="dxa" w:w="1504"/>
          </w:tcPr>
          <w:p>
            <w:pPr>
              <w:jc w:val="center"/>
            </w:pPr>
            <w:r/>
            <w:r>
              <w:rPr>
                <w:b w:val="0"/>
                <w:sz w:val="18"/>
              </w:rPr>
              <w:t>0.9692 (0.0019)</w:t>
            </w:r>
          </w:p>
        </w:tc>
        <w:tc>
          <w:tcPr>
            <w:tcW w:type="dxa" w:w="1504"/>
          </w:tcPr>
          <w:p>
            <w:pPr>
              <w:jc w:val="center"/>
            </w:pPr>
            <w:r/>
            <w:r>
              <w:rPr>
                <w:b w:val="0"/>
                <w:sz w:val="18"/>
              </w:rPr>
              <w:t>0.675 (0.013)</w:t>
            </w:r>
          </w:p>
        </w:tc>
        <w:tc>
          <w:tcPr>
            <w:tcW w:type="dxa" w:w="1504"/>
          </w:tcPr>
          <w:p>
            <w:pPr>
              <w:jc w:val="center"/>
            </w:pPr>
            <w:r/>
            <w:r>
              <w:rPr>
                <w:b w:val="0"/>
                <w:sz w:val="18"/>
              </w:rPr>
              <w:t>0.992</w:t>
            </w:r>
          </w:p>
        </w:tc>
        <w:tc>
          <w:tcPr>
            <w:tcW w:type="dxa" w:w="1504"/>
          </w:tcPr>
          <w:p>
            <w:pPr>
              <w:jc w:val="center"/>
            </w:pPr>
            <w:r/>
            <w:r>
              <w:rPr>
                <w:b w:val="0"/>
                <w:sz w:val="18"/>
              </w:rPr>
              <w:t>186</w:t>
            </w:r>
          </w:p>
        </w:tc>
      </w:tr>
      <w:tr>
        <w:tc>
          <w:tcPr>
            <w:tcW w:type="dxa" w:w="1504"/>
          </w:tcPr>
          <w:p>
            <w:r/>
            <w:r>
              <w:rPr>
                <w:b/>
                <w:sz w:val="18"/>
              </w:rPr>
              <w:t>XGBoost</w:t>
            </w:r>
          </w:p>
        </w:tc>
        <w:tc>
          <w:tcPr>
            <w:tcW w:type="dxa" w:w="1504"/>
          </w:tcPr>
          <w:p>
            <w:pPr>
              <w:jc w:val="center"/>
            </w:pPr>
            <w:r/>
            <w:r>
              <w:rPr>
                <w:b w:val="0"/>
                <w:sz w:val="18"/>
              </w:rPr>
              <w:t>SMOTE</w:t>
            </w:r>
          </w:p>
        </w:tc>
        <w:tc>
          <w:tcPr>
            <w:tcW w:type="dxa" w:w="1504"/>
          </w:tcPr>
          <w:p>
            <w:pPr>
              <w:jc w:val="center"/>
            </w:pPr>
            <w:r/>
            <w:r>
              <w:rPr>
                <w:b w:val="0"/>
                <w:sz w:val="18"/>
              </w:rPr>
              <w:t>0.9564 (0.0027)</w:t>
            </w:r>
          </w:p>
        </w:tc>
        <w:tc>
          <w:tcPr>
            <w:tcW w:type="dxa" w:w="1504"/>
          </w:tcPr>
          <w:p>
            <w:pPr>
              <w:jc w:val="center"/>
            </w:pPr>
            <w:r/>
            <w:r>
              <w:rPr>
                <w:b w:val="0"/>
                <w:sz w:val="18"/>
              </w:rPr>
              <w:t>0.579 (0.013)</w:t>
            </w:r>
          </w:p>
        </w:tc>
        <w:tc>
          <w:tcPr>
            <w:tcW w:type="dxa" w:w="1504"/>
          </w:tcPr>
          <w:p>
            <w:pPr>
              <w:jc w:val="center"/>
            </w:pPr>
            <w:r/>
            <w:r>
              <w:rPr>
                <w:b w:val="0"/>
                <w:sz w:val="18"/>
              </w:rPr>
              <w:t>0.993</w:t>
            </w:r>
          </w:p>
        </w:tc>
        <w:tc>
          <w:tcPr>
            <w:tcW w:type="dxa" w:w="1504"/>
          </w:tcPr>
          <w:p>
            <w:pPr>
              <w:jc w:val="center"/>
            </w:pPr>
            <w:r/>
            <w:r>
              <w:rPr>
                <w:b w:val="0"/>
                <w:sz w:val="18"/>
              </w:rPr>
              <w:t>281</w:t>
            </w:r>
          </w:p>
        </w:tc>
      </w:tr>
      <w:tr>
        <w:tc>
          <w:tcPr>
            <w:tcW w:type="dxa" w:w="1504"/>
          </w:tcPr>
          <w:p>
            <w:r/>
            <w:r>
              <w:rPr>
                <w:b/>
                <w:sz w:val="18"/>
              </w:rPr>
              <w:t>Random Forest</w:t>
            </w:r>
          </w:p>
        </w:tc>
        <w:tc>
          <w:tcPr>
            <w:tcW w:type="dxa" w:w="1504"/>
          </w:tcPr>
          <w:p>
            <w:pPr>
              <w:jc w:val="center"/>
            </w:pPr>
            <w:r/>
            <w:r>
              <w:rPr>
                <w:b w:val="0"/>
                <w:sz w:val="18"/>
              </w:rPr>
              <w:t>SMOTE</w:t>
            </w:r>
          </w:p>
        </w:tc>
        <w:tc>
          <w:tcPr>
            <w:tcW w:type="dxa" w:w="1504"/>
          </w:tcPr>
          <w:p>
            <w:pPr>
              <w:jc w:val="center"/>
            </w:pPr>
            <w:r/>
            <w:r>
              <w:rPr>
                <w:b w:val="0"/>
                <w:sz w:val="18"/>
              </w:rPr>
              <w:t>0.9129 (0.0009)</w:t>
            </w:r>
          </w:p>
        </w:tc>
        <w:tc>
          <w:tcPr>
            <w:tcW w:type="dxa" w:w="1504"/>
          </w:tcPr>
          <w:p>
            <w:pPr>
              <w:jc w:val="center"/>
            </w:pPr>
            <w:r/>
            <w:r>
              <w:rPr>
                <w:b w:val="0"/>
                <w:sz w:val="18"/>
              </w:rPr>
              <w:t>0.296 (0.006)</w:t>
            </w:r>
          </w:p>
        </w:tc>
        <w:tc>
          <w:tcPr>
            <w:tcW w:type="dxa" w:w="1504"/>
          </w:tcPr>
          <w:p>
            <w:pPr>
              <w:jc w:val="center"/>
            </w:pPr>
            <w:r/>
            <w:r>
              <w:rPr>
                <w:b w:val="0"/>
                <w:sz w:val="18"/>
              </w:rPr>
              <w:t>0.987</w:t>
            </w:r>
          </w:p>
        </w:tc>
        <w:tc>
          <w:tcPr>
            <w:tcW w:type="dxa" w:w="1504"/>
          </w:tcPr>
          <w:p>
            <w:pPr>
              <w:jc w:val="center"/>
            </w:pPr>
            <w:r/>
            <w:r>
              <w:rPr>
                <w:b w:val="0"/>
                <w:sz w:val="18"/>
              </w:rPr>
              <w:t>914</w:t>
            </w:r>
          </w:p>
        </w:tc>
      </w:tr>
      <w:tr>
        <w:tc>
          <w:tcPr>
            <w:tcW w:type="dxa" w:w="1504"/>
          </w:tcPr>
          <w:p>
            <w:r/>
            <w:r>
              <w:rPr>
                <w:b/>
                <w:sz w:val="18"/>
              </w:rPr>
              <w:t>Random Forest</w:t>
            </w:r>
          </w:p>
        </w:tc>
        <w:tc>
          <w:tcPr>
            <w:tcW w:type="dxa" w:w="1504"/>
          </w:tcPr>
          <w:p>
            <w:pPr>
              <w:jc w:val="center"/>
            </w:pPr>
            <w:r/>
            <w:r>
              <w:rPr>
                <w:b w:val="0"/>
                <w:sz w:val="18"/>
              </w:rPr>
              <w:t>Class weights</w:t>
            </w:r>
          </w:p>
        </w:tc>
        <w:tc>
          <w:tcPr>
            <w:tcW w:type="dxa" w:w="1504"/>
          </w:tcPr>
          <w:p>
            <w:pPr>
              <w:jc w:val="center"/>
            </w:pPr>
            <w:r/>
            <w:r>
              <w:rPr>
                <w:b w:val="0"/>
                <w:sz w:val="18"/>
              </w:rPr>
              <w:t>0.8980 (0.0025)</w:t>
            </w:r>
          </w:p>
        </w:tc>
        <w:tc>
          <w:tcPr>
            <w:tcW w:type="dxa" w:w="1504"/>
          </w:tcPr>
          <w:p>
            <w:pPr>
              <w:jc w:val="center"/>
            </w:pPr>
            <w:r/>
            <w:r>
              <w:rPr>
                <w:b w:val="0"/>
                <w:sz w:val="18"/>
              </w:rPr>
              <w:t>0.189 (0.009)</w:t>
            </w:r>
          </w:p>
        </w:tc>
        <w:tc>
          <w:tcPr>
            <w:tcW w:type="dxa" w:w="1504"/>
          </w:tcPr>
          <w:p>
            <w:pPr>
              <w:jc w:val="center"/>
            </w:pPr>
            <w:r/>
            <w:r>
              <w:rPr>
                <w:b w:val="0"/>
                <w:sz w:val="18"/>
              </w:rPr>
              <w:t>0.987</w:t>
            </w:r>
          </w:p>
        </w:tc>
        <w:tc>
          <w:tcPr>
            <w:tcW w:type="dxa" w:w="1504"/>
          </w:tcPr>
          <w:p>
            <w:pPr>
              <w:jc w:val="center"/>
            </w:pPr>
            <w:r/>
            <w:r>
              <w:rPr>
                <w:b w:val="0"/>
                <w:sz w:val="18"/>
              </w:rPr>
              <w:t>173</w:t>
            </w:r>
          </w:p>
        </w:tc>
      </w:tr>
    </w:tbl>
    <w:p/>
    <w:p>
      <w:pPr>
        <w:jc w:val="both"/>
      </w:pPr>
      <w:r>
        <w:t>E4 then addressed the remaining weak point directly: with Bots precision at 0.675 under default argmax prediction, a validation-tuned decision threshold (predict Bots only if its probability exceeds t, else fall back to argmax over the remaining classes) was swept on a validation split and applied once, unmodified, to a held-out test set. At t=0.99, Bots precision improved to 0.742 (a 10.4% relative gain, cutting false Bots alerts by 33%) at a recall cost (0.992 to 0.939), and macro F1 rose to 0.9721 — the final headline figure for the deployed model. No threshold in the sweep reached 0.90 precision, and the optimum sat at the edge of the range tested, pointing to a data-scarcity ceiling rather than a tuning failure (Section: The data-scarcity ceiling, Critical Evaluation).</w:t>
      </w:r>
    </w:p>
    <w:p>
      <w:pPr>
        <w:pStyle w:val="Caption"/>
        <w:jc w:val="center"/>
      </w:pPr>
      <w:r>
        <w:t xml:space="preserve">Table </w:t>
      </w:r>
      <w:r>
        <w:fldChar w:fldCharType="begin"/>
      </w:r>
      <w:r>
        <w:instrText xml:space="preserve"> SEQ Table \* ARABIC </w:instrText>
      </w:r>
      <w:r>
        <w:fldChar w:fldCharType="separate"/>
      </w:r>
      <w:r>
        <w:t>1</w:t>
      </w:r>
      <w:r>
        <w:fldChar w:fldCharType="end"/>
      </w:r>
      <w:r>
        <w:t>. E4 — decision-threshold tuning for the Bots class, test-set results.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44546A"/>
          </w:tcPr>
          <w:p>
            <w:pPr>
              <w:jc w:val="center"/>
            </w:pPr>
            <w:r/>
            <w:r>
              <w:rPr>
                <w:b/>
                <w:color w:val="FFFFFF"/>
                <w:sz w:val="18"/>
              </w:rPr>
              <w:t>Configuration</w:t>
            </w:r>
          </w:p>
        </w:tc>
        <w:tc>
          <w:tcPr>
            <w:tcW w:type="dxa" w:w="1504"/>
            <w:shd w:val="clear" w:color="auto" w:fill="44546A"/>
          </w:tcPr>
          <w:p>
            <w:pPr>
              <w:jc w:val="center"/>
            </w:pPr>
            <w:r/>
            <w:r>
              <w:rPr>
                <w:b/>
                <w:color w:val="FFFFFF"/>
                <w:sz w:val="18"/>
              </w:rPr>
              <w:t>Bots P</w:t>
            </w:r>
          </w:p>
        </w:tc>
        <w:tc>
          <w:tcPr>
            <w:tcW w:type="dxa" w:w="1504"/>
            <w:shd w:val="clear" w:color="auto" w:fill="44546A"/>
          </w:tcPr>
          <w:p>
            <w:pPr>
              <w:jc w:val="center"/>
            </w:pPr>
            <w:r/>
            <w:r>
              <w:rPr>
                <w:b/>
                <w:color w:val="FFFFFF"/>
                <w:sz w:val="18"/>
              </w:rPr>
              <w:t>Bots R</w:t>
            </w:r>
          </w:p>
        </w:tc>
        <w:tc>
          <w:tcPr>
            <w:tcW w:type="dxa" w:w="1504"/>
            <w:shd w:val="clear" w:color="auto" w:fill="44546A"/>
          </w:tcPr>
          <w:p>
            <w:pPr>
              <w:jc w:val="center"/>
            </w:pPr>
            <w:r/>
            <w:r>
              <w:rPr>
                <w:b/>
                <w:color w:val="FFFFFF"/>
                <w:sz w:val="18"/>
              </w:rPr>
              <w:t>Bots F1</w:t>
            </w:r>
          </w:p>
        </w:tc>
        <w:tc>
          <w:tcPr>
            <w:tcW w:type="dxa" w:w="1504"/>
            <w:shd w:val="clear" w:color="auto" w:fill="44546A"/>
          </w:tcPr>
          <w:p>
            <w:pPr>
              <w:jc w:val="center"/>
            </w:pPr>
            <w:r/>
            <w:r>
              <w:rPr>
                <w:b/>
                <w:color w:val="FFFFFF"/>
                <w:sz w:val="18"/>
              </w:rPr>
              <w:t>Macro F1</w:t>
            </w:r>
          </w:p>
        </w:tc>
        <w:tc>
          <w:tcPr>
            <w:tcW w:type="dxa" w:w="1504"/>
            <w:shd w:val="clear" w:color="auto" w:fill="44546A"/>
          </w:tcPr>
          <w:p>
            <w:pPr>
              <w:jc w:val="center"/>
            </w:pPr>
            <w:r/>
            <w:r>
              <w:rPr>
                <w:b/>
                <w:color w:val="FFFFFF"/>
                <w:sz w:val="18"/>
              </w:rPr>
              <w:t>Bots FP</w:t>
            </w:r>
          </w:p>
        </w:tc>
      </w:tr>
      <w:tr>
        <w:tc>
          <w:tcPr>
            <w:tcW w:type="dxa" w:w="1504"/>
          </w:tcPr>
          <w:p>
            <w:r/>
            <w:r>
              <w:rPr>
                <w:b/>
                <w:sz w:val="18"/>
              </w:rPr>
              <w:t>argmax (baseline)</w:t>
            </w:r>
          </w:p>
        </w:tc>
        <w:tc>
          <w:tcPr>
            <w:tcW w:type="dxa" w:w="1504"/>
          </w:tcPr>
          <w:p>
            <w:pPr>
              <w:jc w:val="center"/>
            </w:pPr>
            <w:r/>
            <w:r>
              <w:rPr>
                <w:b w:val="0"/>
                <w:sz w:val="18"/>
              </w:rPr>
              <w:t>0.672</w:t>
            </w:r>
          </w:p>
        </w:tc>
        <w:tc>
          <w:tcPr>
            <w:tcW w:type="dxa" w:w="1504"/>
          </w:tcPr>
          <w:p>
            <w:pPr>
              <w:jc w:val="center"/>
            </w:pPr>
            <w:r/>
            <w:r>
              <w:rPr>
                <w:b w:val="0"/>
                <w:sz w:val="18"/>
              </w:rPr>
              <w:t>0.992</w:t>
            </w:r>
          </w:p>
        </w:tc>
        <w:tc>
          <w:tcPr>
            <w:tcW w:type="dxa" w:w="1504"/>
          </w:tcPr>
          <w:p>
            <w:pPr>
              <w:jc w:val="center"/>
            </w:pPr>
            <w:r/>
            <w:r>
              <w:rPr>
                <w:b w:val="0"/>
                <w:sz w:val="18"/>
              </w:rPr>
              <w:t>0.801</w:t>
            </w:r>
          </w:p>
        </w:tc>
        <w:tc>
          <w:tcPr>
            <w:tcW w:type="dxa" w:w="1504"/>
          </w:tcPr>
          <w:p>
            <w:pPr>
              <w:jc w:val="center"/>
            </w:pPr>
            <w:r/>
            <w:r>
              <w:rPr>
                <w:b w:val="0"/>
                <w:sz w:val="18"/>
              </w:rPr>
              <w:t>0.9682</w:t>
            </w:r>
          </w:p>
        </w:tc>
        <w:tc>
          <w:tcPr>
            <w:tcW w:type="dxa" w:w="1504"/>
          </w:tcPr>
          <w:p>
            <w:pPr>
              <w:jc w:val="center"/>
            </w:pPr>
            <w:r/>
            <w:r>
              <w:rPr>
                <w:b w:val="0"/>
                <w:sz w:val="18"/>
              </w:rPr>
              <w:t>189</w:t>
            </w:r>
          </w:p>
        </w:tc>
      </w:tr>
      <w:tr>
        <w:tc>
          <w:tcPr>
            <w:tcW w:type="dxa" w:w="1504"/>
          </w:tcPr>
          <w:p>
            <w:r/>
            <w:r>
              <w:rPr>
                <w:b/>
                <w:sz w:val="18"/>
              </w:rPr>
              <w:t>threshold t=0.99 (deployed)</w:t>
            </w:r>
          </w:p>
        </w:tc>
        <w:tc>
          <w:tcPr>
            <w:tcW w:type="dxa" w:w="1504"/>
          </w:tcPr>
          <w:p>
            <w:pPr>
              <w:jc w:val="center"/>
            </w:pPr>
            <w:r/>
            <w:r>
              <w:rPr>
                <w:b w:val="0"/>
                <w:sz w:val="18"/>
              </w:rPr>
              <w:t>0.742</w:t>
            </w:r>
          </w:p>
        </w:tc>
        <w:tc>
          <w:tcPr>
            <w:tcW w:type="dxa" w:w="1504"/>
          </w:tcPr>
          <w:p>
            <w:pPr>
              <w:jc w:val="center"/>
            </w:pPr>
            <w:r/>
            <w:r>
              <w:rPr>
                <w:b w:val="0"/>
                <w:sz w:val="18"/>
              </w:rPr>
              <w:t>0.939</w:t>
            </w:r>
          </w:p>
        </w:tc>
        <w:tc>
          <w:tcPr>
            <w:tcW w:type="dxa" w:w="1504"/>
          </w:tcPr>
          <w:p>
            <w:pPr>
              <w:jc w:val="center"/>
            </w:pPr>
            <w:r/>
            <w:r>
              <w:rPr>
                <w:b w:val="0"/>
                <w:sz w:val="18"/>
              </w:rPr>
              <w:t>0.829</w:t>
            </w:r>
          </w:p>
        </w:tc>
        <w:tc>
          <w:tcPr>
            <w:tcW w:type="dxa" w:w="1504"/>
          </w:tcPr>
          <w:p>
            <w:pPr>
              <w:jc w:val="center"/>
            </w:pPr>
            <w:r/>
            <w:r>
              <w:rPr>
                <w:b w:val="0"/>
                <w:sz w:val="18"/>
              </w:rPr>
              <w:t>0.9721</w:t>
            </w:r>
          </w:p>
        </w:tc>
        <w:tc>
          <w:tcPr>
            <w:tcW w:type="dxa" w:w="1504"/>
          </w:tcPr>
          <w:p>
            <w:pPr>
              <w:jc w:val="center"/>
            </w:pPr>
            <w:r/>
            <w:r>
              <w:rPr>
                <w:b w:val="0"/>
                <w:sz w:val="18"/>
              </w:rPr>
              <w:t>127</w:t>
            </w:r>
          </w:p>
        </w:tc>
      </w:tr>
    </w:tbl>
    <w:p/>
    <w:p>
      <w:pPr>
        <w:pStyle w:val="Heading2"/>
      </w:pPr>
      <w:r>
        <w:rPr>
          <w:rFonts w:ascii="Arial" w:hAnsi="Arial"/>
          <w:sz w:val="28"/>
        </w:rPr>
        <w:t xml:space="preserve">Cloud deployment</w:t>
      </w:r>
    </w:p>
    <w:p>
      <w:pPr>
        <w:jc w:val="both"/>
      </w:pPr>
      <w:r>
        <w:t>The selected model was converted to ONNX and verified against the source XGBoost model on 5,000 held-out samples before any deployment step used it: maximum probability difference 2.384e-07, label agreement 1.000000. This is a build-time gate, not just a reported figure — the export script refuses to write the artefact at all if verification fails. The converted package (onnxruntime, roughly 15MB) replaces xgboost and scikit-learn (roughly 300MB), bringing the Lambda package under the 250MB unzipped limit without needing a container image. Because onnxruntime ships compiled binaries, dependencies were installed inside an arm64 Linux container matching the Lambda runtime rather than natively on the macOS development machine; stripping test suites, headers, and bytecode caches reduced the working build from 119MB to a 29MB deployment archive.</w:t>
      </w:r>
    </w:p>
    <w:p>
      <w:pPr>
        <w:jc w:val="both"/>
      </w:pPr>
      <w:r>
        <w:t>The network layer uses a VPC (10.0.0.0/16) with two private subnets across separate availability zones — Lambda requires multiple AZs for availability — and a route table with no internet gateway and no NAT gateway. An S3 gateway endpoint on that route table is the function's only path to AWS services; the security group's default allow-all egress was explicitly revoked and replaced with HTTPS-only access to the S3 managed prefix list, recorded as an Information Disclosure mitigation against the unrestricted outbound access AWS provisions by default. Identity is a single execution role trusted only by the Lambda service, carrying one inline statement granting s3:GetObject on a single model prefix and nothing else — no PutObject (so a compromised function cannot overwrite the model, the primary defence against data poisoning), no ListBucket, no wildcarded actions or resources. The role also carries two AWS managed policies for baseline logging and ENI management, whose actions are granted on Resource: * — a known over-permission, not yet remediated (Section: Security controls, Critical Evaluation).</w:t>
      </w:r>
    </w:p>
    <w:p>
      <w:pPr>
        <w:jc w:val="both"/>
      </w:pPr>
      <w:r>
        <w:t>The endpoint itself is a Lambda Function URL with AWS_IAM authentication and a resource policy naming a single principal: an unsigned request returns HTTP 403, a SigV4-signed request returns HTTP 200 with a prediction. Measured behaviour showed VPC attachment cost nothing detectable: cold start moved from 681ms (public) to 649ms (private subnet), invocation duration from 618ms to 626ms, memory used unchanged at 187MB of the 1024MB allocated. This runs against widely cited guidance describing an 8–10 second VPC cold-start penalty from per-invocation ENI provisioning; that behaviour predates AWS's 2019 re-architecture to pre-provision shared, function-level network interfaces, and much published advice has not caught up with it. Functional verification — 35 held-out flows sent to the deployed endpoint, 35/35 correctly classified — was repeated after VPC attachment with the same result, confirming the deployed artefact matches the validated model rather than measuring model performance itself (that remains the E4 test-set figures).</w:t>
      </w:r>
    </w:p>
    <w:p>
      <w:pPr>
        <w:pStyle w:val="Caption"/>
        <w:jc w:val="center"/>
      </w:pPr>
      <w:r>
        <w:t xml:space="preserve">Table </w:t>
      </w:r>
      <w:r>
        <w:fldChar w:fldCharType="begin"/>
      </w:r>
      <w:r>
        <w:instrText xml:space="preserve"> SEQ Table \* ARABIC </w:instrText>
      </w:r>
      <w:r>
        <w:fldChar w:fldCharType="separate"/>
      </w:r>
      <w:r>
        <w:t>1</w:t>
      </w:r>
      <w:r>
        <w:fldChar w:fldCharType="end"/>
      </w:r>
      <w:r>
        <w:t>. Cold-start latency before and after VPC attachment.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44546A"/>
          </w:tcPr>
          <w:p>
            <w:pPr>
              <w:jc w:val="center"/>
            </w:pPr>
            <w:r/>
            <w:r>
              <w:rPr>
                <w:b/>
                <w:color w:val="FFFFFF"/>
                <w:sz w:val="18"/>
              </w:rPr>
              <w:t>Configuration</w:t>
            </w:r>
          </w:p>
        </w:tc>
        <w:tc>
          <w:tcPr>
            <w:tcW w:type="dxa" w:w="2256"/>
            <w:shd w:val="clear" w:color="auto" w:fill="44546A"/>
          </w:tcPr>
          <w:p>
            <w:pPr>
              <w:jc w:val="center"/>
            </w:pPr>
            <w:r/>
            <w:r>
              <w:rPr>
                <w:b/>
                <w:color w:val="FFFFFF"/>
                <w:sz w:val="18"/>
              </w:rPr>
              <w:t>Init duration</w:t>
            </w:r>
          </w:p>
        </w:tc>
        <w:tc>
          <w:tcPr>
            <w:tcW w:type="dxa" w:w="2256"/>
            <w:shd w:val="clear" w:color="auto" w:fill="44546A"/>
          </w:tcPr>
          <w:p>
            <w:pPr>
              <w:jc w:val="center"/>
            </w:pPr>
            <w:r/>
            <w:r>
              <w:rPr>
                <w:b/>
                <w:color w:val="FFFFFF"/>
                <w:sz w:val="18"/>
              </w:rPr>
              <w:t>Invocation duration</w:t>
            </w:r>
          </w:p>
        </w:tc>
        <w:tc>
          <w:tcPr>
            <w:tcW w:type="dxa" w:w="2256"/>
            <w:shd w:val="clear" w:color="auto" w:fill="44546A"/>
          </w:tcPr>
          <w:p>
            <w:pPr>
              <w:jc w:val="center"/>
            </w:pPr>
            <w:r/>
            <w:r>
              <w:rPr>
                <w:b/>
                <w:color w:val="FFFFFF"/>
                <w:sz w:val="18"/>
              </w:rPr>
              <w:t>Memory used</w:t>
            </w:r>
          </w:p>
        </w:tc>
      </w:tr>
      <w:tr>
        <w:tc>
          <w:tcPr>
            <w:tcW w:type="dxa" w:w="2256"/>
          </w:tcPr>
          <w:p>
            <w:r/>
            <w:r>
              <w:rPr>
                <w:b/>
                <w:sz w:val="18"/>
              </w:rPr>
              <w:t>Public (no VPC)</w:t>
            </w:r>
          </w:p>
        </w:tc>
        <w:tc>
          <w:tcPr>
            <w:tcW w:type="dxa" w:w="2256"/>
          </w:tcPr>
          <w:p>
            <w:pPr>
              <w:jc w:val="center"/>
            </w:pPr>
            <w:r/>
            <w:r>
              <w:rPr>
                <w:b w:val="0"/>
                <w:sz w:val="18"/>
              </w:rPr>
              <w:t>681 ms</w:t>
            </w:r>
          </w:p>
        </w:tc>
        <w:tc>
          <w:tcPr>
            <w:tcW w:type="dxa" w:w="2256"/>
          </w:tcPr>
          <w:p>
            <w:pPr>
              <w:jc w:val="center"/>
            </w:pPr>
            <w:r/>
            <w:r>
              <w:rPr>
                <w:b w:val="0"/>
                <w:sz w:val="18"/>
              </w:rPr>
              <w:t>618 ms</w:t>
            </w:r>
          </w:p>
        </w:tc>
        <w:tc>
          <w:tcPr>
            <w:tcW w:type="dxa" w:w="2256"/>
          </w:tcPr>
          <w:p>
            <w:pPr>
              <w:jc w:val="center"/>
            </w:pPr>
            <w:r/>
            <w:r>
              <w:rPr>
                <w:b w:val="0"/>
                <w:sz w:val="18"/>
              </w:rPr>
              <w:t>187 MB / 1024 MB</w:t>
            </w:r>
          </w:p>
        </w:tc>
      </w:tr>
      <w:tr>
        <w:tc>
          <w:tcPr>
            <w:tcW w:type="dxa" w:w="2256"/>
          </w:tcPr>
          <w:p>
            <w:r/>
            <w:r>
              <w:rPr>
                <w:b/>
                <w:sz w:val="18"/>
              </w:rPr>
              <w:t>Private subnet (deployed)</w:t>
            </w:r>
          </w:p>
        </w:tc>
        <w:tc>
          <w:tcPr>
            <w:tcW w:type="dxa" w:w="2256"/>
          </w:tcPr>
          <w:p>
            <w:pPr>
              <w:jc w:val="center"/>
            </w:pPr>
            <w:r/>
            <w:r>
              <w:rPr>
                <w:b w:val="0"/>
                <w:sz w:val="18"/>
              </w:rPr>
              <w:t>649 ms</w:t>
            </w:r>
          </w:p>
        </w:tc>
        <w:tc>
          <w:tcPr>
            <w:tcW w:type="dxa" w:w="2256"/>
          </w:tcPr>
          <w:p>
            <w:pPr>
              <w:jc w:val="center"/>
            </w:pPr>
            <w:r/>
            <w:r>
              <w:rPr>
                <w:b w:val="0"/>
                <w:sz w:val="18"/>
              </w:rPr>
              <w:t>626 ms</w:t>
            </w:r>
          </w:p>
        </w:tc>
        <w:tc>
          <w:tcPr>
            <w:tcW w:type="dxa" w:w="2256"/>
          </w:tcPr>
          <w:p>
            <w:pPr>
              <w:jc w:val="center"/>
            </w:pPr>
            <w:r/>
            <w:r>
              <w:rPr>
                <w:b w:val="0"/>
                <w:sz w:val="18"/>
              </w:rPr>
              <w:t>187 MB / 1024 MB</w:t>
            </w:r>
          </w:p>
        </w:tc>
      </w:tr>
    </w:tbl>
    <w:p/>
    <w:p>
      <w:pPr>
        <w:pStyle w:val="Heading2"/>
      </w:pPr>
      <w:r>
        <w:rPr>
          <w:rFonts w:ascii="Arial" w:hAnsi="Arial"/>
          <w:sz w:val="28"/>
        </w:rPr>
        <w:t xml:space="preserve">Analyst interface</w:t>
      </w:r>
    </w:p>
    <w:p>
      <w:pPr>
        <w:jc w:val="both"/>
      </w:pPr>
      <w:r>
        <w:t>A local Streamlit application (dashboard/app.py) provides the operator-facing interface to the deployed endpoint. It invokes the Lambda function through boto3 with SigV4 request signing and separately reads live operational telemetry from CloudWatch. Hosting is local by design rather than by omission: a browser-based client hosted on S3 could not call an IAM-authenticated endpoint without either embedding credentials in client-side code, an outright security flaw, or introducing a Cognito identity layer, additional cost and complexity for a single-analyst academic deployment. An analyst workstation invoking a cloud inference API directly is also a realistic security-operations pattern in its own right, not merely a workaround.</w:t>
      </w:r>
    </w:p>
    <w:p>
      <w:pPr>
        <w:jc w:val="both"/>
      </w:pPr>
      <w:r>
        <w:t>The console supports reviewing detections against sampled held-out flows or an uploaded CSV of features, reporting accuracy against ground truth where labels are available, showing class distribution and sortable detections with a panel isolating misclassifications, exporting results to CSV, displaying CloudWatch-sourced operational telemetry (invocation count, errors, error rate, mean duration, throttles), and a model-provenance panel that surfaces the deployed artefact's own ONNX conversion verification figures so an operator can see the artefact's validation history, not just its predictions. In a live run, 200 attack flows sampled from held-out data were scored through the deployed, VPC-isolated endpoint: 199 of 200 correct (99.5% overall recall). The single miss was a Bots flow classified as Normal Traffic, consistent with E4's measured 0.939 Bots recall at the deployed threshold — the live failure reproduced a quantified, accepted trade-off rather than revealing an unknown one. Correct predictions averaged 0.9999 confidence; the one error returned 0.227, meaning the model was not confidently wrong, which directly supports routing low-confidence predictions to manual review (Section: Recommendations, Conclusion).</w:t>
      </w:r>
    </w:p>
    <w:p>
      <w:pPr>
        <w:pStyle w:val="Caption"/>
        <w:jc w:val="center"/>
      </w:pPr>
      <w:r>
        <w:t xml:space="preserve">Table </w:t>
      </w:r>
      <w:r>
        <w:fldChar w:fldCharType="begin"/>
      </w:r>
      <w:r>
        <w:instrText xml:space="preserve"> SEQ Table \* ARABIC </w:instrText>
      </w:r>
      <w:r>
        <w:fldChar w:fldCharType="separate"/>
      </w:r>
      <w:r>
        <w:t>1</w:t>
      </w:r>
      <w:r>
        <w:fldChar w:fldCharType="end"/>
      </w:r>
      <w:r>
        <w:t>. Live detection run against the deployed endpoint (200 held-out attack flows).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44546A"/>
          </w:tcPr>
          <w:p>
            <w:pPr>
              <w:jc w:val="center"/>
            </w:pPr>
            <w:r/>
            <w:r>
              <w:rPr>
                <w:b/>
                <w:color w:val="FFFFFF"/>
                <w:sz w:val="18"/>
              </w:rPr>
              <w:t>Class</w:t>
            </w:r>
          </w:p>
        </w:tc>
        <w:tc>
          <w:tcPr>
            <w:tcW w:type="dxa" w:w="2256"/>
            <w:shd w:val="clear" w:color="auto" w:fill="44546A"/>
          </w:tcPr>
          <w:p>
            <w:pPr>
              <w:jc w:val="center"/>
            </w:pPr>
            <w:r/>
            <w:r>
              <w:rPr>
                <w:b/>
                <w:color w:val="FFFFFF"/>
                <w:sz w:val="18"/>
              </w:rPr>
              <w:t>Flows</w:t>
            </w:r>
          </w:p>
        </w:tc>
        <w:tc>
          <w:tcPr>
            <w:tcW w:type="dxa" w:w="2256"/>
            <w:shd w:val="clear" w:color="auto" w:fill="44546A"/>
          </w:tcPr>
          <w:p>
            <w:pPr>
              <w:jc w:val="center"/>
            </w:pPr>
            <w:r/>
            <w:r>
              <w:rPr>
                <w:b/>
                <w:color w:val="FFFFFF"/>
                <w:sz w:val="18"/>
              </w:rPr>
              <w:t>Correct</w:t>
            </w:r>
          </w:p>
        </w:tc>
        <w:tc>
          <w:tcPr>
            <w:tcW w:type="dxa" w:w="2256"/>
            <w:shd w:val="clear" w:color="auto" w:fill="44546A"/>
          </w:tcPr>
          <w:p>
            <w:pPr>
              <w:jc w:val="center"/>
            </w:pPr>
            <w:r/>
            <w:r>
              <w:rPr>
                <w:b/>
                <w:color w:val="FFFFFF"/>
                <w:sz w:val="18"/>
              </w:rPr>
              <w:t>Recall</w:t>
            </w:r>
          </w:p>
        </w:tc>
      </w:tr>
      <w:tr>
        <w:tc>
          <w:tcPr>
            <w:tcW w:type="dxa" w:w="2256"/>
          </w:tcPr>
          <w:p>
            <w:r/>
            <w:r>
              <w:rPr>
                <w:b/>
                <w:sz w:val="18"/>
              </w:rPr>
              <w:t>Bots</w:t>
            </w:r>
          </w:p>
        </w:tc>
        <w:tc>
          <w:tcPr>
            <w:tcW w:type="dxa" w:w="2256"/>
          </w:tcPr>
          <w:p>
            <w:pPr>
              <w:jc w:val="center"/>
            </w:pPr>
            <w:r/>
            <w:r>
              <w:rPr>
                <w:b w:val="0"/>
                <w:sz w:val="18"/>
              </w:rPr>
              <w:t>30</w:t>
            </w:r>
          </w:p>
        </w:tc>
        <w:tc>
          <w:tcPr>
            <w:tcW w:type="dxa" w:w="2256"/>
          </w:tcPr>
          <w:p>
            <w:pPr>
              <w:jc w:val="center"/>
            </w:pPr>
            <w:r/>
            <w:r>
              <w:rPr>
                <w:b w:val="0"/>
                <w:sz w:val="18"/>
              </w:rPr>
              <w:t>29</w:t>
            </w:r>
          </w:p>
        </w:tc>
        <w:tc>
          <w:tcPr>
            <w:tcW w:type="dxa" w:w="2256"/>
          </w:tcPr>
          <w:p>
            <w:pPr>
              <w:jc w:val="center"/>
            </w:pPr>
            <w:r/>
            <w:r>
              <w:rPr>
                <w:b w:val="0"/>
                <w:sz w:val="18"/>
              </w:rPr>
              <w:t>0.967</w:t>
            </w:r>
          </w:p>
        </w:tc>
      </w:tr>
      <w:tr>
        <w:tc>
          <w:tcPr>
            <w:tcW w:type="dxa" w:w="2256"/>
          </w:tcPr>
          <w:p>
            <w:r/>
            <w:r>
              <w:rPr>
                <w:b/>
                <w:sz w:val="18"/>
              </w:rPr>
              <w:t>Brute Force</w:t>
            </w:r>
          </w:p>
        </w:tc>
        <w:tc>
          <w:tcPr>
            <w:tcW w:type="dxa" w:w="2256"/>
          </w:tcPr>
          <w:p>
            <w:pPr>
              <w:jc w:val="center"/>
            </w:pPr>
            <w:r/>
            <w:r>
              <w:rPr>
                <w:b w:val="0"/>
                <w:sz w:val="18"/>
              </w:rPr>
              <w:t>38</w:t>
            </w:r>
          </w:p>
        </w:tc>
        <w:tc>
          <w:tcPr>
            <w:tcW w:type="dxa" w:w="2256"/>
          </w:tcPr>
          <w:p>
            <w:pPr>
              <w:jc w:val="center"/>
            </w:pPr>
            <w:r/>
            <w:r>
              <w:rPr>
                <w:b w:val="0"/>
                <w:sz w:val="18"/>
              </w:rPr>
              <w:t>38</w:t>
            </w:r>
          </w:p>
        </w:tc>
        <w:tc>
          <w:tcPr>
            <w:tcW w:type="dxa" w:w="2256"/>
          </w:tcPr>
          <w:p>
            <w:pPr>
              <w:jc w:val="center"/>
            </w:pPr>
            <w:r/>
            <w:r>
              <w:rPr>
                <w:b w:val="0"/>
                <w:sz w:val="18"/>
              </w:rPr>
              <w:t>1.000</w:t>
            </w:r>
          </w:p>
        </w:tc>
      </w:tr>
      <w:tr>
        <w:tc>
          <w:tcPr>
            <w:tcW w:type="dxa" w:w="2256"/>
          </w:tcPr>
          <w:p>
            <w:r/>
            <w:r>
              <w:rPr>
                <w:b/>
                <w:sz w:val="18"/>
              </w:rPr>
              <w:t>DDoS</w:t>
            </w:r>
          </w:p>
        </w:tc>
        <w:tc>
          <w:tcPr>
            <w:tcW w:type="dxa" w:w="2256"/>
          </w:tcPr>
          <w:p>
            <w:pPr>
              <w:jc w:val="center"/>
            </w:pPr>
            <w:r/>
            <w:r>
              <w:rPr>
                <w:b w:val="0"/>
                <w:sz w:val="18"/>
              </w:rPr>
              <w:t>28</w:t>
            </w:r>
          </w:p>
        </w:tc>
        <w:tc>
          <w:tcPr>
            <w:tcW w:type="dxa" w:w="2256"/>
          </w:tcPr>
          <w:p>
            <w:pPr>
              <w:jc w:val="center"/>
            </w:pPr>
            <w:r/>
            <w:r>
              <w:rPr>
                <w:b w:val="0"/>
                <w:sz w:val="18"/>
              </w:rPr>
              <w:t>28</w:t>
            </w:r>
          </w:p>
        </w:tc>
        <w:tc>
          <w:tcPr>
            <w:tcW w:type="dxa" w:w="2256"/>
          </w:tcPr>
          <w:p>
            <w:pPr>
              <w:jc w:val="center"/>
            </w:pPr>
            <w:r/>
            <w:r>
              <w:rPr>
                <w:b w:val="0"/>
                <w:sz w:val="18"/>
              </w:rPr>
              <w:t>1.000</w:t>
            </w:r>
          </w:p>
        </w:tc>
      </w:tr>
      <w:tr>
        <w:tc>
          <w:tcPr>
            <w:tcW w:type="dxa" w:w="2256"/>
          </w:tcPr>
          <w:p>
            <w:r/>
            <w:r>
              <w:rPr>
                <w:b/>
                <w:sz w:val="18"/>
              </w:rPr>
              <w:t>DoS</w:t>
            </w:r>
          </w:p>
        </w:tc>
        <w:tc>
          <w:tcPr>
            <w:tcW w:type="dxa" w:w="2256"/>
          </w:tcPr>
          <w:p>
            <w:pPr>
              <w:jc w:val="center"/>
            </w:pPr>
            <w:r/>
            <w:r>
              <w:rPr>
                <w:b w:val="0"/>
                <w:sz w:val="18"/>
              </w:rPr>
              <w:t>44</w:t>
            </w:r>
          </w:p>
        </w:tc>
        <w:tc>
          <w:tcPr>
            <w:tcW w:type="dxa" w:w="2256"/>
          </w:tcPr>
          <w:p>
            <w:pPr>
              <w:jc w:val="center"/>
            </w:pPr>
            <w:r/>
            <w:r>
              <w:rPr>
                <w:b w:val="0"/>
                <w:sz w:val="18"/>
              </w:rPr>
              <w:t>44</w:t>
            </w:r>
          </w:p>
        </w:tc>
        <w:tc>
          <w:tcPr>
            <w:tcW w:type="dxa" w:w="2256"/>
          </w:tcPr>
          <w:p>
            <w:pPr>
              <w:jc w:val="center"/>
            </w:pPr>
            <w:r/>
            <w:r>
              <w:rPr>
                <w:b w:val="0"/>
                <w:sz w:val="18"/>
              </w:rPr>
              <w:t>1.000</w:t>
            </w:r>
          </w:p>
        </w:tc>
      </w:tr>
      <w:tr>
        <w:tc>
          <w:tcPr>
            <w:tcW w:type="dxa" w:w="2256"/>
          </w:tcPr>
          <w:p>
            <w:r/>
            <w:r>
              <w:rPr>
                <w:b/>
                <w:sz w:val="18"/>
              </w:rPr>
              <w:t>Port Scanning</w:t>
            </w:r>
          </w:p>
        </w:tc>
        <w:tc>
          <w:tcPr>
            <w:tcW w:type="dxa" w:w="2256"/>
          </w:tcPr>
          <w:p>
            <w:pPr>
              <w:jc w:val="center"/>
            </w:pPr>
            <w:r/>
            <w:r>
              <w:rPr>
                <w:b w:val="0"/>
                <w:sz w:val="18"/>
              </w:rPr>
              <w:t>26</w:t>
            </w:r>
          </w:p>
        </w:tc>
        <w:tc>
          <w:tcPr>
            <w:tcW w:type="dxa" w:w="2256"/>
          </w:tcPr>
          <w:p>
            <w:pPr>
              <w:jc w:val="center"/>
            </w:pPr>
            <w:r/>
            <w:r>
              <w:rPr>
                <w:b w:val="0"/>
                <w:sz w:val="18"/>
              </w:rPr>
              <w:t>26</w:t>
            </w:r>
          </w:p>
        </w:tc>
        <w:tc>
          <w:tcPr>
            <w:tcW w:type="dxa" w:w="2256"/>
          </w:tcPr>
          <w:p>
            <w:pPr>
              <w:jc w:val="center"/>
            </w:pPr>
            <w:r/>
            <w:r>
              <w:rPr>
                <w:b w:val="0"/>
                <w:sz w:val="18"/>
              </w:rPr>
              <w:t>1.000</w:t>
            </w:r>
          </w:p>
        </w:tc>
      </w:tr>
      <w:tr>
        <w:tc>
          <w:tcPr>
            <w:tcW w:type="dxa" w:w="2256"/>
          </w:tcPr>
          <w:p>
            <w:r/>
            <w:r>
              <w:rPr>
                <w:b/>
                <w:sz w:val="18"/>
              </w:rPr>
              <w:t>Web Attacks</w:t>
            </w:r>
          </w:p>
        </w:tc>
        <w:tc>
          <w:tcPr>
            <w:tcW w:type="dxa" w:w="2256"/>
          </w:tcPr>
          <w:p>
            <w:pPr>
              <w:jc w:val="center"/>
            </w:pPr>
            <w:r/>
            <w:r>
              <w:rPr>
                <w:b w:val="0"/>
                <w:sz w:val="18"/>
              </w:rPr>
              <w:t>34</w:t>
            </w:r>
          </w:p>
        </w:tc>
        <w:tc>
          <w:tcPr>
            <w:tcW w:type="dxa" w:w="2256"/>
          </w:tcPr>
          <w:p>
            <w:pPr>
              <w:jc w:val="center"/>
            </w:pPr>
            <w:r/>
            <w:r>
              <w:rPr>
                <w:b w:val="0"/>
                <w:sz w:val="18"/>
              </w:rPr>
              <w:t>34</w:t>
            </w:r>
          </w:p>
        </w:tc>
        <w:tc>
          <w:tcPr>
            <w:tcW w:type="dxa" w:w="2256"/>
          </w:tcPr>
          <w:p>
            <w:pPr>
              <w:jc w:val="center"/>
            </w:pPr>
            <w:r/>
            <w:r>
              <w:rPr>
                <w:b w:val="0"/>
                <w:sz w:val="18"/>
              </w:rPr>
              <w:t>1.000</w:t>
            </w:r>
          </w:p>
        </w:tc>
      </w:tr>
      <w:tr>
        <w:tc>
          <w:tcPr>
            <w:tcW w:type="dxa" w:w="2256"/>
          </w:tcPr>
          <w:p>
            <w:r/>
            <w:r>
              <w:rPr>
                <w:b/>
                <w:sz w:val="18"/>
              </w:rPr>
              <w:t>Overall</w:t>
            </w:r>
          </w:p>
        </w:tc>
        <w:tc>
          <w:tcPr>
            <w:tcW w:type="dxa" w:w="2256"/>
          </w:tcPr>
          <w:p>
            <w:pPr>
              <w:jc w:val="center"/>
            </w:pPr>
            <w:r/>
            <w:r>
              <w:rPr>
                <w:b w:val="0"/>
                <w:sz w:val="18"/>
              </w:rPr>
              <w:t>200</w:t>
            </w:r>
          </w:p>
        </w:tc>
        <w:tc>
          <w:tcPr>
            <w:tcW w:type="dxa" w:w="2256"/>
          </w:tcPr>
          <w:p>
            <w:pPr>
              <w:jc w:val="center"/>
            </w:pPr>
            <w:r/>
            <w:r>
              <w:rPr>
                <w:b w:val="0"/>
                <w:sz w:val="18"/>
              </w:rPr>
              <w:t>199</w:t>
            </w:r>
          </w:p>
        </w:tc>
        <w:tc>
          <w:tcPr>
            <w:tcW w:type="dxa" w:w="2256"/>
          </w:tcPr>
          <w:p>
            <w:pPr>
              <w:jc w:val="center"/>
            </w:pPr>
            <w:r/>
            <w:r>
              <w:rPr>
                <w:b w:val="0"/>
                <w:sz w:val="18"/>
              </w:rPr>
              <w:t>0.995</w:t>
            </w:r>
          </w:p>
        </w:tc>
      </w:tr>
    </w:tbl>
    <w:p/>
    <w:p>
      <w:pPr>
        <w:pStyle w:val="Heading2"/>
      </w:pPr>
      <w:r>
        <w:rPr>
          <w:rFonts w:ascii="Arial" w:hAnsi="Arial"/>
          <w:sz w:val="28"/>
        </w:rPr>
        <w:t xml:space="preserve">Threat modelling and hardening</w:t>
      </w:r>
    </w:p>
    <w:p>
      <w:pPr>
        <w:jc w:val="both"/>
      </w:pPr>
      <w:r>
        <w:t>STRIDE was applied against the concrete, already-built architecture rather than a proposed one, deliberately last in the build order and for the reason already given there (Section: Development methodology). It was extended with categories from MITRE ATLAS to cover threats specific to the machine-learning layer that classic STRIDE, designed for conventional software, does not natively surface: data poisoning (a Tampering variant, mitigated structurally by the execution role holding no write permission anywhere in the inference path — not a policy that could be misconfigured, but a capability the role does not have), model extraction or inversion (an Information Disclosure variant, via repeated querying of the inference API), and adversarial evasion (a Spoofing variant — crafting traffic that appears benign to the model while remaining functionally malicious). Eighteen security requirements were traced from an identified threat through to verification evidence, rather than left as an assessed-but-unconfirmed list.</w:t>
      </w:r>
    </w:p>
    <w:p>
      <w:pPr>
        <w:jc w:val="both"/>
      </w:pPr>
      <w:r>
        <w:t>Hardening followed directly from what STRIDE identified. The default allow-all egress security group AWS provisions was revoked and replaced with HTTPS-only access to the S3 prefix list; console-created IAM resources, unreliable for the reason already described (Section: Development methodology), were rebuilt entirely via CLI with policy documents committed to the repository for auditability. Controls verified by test include: the endpoint rejecting unauthenticated requests, no internet route existing from the inference function, egress restricted to the required destination only, and the model format itself resisting tampering by construction. Gaps were treated as accepted risks rather than hidden: no per-caller rate limiting (a direct consequence of the Function URL versus API Gateway trade-off), three EC2 Describe actions that AWS does not support scoping to a specific resource and which remain wildcarded, and — at the time the threat model was first written — model evasion, recorded as a High-severity risk that was assessed but not yet tested. That last gap has since been closed: the Adversarial evaluation described next tested it directly, and confirmed the severity assessment was correct.</w:t>
      </w:r>
    </w:p>
    <w:p>
      <w:pPr>
        <w:pStyle w:val="Heading2"/>
      </w:pPr>
      <w:r>
        <w:rPr>
          <w:rFonts w:ascii="Arial" w:hAnsi="Arial"/>
          <w:sz w:val="28"/>
        </w:rPr>
        <w:t xml:space="preserve">Adversarial evaluation</w:t>
      </w:r>
    </w:p>
    <w:p>
      <w:pPr>
        <w:jc w:val="both"/>
      </w:pPr>
      <w:r>
        <w:t>E5 tested evasion directly with a gradient-free, black-box attack — appropriate because the deployed artefact is a tree ensemble with no exposed gradient — against 30 correctly-classified flows per attack class, under two conditions. Unconstrained perturbation, in which all 52 features may be altered, is the standard adversarial-ML setting most published results measure; constrained perturbation restricts changes to the 28 features an attacker can actually manipulate (forward-direction timing and packet sizing), since backward-direction statistics are the victim's own responses, TCP flag counts are fixed by protocol semantics, and window size and destination port are set by the TCP stack and the targeted service respectively, not by the attacker. Unconstrained evasion was total for every class, mostly at near-zero perturbation magnitude. Constrained evasion remained severe: five of six classes still reached 100% evasion; only DoS dropped, to 70%, and only at a substantially larger required perturbation. The features most exploited under realistic constraints were exactly the timing statistics — Flow Duration, Flow and Forward Inter-Arrival Time — that drive the model's own 0.9721 macro F1: the same signal that makes detection work is the signal an attacker can cheaply manipulate, because none of it is set by the victim or by the network protocol.</w:t>
      </w:r>
    </w:p>
    <w:p>
      <w:pPr>
        <w:pStyle w:val="Caption"/>
        <w:jc w:val="center"/>
      </w:pPr>
      <w:r>
        <w:t xml:space="preserve">Table </w:t>
      </w:r>
      <w:r>
        <w:fldChar w:fldCharType="begin"/>
      </w:r>
      <w:r>
        <w:instrText xml:space="preserve"> SEQ Table \* ARABIC </w:instrText>
      </w:r>
      <w:r>
        <w:fldChar w:fldCharType="separate"/>
      </w:r>
      <w:r>
        <w:t>1</w:t>
      </w:r>
      <w:r>
        <w:fldChar w:fldCharType="end"/>
      </w:r>
      <w:r>
        <w:t>. E5 — black-box evasion results, 30 flows/class, seed 42.</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44546A"/>
          </w:tcPr>
          <w:p>
            <w:pPr>
              <w:jc w:val="center"/>
            </w:pPr>
            <w:r/>
            <w:r>
              <w:rPr>
                <w:b/>
                <w:color w:val="FFFFFF"/>
                <w:sz w:val="18"/>
              </w:rPr>
              <w:t>Attack class</w:t>
            </w:r>
          </w:p>
        </w:tc>
        <w:tc>
          <w:tcPr>
            <w:tcW w:type="dxa" w:w="2256"/>
            <w:shd w:val="clear" w:color="auto" w:fill="44546A"/>
          </w:tcPr>
          <w:p>
            <w:pPr>
              <w:jc w:val="center"/>
            </w:pPr>
            <w:r/>
            <w:r>
              <w:rPr>
                <w:b/>
                <w:color w:val="FFFFFF"/>
                <w:sz w:val="18"/>
              </w:rPr>
              <w:t>Unconstrained evasion</w:t>
            </w:r>
          </w:p>
        </w:tc>
        <w:tc>
          <w:tcPr>
            <w:tcW w:type="dxa" w:w="2256"/>
            <w:shd w:val="clear" w:color="auto" w:fill="44546A"/>
          </w:tcPr>
          <w:p>
            <w:pPr>
              <w:jc w:val="center"/>
            </w:pPr>
            <w:r/>
            <w:r>
              <w:rPr>
                <w:b/>
                <w:color w:val="FFFFFF"/>
                <w:sz w:val="18"/>
              </w:rPr>
              <w:t>Constrained evasion</w:t>
            </w:r>
          </w:p>
        </w:tc>
        <w:tc>
          <w:tcPr>
            <w:tcW w:type="dxa" w:w="2256"/>
            <w:shd w:val="clear" w:color="auto" w:fill="44546A"/>
          </w:tcPr>
          <w:p>
            <w:pPr>
              <w:jc w:val="center"/>
            </w:pPr>
            <w:r/>
            <w:r>
              <w:rPr>
                <w:b/>
                <w:color w:val="FFFFFF"/>
                <w:sz w:val="18"/>
              </w:rPr>
              <w:t>Constrained median perturbation (SD units)</w:t>
            </w:r>
          </w:p>
        </w:tc>
      </w:tr>
      <w:tr>
        <w:tc>
          <w:tcPr>
            <w:tcW w:type="dxa" w:w="2256"/>
          </w:tcPr>
          <w:p>
            <w:r/>
            <w:r>
              <w:rPr>
                <w:b/>
                <w:sz w:val="18"/>
              </w:rPr>
              <w:t>Bots</w:t>
            </w:r>
          </w:p>
        </w:tc>
        <w:tc>
          <w:tcPr>
            <w:tcW w:type="dxa" w:w="2256"/>
          </w:tcPr>
          <w:p>
            <w:pPr>
              <w:jc w:val="center"/>
            </w:pPr>
            <w:r/>
            <w:r>
              <w:rPr>
                <w:b w:val="0"/>
                <w:sz w:val="18"/>
              </w:rPr>
              <w:t>100%</w:t>
            </w:r>
          </w:p>
        </w:tc>
        <w:tc>
          <w:tcPr>
            <w:tcW w:type="dxa" w:w="2256"/>
          </w:tcPr>
          <w:p>
            <w:pPr>
              <w:jc w:val="center"/>
            </w:pPr>
            <w:r/>
            <w:r>
              <w:rPr>
                <w:b w:val="0"/>
                <w:sz w:val="18"/>
              </w:rPr>
              <w:t>100%</w:t>
            </w:r>
          </w:p>
        </w:tc>
        <w:tc>
          <w:tcPr>
            <w:tcW w:type="dxa" w:w="2256"/>
          </w:tcPr>
          <w:p>
            <w:pPr>
              <w:jc w:val="center"/>
            </w:pPr>
            <w:r/>
            <w:r>
              <w:rPr>
                <w:b w:val="0"/>
                <w:sz w:val="18"/>
              </w:rPr>
              <w:t>0.007</w:t>
            </w:r>
          </w:p>
        </w:tc>
      </w:tr>
      <w:tr>
        <w:tc>
          <w:tcPr>
            <w:tcW w:type="dxa" w:w="2256"/>
          </w:tcPr>
          <w:p>
            <w:r/>
            <w:r>
              <w:rPr>
                <w:b/>
                <w:sz w:val="18"/>
              </w:rPr>
              <w:t>Brute Force</w:t>
            </w:r>
          </w:p>
        </w:tc>
        <w:tc>
          <w:tcPr>
            <w:tcW w:type="dxa" w:w="2256"/>
          </w:tcPr>
          <w:p>
            <w:pPr>
              <w:jc w:val="center"/>
            </w:pPr>
            <w:r/>
            <w:r>
              <w:rPr>
                <w:b w:val="0"/>
                <w:sz w:val="18"/>
              </w:rPr>
              <w:t>100%</w:t>
            </w:r>
          </w:p>
        </w:tc>
        <w:tc>
          <w:tcPr>
            <w:tcW w:type="dxa" w:w="2256"/>
          </w:tcPr>
          <w:p>
            <w:pPr>
              <w:jc w:val="center"/>
            </w:pPr>
            <w:r/>
            <w:r>
              <w:rPr>
                <w:b w:val="0"/>
                <w:sz w:val="18"/>
              </w:rPr>
              <w:t>100%</w:t>
            </w:r>
          </w:p>
        </w:tc>
        <w:tc>
          <w:tcPr>
            <w:tcW w:type="dxa" w:w="2256"/>
          </w:tcPr>
          <w:p>
            <w:pPr>
              <w:jc w:val="center"/>
            </w:pPr>
            <w:r/>
            <w:r>
              <w:rPr>
                <w:b w:val="0"/>
                <w:sz w:val="18"/>
              </w:rPr>
              <w:t>0.142</w:t>
            </w:r>
          </w:p>
        </w:tc>
      </w:tr>
      <w:tr>
        <w:tc>
          <w:tcPr>
            <w:tcW w:type="dxa" w:w="2256"/>
          </w:tcPr>
          <w:p>
            <w:r/>
            <w:r>
              <w:rPr>
                <w:b/>
                <w:sz w:val="18"/>
              </w:rPr>
              <w:t>DDoS</w:t>
            </w:r>
          </w:p>
        </w:tc>
        <w:tc>
          <w:tcPr>
            <w:tcW w:type="dxa" w:w="2256"/>
          </w:tcPr>
          <w:p>
            <w:pPr>
              <w:jc w:val="center"/>
            </w:pPr>
            <w:r/>
            <w:r>
              <w:rPr>
                <w:b w:val="0"/>
                <w:sz w:val="18"/>
              </w:rPr>
              <w:t>100%</w:t>
            </w:r>
          </w:p>
        </w:tc>
        <w:tc>
          <w:tcPr>
            <w:tcW w:type="dxa" w:w="2256"/>
          </w:tcPr>
          <w:p>
            <w:pPr>
              <w:jc w:val="center"/>
            </w:pPr>
            <w:r/>
            <w:r>
              <w:rPr>
                <w:b w:val="0"/>
                <w:sz w:val="18"/>
              </w:rPr>
              <w:t>100%</w:t>
            </w:r>
          </w:p>
        </w:tc>
        <w:tc>
          <w:tcPr>
            <w:tcW w:type="dxa" w:w="2256"/>
          </w:tcPr>
          <w:p>
            <w:pPr>
              <w:jc w:val="center"/>
            </w:pPr>
            <w:r/>
            <w:r>
              <w:rPr>
                <w:b w:val="0"/>
                <w:sz w:val="18"/>
              </w:rPr>
              <w:t>0.111</w:t>
            </w:r>
          </w:p>
        </w:tc>
      </w:tr>
      <w:tr>
        <w:tc>
          <w:tcPr>
            <w:tcW w:type="dxa" w:w="2256"/>
          </w:tcPr>
          <w:p>
            <w:r/>
            <w:r>
              <w:rPr>
                <w:b/>
                <w:sz w:val="18"/>
              </w:rPr>
              <w:t>DoS</w:t>
            </w:r>
          </w:p>
        </w:tc>
        <w:tc>
          <w:tcPr>
            <w:tcW w:type="dxa" w:w="2256"/>
          </w:tcPr>
          <w:p>
            <w:pPr>
              <w:jc w:val="center"/>
            </w:pPr>
            <w:r/>
            <w:r>
              <w:rPr>
                <w:b w:val="0"/>
                <w:sz w:val="18"/>
              </w:rPr>
              <w:t>100%</w:t>
            </w:r>
          </w:p>
        </w:tc>
        <w:tc>
          <w:tcPr>
            <w:tcW w:type="dxa" w:w="2256"/>
          </w:tcPr>
          <w:p>
            <w:pPr>
              <w:jc w:val="center"/>
            </w:pPr>
            <w:r/>
            <w:r>
              <w:rPr>
                <w:b w:val="0"/>
                <w:sz w:val="18"/>
              </w:rPr>
              <w:t>70%</w:t>
            </w:r>
          </w:p>
        </w:tc>
        <w:tc>
          <w:tcPr>
            <w:tcW w:type="dxa" w:w="2256"/>
          </w:tcPr>
          <w:p>
            <w:pPr>
              <w:jc w:val="center"/>
            </w:pPr>
            <w:r/>
            <w:r>
              <w:rPr>
                <w:b w:val="0"/>
                <w:sz w:val="18"/>
              </w:rPr>
              <w:t>0.896</w:t>
            </w:r>
          </w:p>
        </w:tc>
      </w:tr>
      <w:tr>
        <w:tc>
          <w:tcPr>
            <w:tcW w:type="dxa" w:w="2256"/>
          </w:tcPr>
          <w:p>
            <w:r/>
            <w:r>
              <w:rPr>
                <w:b/>
                <w:sz w:val="18"/>
              </w:rPr>
              <w:t>Port Scanning</w:t>
            </w:r>
          </w:p>
        </w:tc>
        <w:tc>
          <w:tcPr>
            <w:tcW w:type="dxa" w:w="2256"/>
          </w:tcPr>
          <w:p>
            <w:pPr>
              <w:jc w:val="center"/>
            </w:pPr>
            <w:r/>
            <w:r>
              <w:rPr>
                <w:b w:val="0"/>
                <w:sz w:val="18"/>
              </w:rPr>
              <w:t>100%</w:t>
            </w:r>
          </w:p>
        </w:tc>
        <w:tc>
          <w:tcPr>
            <w:tcW w:type="dxa" w:w="2256"/>
          </w:tcPr>
          <w:p>
            <w:pPr>
              <w:jc w:val="center"/>
            </w:pPr>
            <w:r/>
            <w:r>
              <w:rPr>
                <w:b w:val="0"/>
                <w:sz w:val="18"/>
              </w:rPr>
              <w:t>100%</w:t>
            </w:r>
          </w:p>
        </w:tc>
        <w:tc>
          <w:tcPr>
            <w:tcW w:type="dxa" w:w="2256"/>
          </w:tcPr>
          <w:p>
            <w:pPr>
              <w:jc w:val="center"/>
            </w:pPr>
            <w:r/>
            <w:r>
              <w:rPr>
                <w:b w:val="0"/>
                <w:sz w:val="18"/>
              </w:rPr>
              <w:t>0.008</w:t>
            </w:r>
          </w:p>
        </w:tc>
      </w:tr>
      <w:tr>
        <w:tc>
          <w:tcPr>
            <w:tcW w:type="dxa" w:w="2256"/>
          </w:tcPr>
          <w:p>
            <w:r/>
            <w:r>
              <w:rPr>
                <w:b/>
                <w:sz w:val="18"/>
              </w:rPr>
              <w:t>Web Attacks</w:t>
            </w:r>
          </w:p>
        </w:tc>
        <w:tc>
          <w:tcPr>
            <w:tcW w:type="dxa" w:w="2256"/>
          </w:tcPr>
          <w:p>
            <w:pPr>
              <w:jc w:val="center"/>
            </w:pPr>
            <w:r/>
            <w:r>
              <w:rPr>
                <w:b w:val="0"/>
                <w:sz w:val="18"/>
              </w:rPr>
              <w:t>100%</w:t>
            </w:r>
          </w:p>
        </w:tc>
        <w:tc>
          <w:tcPr>
            <w:tcW w:type="dxa" w:w="2256"/>
          </w:tcPr>
          <w:p>
            <w:pPr>
              <w:jc w:val="center"/>
            </w:pPr>
            <w:r/>
            <w:r>
              <w:rPr>
                <w:b w:val="0"/>
                <w:sz w:val="18"/>
              </w:rPr>
              <w:t>100%</w:t>
            </w:r>
          </w:p>
        </w:tc>
        <w:tc>
          <w:tcPr>
            <w:tcW w:type="dxa" w:w="2256"/>
          </w:tcPr>
          <w:p>
            <w:pPr>
              <w:jc w:val="center"/>
            </w:pPr>
            <w:r/>
            <w:r>
              <w:rPr>
                <w:b w:val="0"/>
                <w:sz w:val="18"/>
              </w:rPr>
              <w:t>0.055</w:t>
            </w:r>
          </w:p>
        </w:tc>
      </w:tr>
    </w:tbl>
    <w:p/>
    <w:p>
      <w:pPr>
        <w:jc w:val="both"/>
      </w:pPr>
      <w:r>
        <w:t>E6 addressed a specific weakness in E5's methodology: independently perturbing correlated timing features (Flow Duration, Forward Inter-Arrival Time Total, and Flow Inter-Arrival Time Mean are all derived from the same packet timestamps) describes flows that could not physically exist. E6 instead reduced the attack to two physically realisable knobs, with every dependent feature recomputed consistently: a proportional delay inserted between packets, and padding added to forward packets. Without padding, Bots, Web Attacks, and Port Scanning evaded almost completely at a moderate roughly 11–15x slowdown, while Brute Force and DDoS resisted entirely within the range searched; adding 20 bytes of padding per packet moved DDoS to 88% evasion and sharply reduced the slowdown required for Port Scanning and Web Attacks, showing that timing and padding act as compensating levers rather than independent risks. Brute Force remained the one consistently robust class in both conditions. Under this more conservative, physically-grounded attack model, four of six classes remain majority-evadable at slowdowns of roughly 1–15x — well within reach of an attacker who is simply willing to be patient, and requiring no exploit of any kind. This directly resolves what the STRIDE threat model had recorded as a High-severity, unmitigated, untested risk: it is now High-severity, unmitigated, and confirmed (Section: Evasion and the limits of infrastructure security, Critical Evaluation).</w:t>
      </w:r>
    </w:p>
    <w:p>
      <w:pPr>
        <w:pStyle w:val="Caption"/>
        <w:jc w:val="center"/>
      </w:pPr>
      <w:r>
        <w:t xml:space="preserve">Table </w:t>
      </w:r>
      <w:r>
        <w:fldChar w:fldCharType="begin"/>
      </w:r>
      <w:r>
        <w:instrText xml:space="preserve"> SEQ Table \* ARABIC </w:instrText>
      </w:r>
      <w:r>
        <w:fldChar w:fldCharType="separate"/>
      </w:r>
      <w:r>
        <w:t>1</w:t>
      </w:r>
      <w:r>
        <w:fldChar w:fldCharType="end"/>
      </w:r>
      <w:r>
        <w:t>. E6 — semantically-consistent (physically-realisable) evasion results, 50 flows/class, seed 42.</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44546A"/>
          </w:tcPr>
          <w:p>
            <w:pPr>
              <w:jc w:val="center"/>
            </w:pPr>
            <w:r/>
            <w:r>
              <w:rPr>
                <w:b/>
                <w:color w:val="FFFFFF"/>
                <w:sz w:val="18"/>
              </w:rPr>
              <w:t>Attack class</w:t>
            </w:r>
          </w:p>
        </w:tc>
        <w:tc>
          <w:tcPr>
            <w:tcW w:type="dxa" w:w="1805"/>
            <w:shd w:val="clear" w:color="auto" w:fill="44546A"/>
          </w:tcPr>
          <w:p>
            <w:pPr>
              <w:jc w:val="center"/>
            </w:pPr>
            <w:r/>
            <w:r>
              <w:rPr>
                <w:b/>
                <w:color w:val="FFFFFF"/>
                <w:sz w:val="18"/>
              </w:rPr>
              <w:t>Evasion, no padding</w:t>
            </w:r>
          </w:p>
        </w:tc>
        <w:tc>
          <w:tcPr>
            <w:tcW w:type="dxa" w:w="1805"/>
            <w:shd w:val="clear" w:color="auto" w:fill="44546A"/>
          </w:tcPr>
          <w:p>
            <w:pPr>
              <w:jc w:val="center"/>
            </w:pPr>
            <w:r/>
            <w:r>
              <w:rPr>
                <w:b/>
                <w:color w:val="FFFFFF"/>
                <w:sz w:val="18"/>
              </w:rPr>
              <w:t>Median slowdown</w:t>
            </w:r>
          </w:p>
        </w:tc>
        <w:tc>
          <w:tcPr>
            <w:tcW w:type="dxa" w:w="1805"/>
            <w:shd w:val="clear" w:color="auto" w:fill="44546A"/>
          </w:tcPr>
          <w:p>
            <w:pPr>
              <w:jc w:val="center"/>
            </w:pPr>
            <w:r/>
            <w:r>
              <w:rPr>
                <w:b/>
                <w:color w:val="FFFFFF"/>
                <w:sz w:val="18"/>
              </w:rPr>
              <w:t>Evasion, 20B/pkt padding</w:t>
            </w:r>
          </w:p>
        </w:tc>
        <w:tc>
          <w:tcPr>
            <w:tcW w:type="dxa" w:w="1805"/>
            <w:shd w:val="clear" w:color="auto" w:fill="44546A"/>
          </w:tcPr>
          <w:p>
            <w:pPr>
              <w:jc w:val="center"/>
            </w:pPr>
            <w:r/>
            <w:r>
              <w:rPr>
                <w:b/>
                <w:color w:val="FFFFFF"/>
                <w:sz w:val="18"/>
              </w:rPr>
              <w:t>Median slowdown</w:t>
            </w:r>
          </w:p>
        </w:tc>
      </w:tr>
      <w:tr>
        <w:tc>
          <w:tcPr>
            <w:tcW w:type="dxa" w:w="1805"/>
          </w:tcPr>
          <w:p>
            <w:r/>
            <w:r>
              <w:rPr>
                <w:b/>
                <w:sz w:val="18"/>
              </w:rPr>
              <w:t>Bots</w:t>
            </w:r>
          </w:p>
        </w:tc>
        <w:tc>
          <w:tcPr>
            <w:tcW w:type="dxa" w:w="1805"/>
          </w:tcPr>
          <w:p>
            <w:pPr>
              <w:jc w:val="center"/>
            </w:pPr>
            <w:r/>
            <w:r>
              <w:rPr>
                <w:b w:val="0"/>
                <w:sz w:val="18"/>
              </w:rPr>
              <w:t>100%</w:t>
            </w:r>
          </w:p>
        </w:tc>
        <w:tc>
          <w:tcPr>
            <w:tcW w:type="dxa" w:w="1805"/>
          </w:tcPr>
          <w:p>
            <w:pPr>
              <w:jc w:val="center"/>
            </w:pPr>
            <w:r/>
            <w:r>
              <w:rPr>
                <w:b w:val="0"/>
                <w:sz w:val="18"/>
              </w:rPr>
              <w:t>10.88x</w:t>
            </w:r>
          </w:p>
        </w:tc>
        <w:tc>
          <w:tcPr>
            <w:tcW w:type="dxa" w:w="1805"/>
          </w:tcPr>
          <w:p>
            <w:pPr>
              <w:jc w:val="center"/>
            </w:pPr>
            <w:r/>
            <w:r>
              <w:rPr>
                <w:b w:val="0"/>
                <w:sz w:val="18"/>
              </w:rPr>
              <w:t>100%</w:t>
            </w:r>
          </w:p>
        </w:tc>
        <w:tc>
          <w:tcPr>
            <w:tcW w:type="dxa" w:w="1805"/>
          </w:tcPr>
          <w:p>
            <w:pPr>
              <w:jc w:val="center"/>
            </w:pPr>
            <w:r/>
            <w:r>
              <w:rPr>
                <w:b w:val="0"/>
                <w:sz w:val="18"/>
              </w:rPr>
              <w:t>9.38x</w:t>
            </w:r>
          </w:p>
        </w:tc>
      </w:tr>
      <w:tr>
        <w:tc>
          <w:tcPr>
            <w:tcW w:type="dxa" w:w="1805"/>
          </w:tcPr>
          <w:p>
            <w:r/>
            <w:r>
              <w:rPr>
                <w:b/>
                <w:sz w:val="18"/>
              </w:rPr>
              <w:t>Brute Force</w:t>
            </w:r>
          </w:p>
        </w:tc>
        <w:tc>
          <w:tcPr>
            <w:tcW w:type="dxa" w:w="1805"/>
          </w:tcPr>
          <w:p>
            <w:pPr>
              <w:jc w:val="center"/>
            </w:pPr>
            <w:r/>
            <w:r>
              <w:rPr>
                <w:b w:val="0"/>
                <w:sz w:val="18"/>
              </w:rPr>
              <w:t>0%</w:t>
            </w:r>
          </w:p>
        </w:tc>
        <w:tc>
          <w:tcPr>
            <w:tcW w:type="dxa" w:w="1805"/>
          </w:tcPr>
          <w:p>
            <w:pPr>
              <w:jc w:val="center"/>
            </w:pPr>
            <w:r/>
            <w:r>
              <w:rPr>
                <w:b w:val="0"/>
                <w:sz w:val="18"/>
              </w:rPr>
              <w:t>—</w:t>
            </w:r>
          </w:p>
        </w:tc>
        <w:tc>
          <w:tcPr>
            <w:tcW w:type="dxa" w:w="1805"/>
          </w:tcPr>
          <w:p>
            <w:pPr>
              <w:jc w:val="center"/>
            </w:pPr>
            <w:r/>
            <w:r>
              <w:rPr>
                <w:b w:val="0"/>
                <w:sz w:val="18"/>
              </w:rPr>
              <w:t>4%</w:t>
            </w:r>
          </w:p>
        </w:tc>
        <w:tc>
          <w:tcPr>
            <w:tcW w:type="dxa" w:w="1805"/>
          </w:tcPr>
          <w:p>
            <w:pPr>
              <w:jc w:val="center"/>
            </w:pPr>
            <w:r/>
            <w:r>
              <w:rPr>
                <w:b w:val="0"/>
                <w:sz w:val="18"/>
              </w:rPr>
              <w:t>358.43x</w:t>
            </w:r>
          </w:p>
        </w:tc>
      </w:tr>
      <w:tr>
        <w:tc>
          <w:tcPr>
            <w:tcW w:type="dxa" w:w="1805"/>
          </w:tcPr>
          <w:p>
            <w:r/>
            <w:r>
              <w:rPr>
                <w:b/>
                <w:sz w:val="18"/>
              </w:rPr>
              <w:t>DDoS</w:t>
            </w:r>
          </w:p>
        </w:tc>
        <w:tc>
          <w:tcPr>
            <w:tcW w:type="dxa" w:w="1805"/>
          </w:tcPr>
          <w:p>
            <w:pPr>
              <w:jc w:val="center"/>
            </w:pPr>
            <w:r/>
            <w:r>
              <w:rPr>
                <w:b w:val="0"/>
                <w:sz w:val="18"/>
              </w:rPr>
              <w:t>0%</w:t>
            </w:r>
          </w:p>
        </w:tc>
        <w:tc>
          <w:tcPr>
            <w:tcW w:type="dxa" w:w="1805"/>
          </w:tcPr>
          <w:p>
            <w:pPr>
              <w:jc w:val="center"/>
            </w:pPr>
            <w:r/>
            <w:r>
              <w:rPr>
                <w:b w:val="0"/>
                <w:sz w:val="18"/>
              </w:rPr>
              <w:t>—</w:t>
            </w:r>
          </w:p>
        </w:tc>
        <w:tc>
          <w:tcPr>
            <w:tcW w:type="dxa" w:w="1805"/>
          </w:tcPr>
          <w:p>
            <w:pPr>
              <w:jc w:val="center"/>
            </w:pPr>
            <w:r/>
            <w:r>
              <w:rPr>
                <w:b w:val="0"/>
                <w:sz w:val="18"/>
              </w:rPr>
              <w:t>88%</w:t>
            </w:r>
          </w:p>
        </w:tc>
        <w:tc>
          <w:tcPr>
            <w:tcW w:type="dxa" w:w="1805"/>
          </w:tcPr>
          <w:p>
            <w:pPr>
              <w:jc w:val="center"/>
            </w:pPr>
            <w:r/>
            <w:r>
              <w:rPr>
                <w:b w:val="0"/>
                <w:sz w:val="18"/>
              </w:rPr>
              <w:t>7.00x</w:t>
            </w:r>
          </w:p>
        </w:tc>
      </w:tr>
      <w:tr>
        <w:tc>
          <w:tcPr>
            <w:tcW w:type="dxa" w:w="1805"/>
          </w:tcPr>
          <w:p>
            <w:r/>
            <w:r>
              <w:rPr>
                <w:b/>
                <w:sz w:val="18"/>
              </w:rPr>
              <w:t>DoS</w:t>
            </w:r>
          </w:p>
        </w:tc>
        <w:tc>
          <w:tcPr>
            <w:tcW w:type="dxa" w:w="1805"/>
          </w:tcPr>
          <w:p>
            <w:pPr>
              <w:jc w:val="center"/>
            </w:pPr>
            <w:r/>
            <w:r>
              <w:rPr>
                <w:b w:val="0"/>
                <w:sz w:val="18"/>
              </w:rPr>
              <w:t>12%</w:t>
            </w:r>
          </w:p>
        </w:tc>
        <w:tc>
          <w:tcPr>
            <w:tcW w:type="dxa" w:w="1805"/>
          </w:tcPr>
          <w:p>
            <w:pPr>
              <w:jc w:val="center"/>
            </w:pPr>
            <w:r/>
            <w:r>
              <w:rPr>
                <w:b w:val="0"/>
                <w:sz w:val="18"/>
              </w:rPr>
              <w:t>38.92x</w:t>
            </w:r>
          </w:p>
        </w:tc>
        <w:tc>
          <w:tcPr>
            <w:tcW w:type="dxa" w:w="1805"/>
          </w:tcPr>
          <w:p>
            <w:pPr>
              <w:jc w:val="center"/>
            </w:pPr>
            <w:r/>
            <w:r>
              <w:rPr>
                <w:b w:val="0"/>
                <w:sz w:val="18"/>
              </w:rPr>
              <w:t>20%</w:t>
            </w:r>
          </w:p>
        </w:tc>
        <w:tc>
          <w:tcPr>
            <w:tcW w:type="dxa" w:w="1805"/>
          </w:tcPr>
          <w:p>
            <w:pPr>
              <w:jc w:val="center"/>
            </w:pPr>
            <w:r/>
            <w:r>
              <w:rPr>
                <w:b w:val="0"/>
                <w:sz w:val="18"/>
              </w:rPr>
              <w:t>7.25x</w:t>
            </w:r>
          </w:p>
        </w:tc>
      </w:tr>
      <w:tr>
        <w:tc>
          <w:tcPr>
            <w:tcW w:type="dxa" w:w="1805"/>
          </w:tcPr>
          <w:p>
            <w:r/>
            <w:r>
              <w:rPr>
                <w:b/>
                <w:sz w:val="18"/>
              </w:rPr>
              <w:t>Port Scanning</w:t>
            </w:r>
          </w:p>
        </w:tc>
        <w:tc>
          <w:tcPr>
            <w:tcW w:type="dxa" w:w="1805"/>
          </w:tcPr>
          <w:p>
            <w:pPr>
              <w:jc w:val="center"/>
            </w:pPr>
            <w:r/>
            <w:r>
              <w:rPr>
                <w:b w:val="0"/>
                <w:sz w:val="18"/>
              </w:rPr>
              <w:t>96%</w:t>
            </w:r>
          </w:p>
        </w:tc>
        <w:tc>
          <w:tcPr>
            <w:tcW w:type="dxa" w:w="1805"/>
          </w:tcPr>
          <w:p>
            <w:pPr>
              <w:jc w:val="center"/>
            </w:pPr>
            <w:r/>
            <w:r>
              <w:rPr>
                <w:b w:val="0"/>
                <w:sz w:val="18"/>
              </w:rPr>
              <w:t>14.65x</w:t>
            </w:r>
          </w:p>
        </w:tc>
        <w:tc>
          <w:tcPr>
            <w:tcW w:type="dxa" w:w="1805"/>
          </w:tcPr>
          <w:p>
            <w:pPr>
              <w:jc w:val="center"/>
            </w:pPr>
            <w:r/>
            <w:r>
              <w:rPr>
                <w:b w:val="0"/>
                <w:sz w:val="18"/>
              </w:rPr>
              <w:t>100%</w:t>
            </w:r>
          </w:p>
        </w:tc>
        <w:tc>
          <w:tcPr>
            <w:tcW w:type="dxa" w:w="1805"/>
          </w:tcPr>
          <w:p>
            <w:pPr>
              <w:jc w:val="center"/>
            </w:pPr>
            <w:r/>
            <w:r>
              <w:rPr>
                <w:b w:val="0"/>
                <w:sz w:val="18"/>
              </w:rPr>
              <w:t>2.88x</w:t>
            </w:r>
          </w:p>
        </w:tc>
      </w:tr>
      <w:tr>
        <w:tc>
          <w:tcPr>
            <w:tcW w:type="dxa" w:w="1805"/>
          </w:tcPr>
          <w:p>
            <w:r/>
            <w:r>
              <w:rPr>
                <w:b/>
                <w:sz w:val="18"/>
              </w:rPr>
              <w:t>Web Attacks</w:t>
            </w:r>
          </w:p>
        </w:tc>
        <w:tc>
          <w:tcPr>
            <w:tcW w:type="dxa" w:w="1805"/>
          </w:tcPr>
          <w:p>
            <w:pPr>
              <w:jc w:val="center"/>
            </w:pPr>
            <w:r/>
            <w:r>
              <w:rPr>
                <w:b w:val="0"/>
                <w:sz w:val="18"/>
              </w:rPr>
              <w:t>100%</w:t>
            </w:r>
          </w:p>
        </w:tc>
        <w:tc>
          <w:tcPr>
            <w:tcW w:type="dxa" w:w="1805"/>
          </w:tcPr>
          <w:p>
            <w:pPr>
              <w:jc w:val="center"/>
            </w:pPr>
            <w:r/>
            <w:r>
              <w:rPr>
                <w:b w:val="0"/>
                <w:sz w:val="18"/>
              </w:rPr>
              <w:t>11.85x</w:t>
            </w:r>
          </w:p>
        </w:tc>
        <w:tc>
          <w:tcPr>
            <w:tcW w:type="dxa" w:w="1805"/>
          </w:tcPr>
          <w:p>
            <w:pPr>
              <w:jc w:val="center"/>
            </w:pPr>
            <w:r/>
            <w:r>
              <w:rPr>
                <w:b w:val="0"/>
                <w:sz w:val="18"/>
              </w:rPr>
              <w:t>100%</w:t>
            </w:r>
          </w:p>
        </w:tc>
        <w:tc>
          <w:tcPr>
            <w:tcW w:type="dxa" w:w="1805"/>
          </w:tcPr>
          <w:p>
            <w:pPr>
              <w:jc w:val="center"/>
            </w:pPr>
            <w:r/>
            <w:r>
              <w:rPr>
                <w:b w:val="0"/>
                <w:sz w:val="18"/>
              </w:rPr>
              <w:t>1.65x</w:t>
            </w:r>
          </w:p>
        </w:tc>
      </w:tr>
    </w:tbl>
    <w:p/>
    <w:p>
      <w:r>
        <w:br w:type="page"/>
      </w:r>
    </w:p>
    <w:p>
      <w:pPr>
        <w:pStyle w:val="Heading1"/>
      </w:pPr>
      <w:r>
        <w:rPr>
          <w:rFonts w:ascii="Arial" w:hAnsi="Arial"/>
          <w:sz w:val="32"/>
        </w:rPr>
        <w:t xml:space="preserve">Critical Evaluation</w:t>
      </w:r>
    </w:p>
    <w:p>
      <w:pPr>
        <w:pStyle w:val="Heading2"/>
      </w:pPr>
      <w:r>
        <w:rPr>
          <w:rFonts w:ascii="Arial" w:hAnsi="Arial"/>
          <w:sz w:val="28"/>
        </w:rPr>
        <w:t xml:space="preserve">Performance against published benchmarks</w:t>
      </w:r>
    </w:p>
    <w:p>
      <w:pPr>
        <w:jc w:val="both"/>
      </w:pPr>
      <w:r>
        <w:t>Direct numeric comparison against the literature requires care, because as Evaluation practice and its problems (Fact Finding) establishes, published CICIDS2017 results are not always evaluated the same way this project's own were: some report accuracy rather than macro F1, and some evaluate against a resampled rather than a naturally imbalanced test set, either of which inflates the reported figure relative to a natural-distribution macro F1 comparison. Maseer et al. (2021) is the most directly comparable published benchmark, evaluating ten algorithm families as 31 distinct models against a consistent metric set on this same dataset; positioning this project's macro F1 of 0.9721 against their specific reported per-model figures is identified as outstanding work, the relevant figures should be extracted and compared model-family-by-model-family, tree ensemble against tree ensemble specifically, rather than against a single headline number, precisely because the model-by-strategy interaction finding (Section: The model-by-strategy interaction) shows that a single aggregate figure can obscure which specific configuration is being compared. [Complete once Maseer et al.'s per-model figures have been extracted and confirmed against the published paper.]</w:t>
      </w:r>
    </w:p>
    <w:p>
      <w:pPr>
        <w:jc w:val="both"/>
      </w:pPr>
      <w:r>
        <w:t>What can be said without that extraction is structural rather than numeric: this project's own methodological choices, natural-distribution test evaluation, multi-seed repetition before selecting a strategy, and a validation-only threshold selection with the test set held out until applied once, were each a deliberate response to a specific, named weakness in how the wider literature evaluates and reports intrusion-detection performance (Fact Finding, Evaluation practice and its problems). That positions the 0.9721 figure less as a claim to have exceeded the field on a single number, and more as a claim that it was arrived at by a comparatively conservative and disclosed evaluation procedure, a distinction the literature review argues is often obscured rather than a distinction this project invented.</w:t>
      </w:r>
    </w:p>
    <w:p>
      <w:pPr>
        <w:jc w:val="both"/>
      </w:pPr>
      <w:r>
        <w:t>Catillo, Pecchia and Villano (2022) raise a further complication for any such comparison: whether a model trained and evaluated on CICIDS2017 transfers to traffic collected under different conditions. This project's evaluation, including its live-endpoint verification runs (Section: Analyst interface), draws exclusively on CICIDS2017's own held-out data; no claim is made, or can be made from this evidence, about performance against traffic from a different network, time period, or attack-tool generation. That gap is recorded explicitly in Limitations (Critical Evaluation) rather than left implicit.</w:t>
      </w:r>
    </w:p>
    <w:p>
      <w:pPr>
        <w:pStyle w:val="Heading2"/>
      </w:pPr>
      <w:r>
        <w:rPr>
          <w:rFonts w:ascii="Arial" w:hAnsi="Arial"/>
          <w:sz w:val="28"/>
        </w:rPr>
        <w:t xml:space="preserve">The model-by-strategy interaction</w:t>
      </w:r>
    </w:p>
    <w:p>
      <w:pPr>
        <w:jc w:val="both"/>
      </w:pPr>
      <w:r>
        <w:t>Class weighting improved XGBoost (+0.0128 mean macro F1 across three seeds, SD 0.0012) and degraded Random Forest (−0.0149, SD 0.0020); the direction held on every seed for both families, and the effect size is roughly ten times the seed-to-seed variance, ruling out chance as the explanation. The proposed mechanism is architectural: Random Forest applies class weights at node-impurity level, so at a 1,075:1 imbalance each Bots sample effectively carries around 1,075x weight, letting individual trees claim large regions of feature space from only 1,559 real training samples; XGBoost applies weights to gradient contributions inside a regularised, depth-limited boosted ensemble, which constrains the same effect rather than amplifying it.</w:t>
      </w:r>
    </w:p>
    <w:p>
      <w:pPr>
        <w:jc w:val="both"/>
      </w:pPr>
      <w:r>
        <w:t>The practical implication is methodological rather than purely empirical: a single imbalance-handling technique validated on a single model architecture cannot be assumed to generalise to a different one, and a study, or a project, reporting one technique on one model risks presenting an architecture-specific result as a general finding. It also explains a mistake this project made and corrected in the process — E1's early per-class table reported XGBoost only, and a Random Forest figure quoted against it in E2 turned out, once E3 measured both families properly across seeds, to have been misattributed. The strategy could not be selected responsibly from a single model's results; it needed testing against both architectures before either could be adopted.</w:t>
      </w:r>
    </w:p>
    <w:p>
      <w:pPr>
        <w:pStyle w:val="Heading2"/>
      </w:pPr>
      <w:r>
        <w:rPr>
          <w:rFonts w:ascii="Arial" w:hAnsi="Arial"/>
          <w:sz w:val="28"/>
        </w:rPr>
        <w:t xml:space="preserve">The data-scarcity ceiling</w:t>
      </w:r>
    </w:p>
    <w:p>
      <w:pPr>
        <w:jc w:val="both"/>
      </w:pPr>
      <w:r>
        <w:t>Across the full E4 threshold sweep, no operating point reached Bots precision of 0.90 or above; the selected optimum sat at the edge of the grid searched (t=0.99), with Bots F1 still rising at that boundary rather than having peaked and turned down within the range tested. With only 1,559 real Bots training samples against 2,095,057 Normal Traffic flows, this reads as a ceiling imposed by data availability rather than by tuning effort: no decision rule applied after training can manufacture discriminating signal that was never present in the training distribution in the first place.</w:t>
      </w:r>
    </w:p>
    <w:p>
      <w:pPr>
        <w:jc w:val="both"/>
      </w:pPr>
      <w:r>
        <w:t>This reframes what further improvement along the same axis is realistically available. Threshold tuning bought a real, measured gain — a 10.4% relative precision improvement at an acceptable recall cost — but that gain came from redrawing the decision boundary the model had already learned, not from teaching it anything new, and the ceiling suggests little further headroom remains on that path. The more promising direction, noted as a recommendation, is additional or different signal: features capturing payload or behavioural properties rather than purely rate-independent timing and size statistics, which more training data alone would not supply if the underlying features simply do not separate Bots traffic from Normal Traffic more cleanly than they currently do.</w:t>
      </w:r>
    </w:p>
    <w:p>
      <w:pPr>
        <w:pStyle w:val="Heading2"/>
      </w:pPr>
      <w:r>
        <w:rPr>
          <w:rFonts w:ascii="Arial" w:hAnsi="Arial"/>
          <w:sz w:val="28"/>
        </w:rPr>
        <w:t xml:space="preserve">Security controls: what was verified and what was not</w:t>
      </w:r>
    </w:p>
    <w:p>
      <w:pPr>
        <w:jc w:val="both"/>
      </w:pPr>
      <w:r>
        <w:t>Several controls were verified by test rather than merely asserted. The endpoint rejects unauthenticated requests (unsigned 403, signed 200); the inference function has no route to the public internet and operates correctly regardless, with no internet gateway and no NAT gateway present; egress is restricted to the S3 prefix list on port 443, not the unrestricted outbound access AWS provisions by default; and the ONNX conversion is behaviourally verified against the source model, not assumed — maximum probability difference 2.384e-07 and exact label agreement across 5,000 samples — with the export pipeline itself refusing to produce an artefact if that check fails.</w:t>
      </w:r>
    </w:p>
    <w:p>
      <w:pPr>
        <w:jc w:val="both"/>
      </w:pPr>
      <w:r>
        <w:t>Other parts of the same posture were not fully closed out, and are set out here rather than glossed over. The execution role's own inline grant is correctly scoped to a single read-only S3 prefix, but the role also carries two AWS managed policies, for baseline Lambda logging and VPC networking, whose actions are granted on Resource: * — a known over-permission, identified as further hardening work rather than remediated in this iteration. Three EC2 Describe actions used for VPC networking cannot be resource-scoped at all under the current AWS permission model, a platform limitation rather than a design choice, and remain wildcarded. No per-caller rate limiting sits in front of the endpoint, a direct consequence of choosing a free Function URL over a metered API Gateway; Lambda reserved concurrency caps total throughput but cannot discriminate between individual callers.</w:t>
      </w:r>
    </w:p>
    <w:p>
      <w:pPr>
        <w:jc w:val="both"/>
      </w:pPr>
      <w:r>
        <w:t>The consistent pattern across this posture is that every control verifiable cheaply and directly — an HTTP response code, a probability delta, a log line — was verified, while every control that would have required ongoing operational cost (WAF, per-caller throttling) or a capability AWS itself does not expose (resource-scoped EC2 Describe) was instead recorded as an accepted, bounded risk. That is a defensible trade-off for a free-tier academic deployment, but it is a distinct claim from “secure,” and the project's own documentation maintains that distinction explicitly rather than collapsing it into a single verified label.</w:t>
      </w:r>
    </w:p>
    <w:p>
      <w:pPr>
        <w:pStyle w:val="Heading2"/>
      </w:pPr>
      <w:r>
        <w:rPr>
          <w:rFonts w:ascii="Arial" w:hAnsi="Arial"/>
          <w:sz w:val="28"/>
        </w:rPr>
        <w:t xml:space="preserve">Evasion and the limits of infrastructure security</w:t>
      </w:r>
    </w:p>
    <w:p>
      <w:pPr>
        <w:jc w:val="both"/>
      </w:pPr>
      <w:r>
        <w:t>Every infrastructure-level control examined above holds under test: the network is genuinely unreachable from the internet, the identity boundary genuinely rejects unsigned requests, the model file is genuinely resistant to tampering by a compromised execution role. None of that protects the decision boundary the model itself draws. E5 and E6 establish that for five of six attack classes, an attacker manipulating only the features a real attacker can actually control — packet timing and forward-direction sizing, nothing the victim or the network protocol fixes — can flip the model's prediction to benign, and in the fully physically-realistic case (E6) at a typical cost of only a 1–15x slowdown and no exploit of any kind.</w:t>
      </w:r>
    </w:p>
    <w:p>
      <w:pPr>
        <w:jc w:val="both"/>
      </w:pPr>
      <w:r>
        <w:t>This is the practical content of the claim that infrastructure security and model security are separate problems: a system can pass every test recorded in the previous section and still be defeated entirely by an adversary who never touches the infrastructure, because the attack surface here is the statistical decision boundary rather than the network or the API. It also reframes what the project's headline number represents. Macro F1 0.9721 measures performance against traffic drawn from the same distribution the model was trained and tested on; it says nothing about performance against traffic deliberately constructed to sit just across that boundary — precisely the traffic a competent attacker would send. The evasion experiments do not contradict the detection result; they answer a different question the detection result was never designed to answer, and the gap between the two is the project's central methodological argument. Verifying infrastructure security and verifying model robustness are distinct exercises, and an evaluation reporting only the former has not actually assessed whether the system resists attack — only whether it resists intrusion into its own hosting.</w:t>
      </w:r>
    </w:p>
    <w:p>
      <w:pPr>
        <w:pStyle w:val="Heading2"/>
      </w:pPr>
      <w:r>
        <w:rPr>
          <w:rFonts w:ascii="Arial" w:hAnsi="Arial"/>
          <w:sz w:val="28"/>
        </w:rPr>
        <w:t xml:space="preserve">Reflection on the project process</w:t>
      </w:r>
    </w:p>
    <w:p>
      <w:pPr>
        <w:jc w:val="both"/>
      </w:pPr>
      <w:r>
        <w:t>The build order held up as intended — model, then infrastructure, then interface, then threat model against the concrete system — but not without friction. The console-versus-CLI reliability problem (Section: Development methodology) was the most costly single incident of the build. What makes it a useful data point for evaluating the process, rather than just a build hiccup, is how quickly it generalised: caught once, it changed practice for every AWS resource created afterward, instead of being silently repeated at each later stage.</w:t>
      </w:r>
    </w:p>
    <w:p>
      <w:pPr>
        <w:jc w:val="both"/>
      </w:pPr>
      <w:r>
        <w:t>Environment issues were the second recurring cost. An Apple M1 development machine reporting x86_64 under Rosetta 2 (Homebrew paths, architecture detection) was a known source of build mismatch until diagnosed, and a missing macOS OpenMP runtime blocked XGBoost entirely until libomp was installed and force-linked. Both were resolved quickly once identified, but each cost debugging time a Linux-native environment would not have. The scope change from a container image to ONNX for the Lambda package was a deliberate, justified revision, not a silent one: a pickled model would have required bundling scikit-learn and xgboost, roughly 300MB, over Lambda's zip limit without a container, while ONNX cut that to roughly 15MB and simultaneously removed pickle's arbitrary-code-execution surface — a security improvement that fell out of a packaging constraint rather than being pursued for its own sake, itself worth noting as a case where a cost decision and a security decision happened to point the same way.</w:t>
      </w:r>
    </w:p>
    <w:p>
      <w:pPr>
        <w:jc w:val="both"/>
      </w:pPr>
      <w:r>
        <w:t>Threat-modelling after building rather than before was a deliberate ordering decision that paid off in one respect — STRIDE was applied against a real, inspectable architecture rather than a diagram of intentions — but it has a real cost too: every threat identified late in the process, evasion chief among them, required retrofitting a test rather than shaping the design from the outset. A security-by-design process, threat-modelling before building, would have surfaced the evasion question before a single line of deployment code was written, not eight months into the project.</w:t>
      </w:r>
    </w:p>
    <w:p>
      <w:pPr>
        <w:pStyle w:val="Heading2"/>
      </w:pPr>
      <w:r>
        <w:rPr>
          <w:rFonts w:ascii="Arial" w:hAnsi="Arial"/>
          <w:sz w:val="28"/>
        </w:rPr>
        <w:t xml:space="preserve">Limitations</w:t>
      </w:r>
    </w:p>
    <w:p>
      <w:pPr>
        <w:jc w:val="both"/>
      </w:pPr>
      <w:r>
        <w:t>CICIDS2017, though a widely used benchmark, carries documented label noise reported in the literature and reflects attack traffic patterns from its collection period rather than current adversary behaviour; a model validated against it is validated against a dataset, not against the present threat landscape. The E4 decision threshold was selected on a single seed (42); E3's variance estimates across three seeds suggest the macro F1 impact of reseeding is small, but threshold stability itself was never directly tested across seeds, so the specific t=0.99 figure carries some unquantified uncertainty.</w:t>
      </w:r>
    </w:p>
    <w:p>
      <w:pPr>
        <w:jc w:val="both"/>
      </w:pPr>
      <w:r>
        <w:t>The adversarial evaluation, even in its more conservative E6 form, is a feature-space attack: it manipulates the numeric flow features the model consumes, not the raw packets an attacker would have to construct and transmit through a real network stack to produce those features. A full problem-space attack — generating and sending real traffic and confirming the resulting flow features evade detection — was not attempted, so the E5/E6 figures should be read as a lower bound on how easy evasion is in principle, not as a demonstrated field exploit. The analyst console is hosted locally by design, which avoids a genuine security flaw but also means the artefact as built is a single-analyst tool: multi-user access, audit logging of analyst actions, and role separation were out of scope. Finally, the project's cost-bounded design choices were appropriate for an academic deployment operating inside a free-tier credit, but several of the resulting gaps, no rate limiting chief among them, would need to be revisited before the same architecture could be defended as production-ready.</w:t>
      </w:r>
    </w:p>
    <w:p>
      <w:r>
        <w:br w:type="page"/>
      </w:r>
    </w:p>
    <w:p>
      <w:pPr>
        <w:pStyle w:val="Heading1"/>
      </w:pPr>
      <w:r>
        <w:rPr>
          <w:rFonts w:ascii="Arial" w:hAnsi="Arial"/>
          <w:sz w:val="32"/>
        </w:rPr>
        <w:t xml:space="preserve">Ethics, Sustainability and Social Responsibility</w:t>
      </w:r>
    </w:p>
    <w:p>
      <w:pPr>
        <w:pStyle w:val="Heading2"/>
      </w:pPr>
      <w:r>
        <w:rPr>
          <w:rFonts w:ascii="Arial" w:hAnsi="Arial"/>
          <w:sz w:val="28"/>
        </w:rPr>
        <w:t xml:space="preserve">Research ethics</w:t>
      </w:r>
    </w:p>
    <w:p>
      <w:pPr>
        <w:jc w:val="both"/>
      </w:pPr>
      <w:r>
        <w:t>CICIDS2017 is a public, pre-existing, fully anonymised network-traffic dataset published by the Canadian Institute for Cybersecurity, University of New Brunswick. The project collected no data of its own, involved no human participants, and processed no personal data: flows are labelled by traffic-generation scenario (attack type), not by identity, and no field in the dataset identifies a real individual or organisation. As a secondary-data study with no human subjects, this fell into the university's lowest ethics-review category. [Insert the specific ethics approval reference and date once confirmed against the Arden Ethics Portal record.]</w:t>
      </w:r>
    </w:p>
    <w:p>
      <w:pPr>
        <w:pStyle w:val="Heading2"/>
      </w:pPr>
      <w:r>
        <w:rPr>
          <w:rFonts w:ascii="Arial" w:hAnsi="Arial"/>
          <w:sz w:val="28"/>
        </w:rPr>
        <w:t xml:space="preserve">False positives as harm</w:t>
      </w:r>
    </w:p>
    <w:p>
      <w:pPr>
        <w:jc w:val="both"/>
      </w:pPr>
      <w:r>
        <w:t>Every false positive is analyst time spent on a non-event, and at the deployed operating point the system still raises 127 false Bots alerts per roughly 504,000 flows, with smaller but nonzero false-positive rates on other classes. In an operational security-operations setting this is not a neutral cost: a high false-positive rate is a documented driver of alert fatigue, where analysts deprioritise or ignore alerts altogether, which would silently reintroduce the very risk detection was meant to reduce. There is also a wrongful-attribution dimension specific to the Bots and Brute Force classes: an alert naming a source as compromised or malicious, if acted on operationally before analyst confirmation, could misattribute intent to traffic that merely resembled an attack pattern statistically. The threshold tuning in E4 was explicitly a response to this cost, trading recall for precision because a wasted investigation was judged more costly than a marginally higher miss rate on an already-difficult class — a deployment-context judgement, not a purely modelling one.</w:t>
      </w:r>
    </w:p>
    <w:p>
      <w:pPr>
        <w:pStyle w:val="Heading2"/>
      </w:pPr>
      <w:r>
        <w:rPr>
          <w:rFonts w:ascii="Arial" w:hAnsi="Arial"/>
          <w:sz w:val="28"/>
        </w:rPr>
        <w:t xml:space="preserve">Dual use</w:t>
      </w:r>
    </w:p>
    <w:p>
      <w:pPr>
        <w:jc w:val="both"/>
      </w:pPr>
      <w:r>
        <w:t>Publishing per-class performance is a research-honesty requirement, and the same table that shows where a detector is strong necessarily shows where it is weak: Bots precision at 0.742, and the E5/E6 evasion results in far sharper detail, amount to a map of the model's blind spots. That information is unavoidable in an honest evaluation — withholding it would misrepresent the system's actual performance — but it is also directly useful to an attacker deciding which attack class, or which manipulation, to prefer against a system built this way. This project did not withhold the results to manage that risk, on the view that an evaluation whose weaknesses are undisclosed is not a credible evaluation; the available mitigation is operational, such as the confidence-floor triage recommended from the live console results, rather than a disclosure decision.</w:t>
      </w:r>
    </w:p>
    <w:p>
      <w:pPr>
        <w:pStyle w:val="Heading2"/>
      </w:pPr>
      <w:r>
        <w:rPr>
          <w:rFonts w:ascii="Arial" w:hAnsi="Arial"/>
          <w:sz w:val="28"/>
        </w:rPr>
        <w:t xml:space="preserve">Sustainability</w:t>
      </w:r>
    </w:p>
    <w:p>
      <w:pPr>
        <w:jc w:val="both"/>
      </w:pPr>
      <w:r>
        <w:t>Training cost was modest and one-off: the final class-weighted XGBoost configuration trained in under two minutes on standard hardware, and the ONNX-converted artefact adds no retraining cost to each inference thereafter. The deployment architecture minimises standing compute independent of any sustainability framing: Lambda runs only per-request rather than as a persistent server, and the VPC uses a gateway endpoint rather than a NAT gateway or any other always-on network appliance, so there is no idle compute drawing power between invocations. Measured cold-start (649–681ms) and invocation (roughly 620ms) durations at 187MB of a 1024MB allocation suggest the memory allocation has headroom to be reduced further, which would lower per-invocation energy draw at a modest latency cost — noted as further work rather than resolved here.</w:t>
      </w:r>
    </w:p>
    <w:p>
      <w:pPr>
        <w:pStyle w:val="Heading2"/>
      </w:pPr>
      <w:r>
        <w:rPr>
          <w:rFonts w:ascii="Arial" w:hAnsi="Arial"/>
          <w:sz w:val="28"/>
        </w:rPr>
        <w:t xml:space="preserve">Global and regulatory context</w:t>
      </w:r>
    </w:p>
    <w:p>
      <w:pPr>
        <w:jc w:val="both"/>
      </w:pPr>
      <w:r>
        <w:t>The AWS region selected, eu-central-1 (Frankfurt), keeps all project data — the model artefact, CloudWatch logs, and any traffic submitted for inference — within the EU, consistent with data-residency expectations for a project developed from a UK/EU context. No personal data is processed by the pipeline itself (network flow statistics, not payload content or identifiable subjects), which limits GDPR's direct applicability here, but the broader regulatory direction — the EU AI Act's risk-based obligations for automated decision systems, and growing scrutiny of automated security tooling capable of triggering operational actions without human review — is directly relevant to any future extension of this system. The console's design, presenting detections for analyst confirmation rather than acting on them automatically, is consistent with that direction, though this followed from the local-hosting decision rather than being a deliberate regulatory response.</w:t>
      </w:r>
    </w:p>
    <w:p>
      <w:r>
        <w:br w:type="page"/>
      </w:r>
    </w:p>
    <w:p>
      <w:pPr>
        <w:pStyle w:val="Heading1"/>
      </w:pPr>
      <w:r>
        <w:rPr>
          <w:rFonts w:ascii="Arial" w:hAnsi="Arial"/>
          <w:sz w:val="32"/>
        </w:rPr>
        <w:t xml:space="preserve">Conclusion</w:t>
      </w:r>
    </w:p>
    <w:p>
      <w:pPr>
        <w:pStyle w:val="Heading2"/>
      </w:pPr>
      <w:r>
        <w:rPr>
          <w:rFonts w:ascii="Arial" w:hAnsi="Arial"/>
          <w:sz w:val="28"/>
        </w:rPr>
        <w:t xml:space="preserve">Summary of findings</w:t>
      </w:r>
    </w:p>
    <w:p>
      <w:pPr>
        <w:jc w:val="both"/>
      </w:pPr>
      <w:r>
        <w:t>The project built, deployed, and evaluated a cloud-native network intrusion detection system, and treated the deployment itself as a security-relevant artefact rather than incidental infrastructure. On detection, XGBoost with class weighting and a validation-tuned decision threshold reached macro F1 0.9721 across seven traffic classes, selected through four controlled experiments rather than by choosing a single favoured algorithm; the underlying methodological finding — that an imbalance-handling technique's effect is not model-agnostic, helping XGBoost and harming Random Forest consistently across seeds — is a result about method, not only about this dataset.</w:t>
      </w:r>
    </w:p>
    <w:p>
      <w:pPr>
        <w:jc w:val="both"/>
      </w:pPr>
      <w:r>
        <w:t>On deployment, every infrastructure-level security control tested — authentication, network isolation, egress restriction, least-privilege data access, a tamper-resistant model format — verified as intended, at zero additional latency and, through the gateway-endpoint and Function URL choices specifically, zero additional cost over a public deployment. On adversarial robustness, E5 and E6 closed what the STRIDE threat model had recorded as an untested High-severity risk, and confirmed it as real: under attacker-realistic constraints, five of six attack classes remain majority-evadable through cheap, no-exploit manipulation of packet timing and size, at a typical attacker cost of a 1–15x slowdown. Read together, the two halves of the project support one central claim: infrastructure security and model security are separate problems, verified by separate means, and a system that passes every test of the first can still fail completely at the second.</w:t>
      </w:r>
    </w:p>
    <w:p>
      <w:pPr>
        <w:pStyle w:val="Heading2"/>
      </w:pPr>
      <w:r>
        <w:rPr>
          <w:rFonts w:ascii="Arial" w:hAnsi="Arial"/>
          <w:sz w:val="28"/>
        </w:rPr>
        <w:t xml:space="preserve">Recommendations</w:t>
      </w:r>
    </w:p>
    <w:p>
      <w:pPr>
        <w:jc w:val="both"/>
      </w:pPr>
      <w:r>
        <w:t>Two changes follow directly from the evidence gathered. First, for the attack classes whose detection depends heavily on timing statistics an attacker can cheaply manipulate, detection should incorporate features that are harder to disguise without breaking the attack's function — payload or behavioural properties rather than purely rate-independent timing and size statistics — since E6 showed timing manipulation alone evades several classes almost completely. Second, the confidence-floor triage identified from the live console run — routing predictions below a set confidence threshold to manual analyst review rather than trusting model output outright — is a low-cost operational change directly supported by evidence: the one live misclassification observed returned 0.227 confidence against a 0.9999 average for correct predictions, meaning the model was not confidently wrong and a floor would have caught it without retraining or redesign.</w:t>
      </w:r>
    </w:p>
    <w:p>
      <w:pPr>
        <w:jc w:val="both"/>
      </w:pPr>
      <w:r>
        <w:t>A third, smaller recommendation follows from the security evaluation: the two AWS managed policies still attached to the execution role with Resource: * actions should be replaced with scoped inline equivalents, closing the one identified over-permission that current AWS tooling makes straightforward to fix.</w:t>
      </w:r>
    </w:p>
    <w:p>
      <w:pPr>
        <w:pStyle w:val="Heading2"/>
      </w:pPr>
      <w:r>
        <w:rPr>
          <w:rFonts w:ascii="Arial" w:hAnsi="Arial"/>
          <w:sz w:val="28"/>
        </w:rPr>
        <w:t xml:space="preserve">Further work</w:t>
      </w:r>
    </w:p>
    <w:p>
      <w:pPr>
        <w:jc w:val="both"/>
      </w:pPr>
      <w:r>
        <w:t>Several limitations recorded honestly through the project point to specific next steps. Probability calibration (Platt scaling or isotonic regression) is directly motivated by E4's finding that the Bots threshold optimum sat at the edge of the grid searched, suggesting the model's raw probabilities for that class may not be well-calibrated; calibrating first could change how much threshold tuning is even needed. Per-class thresholds, tested here only for Bots, could plausibly recover some of the precision lost on other lower-support classes without a full retrain. On the deployment side, measuring the latency-versus-memory curve directly, since the deployed function currently uses only 187MB of a 1024MB allocation, would allow memory to be right-sized rather than left at a round default, with both cost and sustainability benefits.</w:t>
      </w:r>
    </w:p>
    <w:p>
      <w:pPr>
        <w:jc w:val="both"/>
      </w:pPr>
      <w:r>
        <w:t>On security, the remaining wildcarded EC2 Describe actions should be revisited if AWS extends resource-level scoping to those API calls, and rate limiting should be reconsidered if the project ever moves beyond the free-tier cost constraint that ruled out API Gateway here. Most importantly, the adversarial evaluation in this project was feature-space only: the natural extension is a full problem-space attack, constructing and transmitting real network traffic engineered to produce the evasive feature values E5 and E6 identified, and confirming detection genuinely fails against real packets rather than against their extracted statistics — converting this project's lower-bound evasion estimate into a demonstrated field result. Finally, validating the whole pipeline against a more recent traffic dataset would test whether the findings here, particularly the model-by-strategy interaction and the evasion vulnerability, are properties of this architecture generally or artefacts of CICIDS2017's now-dated attack patterns specifically.</w:t>
      </w:r>
    </w:p>
    <w:p>
      <w:r>
        <w:br w:type="page"/>
      </w:r>
    </w:p>
    <w:p>
      <w:pPr>
        <w:pStyle w:val="Heading1"/>
      </w:pPr>
      <w:r>
        <w:rPr>
          <w:rFonts w:ascii="Arial" w:hAnsi="Arial"/>
          <w:sz w:val="32"/>
        </w:rPr>
        <w:t xml:space="preserve">References</w:t>
      </w:r>
    </w:p>
    <w:p>
      <w:pPr>
        <w:jc w:val="both"/>
      </w:pPr>
      <w:r>
        <w:rPr>
          <w:i w:val="0"/>
        </w:rPr>
        <w:t>Apruzzese, G., Andreolini, M., Ferretti, L., Marchetti, M. and Colajanni, M. (2021) 'Modeling realistic adversarial attacks against network intrusion detection systems'. arXiv:2106.09380.</w:t>
      </w:r>
    </w:p>
    <w:p>
      <w:pPr>
        <w:jc w:val="both"/>
      </w:pPr>
      <w:r>
        <w:rPr>
          <w:i w:val="0"/>
        </w:rPr>
        <w:t xml:space="preserve">Carlini, N. and Wagner, D. (2017) 'Towards evaluating the robustness of neural networks', in </w:t>
      </w:r>
      <w:r>
        <w:rPr>
          <w:i/>
        </w:rPr>
        <w:t>2017 IEEE Symposium on Security and Privacy (SP)</w:t>
      </w:r>
      <w:r>
        <w:rPr>
          <w:i w:val="0"/>
        </w:rPr>
        <w:t>. IEEE, pp. 39–57.</w:t>
      </w:r>
    </w:p>
    <w:p>
      <w:pPr>
        <w:jc w:val="both"/>
      </w:pPr>
      <w:r>
        <w:rPr>
          <w:i w:val="0"/>
        </w:rPr>
        <w:t xml:space="preserve">Catillo, M., Pecchia, A. and Villano, U. (2022) 'Transferability of machine learning models learned from public intrusion detection datasets: the CICIDS2017 case study', </w:t>
      </w:r>
      <w:r>
        <w:rPr>
          <w:i/>
        </w:rPr>
        <w:t>Software Quality Journal</w:t>
      </w:r>
      <w:r>
        <w:rPr>
          <w:i w:val="0"/>
        </w:rPr>
        <w:t>, 30, pp. 955–981.</w:t>
      </w:r>
    </w:p>
    <w:p>
      <w:pPr>
        <w:jc w:val="both"/>
      </w:pPr>
      <w:r>
        <w:rPr>
          <w:i w:val="0"/>
        </w:rPr>
        <w:t xml:space="preserve">Catillo, M., Pecchia, A. and Villano, U. (2023) 'A case study with CICIDS2017 on the robustness of machine learning against adversarial attacks in intrusion detection', in </w:t>
      </w:r>
      <w:r>
        <w:rPr>
          <w:i/>
        </w:rPr>
        <w:t>Proceedings of the 18th International Conference on Availability, Reliability and Security (ARES 2023)</w:t>
      </w:r>
      <w:r>
        <w:rPr>
          <w:i w:val="0"/>
        </w:rPr>
        <w:t>. New York: ACM. doi:10.1145/3600160.3605031.</w:t>
      </w:r>
    </w:p>
    <w:p>
      <w:pPr>
        <w:jc w:val="both"/>
      </w:pPr>
      <w:r>
        <w:rPr>
          <w:i w:val="0"/>
        </w:rPr>
        <w:t xml:space="preserve">Catillo, M., Pecchia, A. and Villano, U. (2024) 'Towards realistic problem-space adversarial attacks against machine learning in network intrusion detection', in </w:t>
      </w:r>
      <w:r>
        <w:rPr>
          <w:i/>
        </w:rPr>
        <w:t>Proceedings of the 19th International Conference on Availability, Reliability and Security (ARES 2024)</w:t>
      </w:r>
      <w:r>
        <w:rPr>
          <w:i w:val="0"/>
        </w:rPr>
        <w:t>. New York: ACM. doi:10.1145/3664476.3669974.</w:t>
      </w:r>
    </w:p>
    <w:p>
      <w:pPr>
        <w:jc w:val="both"/>
      </w:pPr>
      <w:r>
        <w:rPr>
          <w:i w:val="0"/>
        </w:rPr>
        <w:t xml:space="preserve">Chandola, V., Banerjee, A. and Kumar, V. (2009) 'Anomaly detection: a survey', </w:t>
      </w:r>
      <w:r>
        <w:rPr>
          <w:i/>
        </w:rPr>
        <w:t>ACM Computing Surveys</w:t>
      </w:r>
      <w:r>
        <w:rPr>
          <w:i w:val="0"/>
        </w:rPr>
        <w:t>, 41(3), article 15.</w:t>
      </w:r>
    </w:p>
    <w:p>
      <w:pPr>
        <w:jc w:val="both"/>
      </w:pPr>
      <w:r>
        <w:rPr>
          <w:i w:val="0"/>
        </w:rPr>
        <w:t xml:space="preserve">Chawla, N.V., Bowyer, K.W., Hall, L.O. and Kegelmeyer, W.P. (2002) 'SMOTE: synthetic minority over-sampling technique', </w:t>
      </w:r>
      <w:r>
        <w:rPr>
          <w:i/>
        </w:rPr>
        <w:t>Journal of Artificial Intelligence Research</w:t>
      </w:r>
      <w:r>
        <w:rPr>
          <w:i w:val="0"/>
        </w:rPr>
        <w:t>, 16, pp. 321–357.</w:t>
      </w:r>
    </w:p>
    <w:p>
      <w:pPr>
        <w:jc w:val="both"/>
      </w:pPr>
      <w:r>
        <w:rPr>
          <w:i w:val="0"/>
        </w:rPr>
        <w:t xml:space="preserve">Corona, I., Giacinto, G. and Roli, F. (2013) 'Adversarial attacks against intrusion detection systems: taxonomy, solutions and open issues', </w:t>
      </w:r>
      <w:r>
        <w:rPr>
          <w:i/>
        </w:rPr>
        <w:t>Information Sciences</w:t>
      </w:r>
      <w:r>
        <w:rPr>
          <w:i w:val="0"/>
        </w:rPr>
        <w:t>, 239, pp. 201–225.</w:t>
      </w:r>
    </w:p>
    <w:p>
      <w:pPr>
        <w:jc w:val="both"/>
      </w:pPr>
      <w:r>
        <w:t>Dyrmishi, S., Ghamizi, S., Simonetto, T., Le Traon, Y. and Cordy, M. (2022) 'On the empirical effectiveness of unrealistic adversarial hardening against realistic adversarial attacks'. arXiv:2202.03277.</w:t>
      </w:r>
    </w:p>
    <w:p>
      <w:pPr>
        <w:jc w:val="both"/>
      </w:pPr>
      <w:r>
        <w:rPr>
          <w:i w:val="0"/>
        </w:rPr>
        <w:t>El Shehaby, M. and Matrawy, A. (2023) 'Evasion adversarial attacks remain impractical against ML-based network intrusion detection systems, especially dynamic ones'. arXiv:2306.05494.</w:t>
      </w:r>
    </w:p>
    <w:p>
      <w:pPr>
        <w:jc w:val="both"/>
      </w:pPr>
      <w:r>
        <w:rPr>
          <w:i w:val="0"/>
        </w:rPr>
        <w:t xml:space="preserve">Engelen, G., Rimmer, V. and Joosen, W. (2021) 'Troubleshooting an intrusion detection dataset: the CICIDS2017 case study', in </w:t>
      </w:r>
      <w:r>
        <w:rPr>
          <w:i/>
        </w:rPr>
        <w:t>2021 IEEE Security and Privacy Workshops (SPW)</w:t>
      </w:r>
      <w:r>
        <w:rPr>
          <w:i w:val="0"/>
        </w:rPr>
        <w:t>. IEEE, pp. 7–12.</w:t>
      </w:r>
    </w:p>
    <w:p>
      <w:pPr>
        <w:jc w:val="both"/>
      </w:pPr>
      <w:r>
        <w:rPr>
          <w:i w:val="0"/>
        </w:rPr>
        <w:t>Goodfellow, I.J., Shlens, J. and Szegedy, C. (2015) 'Explaining and harnessing adversarial examples'. arXiv:1412.6572.</w:t>
      </w:r>
    </w:p>
    <w:p>
      <w:pPr>
        <w:jc w:val="both"/>
      </w:pPr>
      <w:r>
        <w:rPr>
          <w:i w:val="0"/>
        </w:rPr>
        <w:t xml:space="preserve">Grinsztajn, L., Oyallon, E. and Varoquaux, G. (2022) 'Why do tree-based models still outperform deep learning on typical tabular data?', in </w:t>
      </w:r>
      <w:r>
        <w:rPr>
          <w:i/>
        </w:rPr>
        <w:t>Advances in Neural Information Processing Systems 35 (NeurIPS 2022), Datasets and Benchmarks Track</w:t>
      </w:r>
      <w:r>
        <w:rPr>
          <w:i w:val="0"/>
        </w:rPr>
        <w:t>.</w:t>
      </w:r>
    </w:p>
    <w:p>
      <w:pPr>
        <w:jc w:val="both"/>
      </w:pPr>
      <w:r>
        <w:rPr>
          <w:i w:val="0"/>
        </w:rPr>
        <w:t xml:space="preserve">Kurakin, A., Goodfellow, I. and Bengio, S. (2017) 'Adversarial machine learning at scale', in </w:t>
      </w:r>
      <w:r>
        <w:rPr>
          <w:i/>
        </w:rPr>
        <w:t>International Conference on Learning Representations (ICLR 2017)</w:t>
      </w:r>
      <w:r>
        <w:rPr>
          <w:i w:val="0"/>
        </w:rPr>
        <w:t>.</w:t>
      </w:r>
    </w:p>
    <w:p>
      <w:pPr>
        <w:jc w:val="both"/>
      </w:pPr>
      <w:r>
        <w:rPr>
          <w:i w:val="0"/>
        </w:rPr>
        <w:t xml:space="preserve">Maseer, Z.K., Yusof, R., Bahaman, N., Mostafa, S.A. and Foozy, C.F.M. (2021) 'Benchmarking of machine learning for anomaly based intrusion detection systems in the CICIDS2017 dataset', </w:t>
      </w:r>
      <w:r>
        <w:rPr>
          <w:i/>
        </w:rPr>
        <w:t>IEEE Access</w:t>
      </w:r>
      <w:r>
        <w:rPr>
          <w:i w:val="0"/>
        </w:rPr>
        <w:t>, 9, pp. 22351–22370.</w:t>
      </w:r>
    </w:p>
    <w:p>
      <w:pPr>
        <w:jc w:val="both"/>
      </w:pPr>
      <w:r>
        <w:rPr>
          <w:i w:val="0"/>
        </w:rPr>
        <w:t xml:space="preserve">Mauri, L. and Damiani, E. (2022) 'Modeling threats to AI-ML systems using STRIDE', </w:t>
      </w:r>
      <w:r>
        <w:rPr>
          <w:i/>
        </w:rPr>
        <w:t>Sensors</w:t>
      </w:r>
      <w:r>
        <w:rPr>
          <w:i w:val="0"/>
        </w:rPr>
        <w:t>, 22(17), article 6662.</w:t>
      </w:r>
    </w:p>
    <w:p>
      <w:pPr>
        <w:jc w:val="both"/>
      </w:pPr>
      <w:r>
        <w:rPr>
          <w:i w:val="0"/>
        </w:rPr>
        <w:t xml:space="preserve">Mishra, P., Varadharajan, V., Tupakula, U. and Pilli, E.S. (2019) 'A detailed investigation and analysis of using machine learning techniques for intrusion detection', </w:t>
      </w:r>
      <w:r>
        <w:rPr>
          <w:i/>
        </w:rPr>
        <w:t>IEEE Communications Surveys &amp; Tutorials</w:t>
      </w:r>
      <w:r>
        <w:rPr>
          <w:i w:val="0"/>
        </w:rPr>
        <w:t>, 21(1), pp. 686–728.</w:t>
      </w:r>
    </w:p>
    <w:p>
      <w:pPr>
        <w:jc w:val="both"/>
      </w:pPr>
      <w:r>
        <w:rPr>
          <w:i w:val="0"/>
        </w:rPr>
        <w:t xml:space="preserve">MITRE (no date) </w:t>
      </w:r>
      <w:r>
        <w:rPr>
          <w:i/>
        </w:rPr>
        <w:t>ATLAS: Adversarial Threat Landscape for Artificial-Intelligence Systems</w:t>
      </w:r>
      <w:r>
        <w:rPr>
          <w:i w:val="0"/>
        </w:rPr>
        <w:t>. Available at: https://atlas.mitre.org/ (Accessed: 4 September 2026).</w:t>
      </w:r>
    </w:p>
    <w:p>
      <w:pPr>
        <w:jc w:val="both"/>
      </w:pPr>
      <w:r>
        <w:rPr>
          <w:i w:val="0"/>
        </w:rPr>
        <w:t xml:space="preserve">Moosavi-Dezfooli, S.-M., Fawzi, A. and Frossard, P. (2016) 'DeepFool: a simple and accurate method to fool deep neural networks', in </w:t>
      </w:r>
      <w:r>
        <w:rPr>
          <w:i/>
        </w:rPr>
        <w:t>2016 IEEE Conference on Computer Vision and Pattern Recognition (CVPR)</w:t>
      </w:r>
      <w:r>
        <w:rPr>
          <w:i w:val="0"/>
        </w:rPr>
        <w:t>. IEEE, pp. 2574–2582.</w:t>
      </w:r>
    </w:p>
    <w:p>
      <w:pPr>
        <w:jc w:val="both"/>
      </w:pPr>
      <w:r>
        <w:rPr>
          <w:i w:val="0"/>
        </w:rPr>
        <w:t xml:space="preserve">National Institute of Standards and Technology (2020) </w:t>
      </w:r>
      <w:r>
        <w:rPr>
          <w:i/>
        </w:rPr>
        <w:t>Zero Trust Architecture</w:t>
      </w:r>
      <w:r>
        <w:rPr>
          <w:i w:val="0"/>
        </w:rPr>
        <w:t>. NIST Special Publication 800-207. Gaithersburg, MD: NIST. doi:10.6028/NIST.SP.800-207.</w:t>
      </w:r>
    </w:p>
    <w:p>
      <w:pPr>
        <w:jc w:val="both"/>
      </w:pPr>
      <w:r>
        <w:rPr>
          <w:i w:val="0"/>
        </w:rPr>
        <w:t xml:space="preserve">OWASP (no date) </w:t>
      </w:r>
      <w:r>
        <w:rPr>
          <w:i/>
        </w:rPr>
        <w:t>Serverless (FaaS) Security Cheat Sheet</w:t>
      </w:r>
      <w:r>
        <w:rPr>
          <w:i w:val="0"/>
        </w:rPr>
        <w:t>. Available at: https://cheatsheetseries.owasp.org/cheatsheets/Serverless_FaaS_Security_Cheat_Sheet.html (Accessed: 4 September 2026).</w:t>
      </w:r>
    </w:p>
    <w:p>
      <w:pPr>
        <w:jc w:val="both"/>
      </w:pPr>
      <w:r>
        <w:rPr>
          <w:i w:val="0"/>
        </w:rPr>
        <w:t xml:space="preserve">Papernot, N., McDaniel, P., Jha, S., Fredrikson, M., Celik, Z.B. and Swami, A. (2016) 'The limitations of deep learning in adversarial settings', in </w:t>
      </w:r>
      <w:r>
        <w:rPr>
          <w:i/>
        </w:rPr>
        <w:t>2016 IEEE European Symposium on Security and Privacy (EuroS&amp;P)</w:t>
      </w:r>
      <w:r>
        <w:rPr>
          <w:i w:val="0"/>
        </w:rPr>
        <w:t>. IEEE, pp. 372–387.</w:t>
      </w:r>
    </w:p>
    <w:p>
      <w:pPr>
        <w:jc w:val="both"/>
      </w:pPr>
      <w:r>
        <w:rPr>
          <w:i w:val="0"/>
        </w:rPr>
        <w:t xml:space="preserve">Sharafaldin, I., Lashkari, A.H. and Ghorbani, A.A. (2018) 'Toward generating a new intrusion detection dataset and intrusion traffic characterization', in </w:t>
      </w:r>
      <w:r>
        <w:rPr>
          <w:i/>
        </w:rPr>
        <w:t>Proceedings of the 4th International Conference on Information Systems Security and Privacy (ICISSP 2018)</w:t>
      </w:r>
      <w:r>
        <w:rPr>
          <w:i w:val="0"/>
        </w:rPr>
        <w:t>. Funchal: SciTePress, pp. 108–116.</w:t>
      </w:r>
    </w:p>
    <w:p>
      <w:pPr>
        <w:jc w:val="both"/>
      </w:pPr>
      <w:r>
        <w:rPr>
          <w:i w:val="0"/>
        </w:rPr>
        <w:t xml:space="preserve">Sheatsley, R., Hoak, B., Pauley, E., Beugin, Y., Weisman, M.J. and McDaniel, P. (2021) 'On the robustness of domain constraints', in </w:t>
      </w:r>
      <w:r>
        <w:rPr>
          <w:i/>
        </w:rPr>
        <w:t>Proceedings of the 2021 ACM SIGSAC Conference on Computer and Communications Security (CCS '21)</w:t>
      </w:r>
      <w:r>
        <w:rPr>
          <w:i w:val="0"/>
        </w:rPr>
        <w:t>. New York: ACM, pp. 495–515.</w:t>
      </w:r>
    </w:p>
    <w:p>
      <w:pPr>
        <w:jc w:val="both"/>
      </w:pPr>
      <w:r>
        <w:rPr>
          <w:i w:val="0"/>
        </w:rPr>
        <w:t xml:space="preserve">Shostack, A. (2014) </w:t>
      </w:r>
      <w:r>
        <w:rPr>
          <w:i/>
        </w:rPr>
        <w:t>Threat Modeling: Designing for Security</w:t>
      </w:r>
      <w:r>
        <w:rPr>
          <w:i w:val="0"/>
        </w:rPr>
        <w:t>. Indianapolis, IN: Wiley.</w:t>
      </w:r>
    </w:p>
    <w:p>
      <w:pPr>
        <w:jc w:val="both"/>
      </w:pPr>
      <w:r>
        <w:rPr>
          <w:i w:val="0"/>
        </w:rPr>
        <w:t>Szegedy, C., Zaremba, W., Sutskever, I., Bruna, J., Erhan, D., Goodfellow, I. and Fergus, R. (2013) 'Intriguing properties of neural networks'. arXiv:1312.6199.</w:t>
      </w:r>
    </w:p>
    <w:p>
      <w:pPr>
        <w:jc w:val="both"/>
      </w:pPr>
      <w:r>
        <w:rPr>
          <w:i w:val="0"/>
        </w:rPr>
        <w:t xml:space="preserve">Teuffenbach, M., Piatkowska, E. and Smith, P. (2020) 'Subverting network intrusion detection: crafting adversarial examples accounting for domain-specific constraints', in </w:t>
      </w:r>
      <w:r>
        <w:rPr>
          <w:i/>
        </w:rPr>
        <w:t>Machine Learning and Knowledge Extraction (CD-MAKE 2020)</w:t>
      </w:r>
      <w:r>
        <w:rPr>
          <w:i w:val="0"/>
        </w:rPr>
        <w:t>. Cham: Springer, pp. 301–320.</w:t>
      </w:r>
    </w:p>
    <w:p>
      <w:pPr>
        <w:jc w:val="both"/>
      </w:pPr>
      <w:r>
        <w:rPr>
          <w:i w:val="0"/>
        </w:rPr>
        <w:t xml:space="preserve">Weiss, G.M., McCarthy, K. and Zabar, B. (2007) 'Cost-sensitive learning vs. sampling: which is best for handling unbalanced classes with unequal error costs?', in </w:t>
      </w:r>
      <w:r>
        <w:rPr>
          <w:i/>
        </w:rPr>
        <w:t>Proceedings of the 2007 International Conference on Data Mining (DMIN 2007)</w:t>
      </w:r>
      <w:r>
        <w:rPr>
          <w:i w:val="0"/>
        </w:rPr>
        <w:t>. Las Vegas, NV: CSREA Press.</w:t>
      </w:r>
    </w:p>
    <w:p>
      <w:r>
        <w:br w:type="page"/>
      </w:r>
    </w:p>
    <w:p>
      <w:pPr>
        <w:pStyle w:val="Heading1"/>
      </w:pPr>
      <w:r>
        <w:rPr>
          <w:rFonts w:ascii="Arial" w:hAnsi="Arial"/>
          <w:sz w:val="32"/>
        </w:rPr>
        <w:t xml:space="preserve">Appendices</w:t>
      </w:r>
    </w:p>
    <w:p>
      <w:pPr>
        <w:pStyle w:val="Heading2"/>
      </w:pPr>
      <w:r>
        <w:rPr>
          <w:rFonts w:ascii="Arial" w:hAnsi="Arial"/>
          <w:sz w:val="28"/>
        </w:rPr>
        <w:t xml:space="preserve">Appendix A: Project Gantt chart</w:t>
      </w:r>
    </w:p>
    <w:p>
      <w:pPr/>
      <w:r/>
      <w:r>
        <w:t>The approved proposal specified a delivery week for each of the six objectives (Section: Objectives, Project Framing); this appendix reconstructs the actual delivery date for each against that schedule. Actual dates are drawn from this repository's own git history (eleven tagged milestones, v0.1-scaffolding through v1.1-hardened, all falling on 2026-08-07 or 2026-08-08) and its progress log (PROGRESS.md). Proposed dates are calculated by treating the project's actual start date, 2026-08-07, as Week 1 of the proposal's own week numbering, since the proposal itself states only a week number per objective, not a calendar date; this mapping is an approximation made for this chart, not a figure taken directly from the proposal.</w:t>
      </w:r>
    </w:p>
    <w:p>
      <w:pPr>
        <w:pStyle w:val="Caption"/>
        <w:jc w:val="center"/>
      </w:pPr>
      <w:r>
        <w:t xml:space="preserve">Table </w:t>
      </w:r>
      <w:r>
        <w:fldChar w:fldCharType="begin"/>
      </w:r>
      <w:r>
        <w:instrText xml:space="preserve"> SEQ Table \* ARABIC </w:instrText>
      </w:r>
      <w:r>
        <w:fldChar w:fldCharType="separate"/>
      </w:r>
      <w:r>
        <w:t>1</w:t>
      </w:r>
      <w:r>
        <w:fldChar w:fldCharType="end"/>
      </w:r>
      <w:r>
        <w:t>. Objectives: proposed week vs. actual delivery.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44546A"/>
          </w:tcPr>
          <w:p>
            <w:pPr>
              <w:jc w:val="center"/>
            </w:pPr>
            <w:r/>
            <w:r>
              <w:rPr>
                <w:b/>
                <w:color w:val="FFFFFF"/>
                <w:sz w:val="16"/>
              </w:rPr>
              <w:t>#</w:t>
            </w:r>
          </w:p>
        </w:tc>
        <w:tc>
          <w:tcPr>
            <w:tcW w:type="dxa" w:w="1805"/>
            <w:shd w:val="clear" w:color="auto" w:fill="44546A"/>
          </w:tcPr>
          <w:p>
            <w:pPr>
              <w:jc w:val="center"/>
            </w:pPr>
            <w:r/>
            <w:r>
              <w:rPr>
                <w:b/>
                <w:color w:val="FFFFFF"/>
                <w:sz w:val="16"/>
              </w:rPr>
              <w:t>Objective</w:t>
            </w:r>
          </w:p>
        </w:tc>
        <w:tc>
          <w:tcPr>
            <w:tcW w:type="dxa" w:w="1805"/>
            <w:shd w:val="clear" w:color="auto" w:fill="44546A"/>
          </w:tcPr>
          <w:p>
            <w:pPr>
              <w:jc w:val="center"/>
            </w:pPr>
            <w:r/>
            <w:r>
              <w:rPr>
                <w:b/>
                <w:color w:val="FFFFFF"/>
                <w:sz w:val="16"/>
              </w:rPr>
              <w:t>Proposed (week / date)</w:t>
            </w:r>
          </w:p>
        </w:tc>
        <w:tc>
          <w:tcPr>
            <w:tcW w:type="dxa" w:w="1805"/>
            <w:shd w:val="clear" w:color="auto" w:fill="44546A"/>
          </w:tcPr>
          <w:p>
            <w:pPr>
              <w:jc w:val="center"/>
            </w:pPr>
            <w:r/>
            <w:r>
              <w:rPr>
                <w:b/>
                <w:color w:val="FFFFFF"/>
                <w:sz w:val="16"/>
              </w:rPr>
              <w:t>Actual delivery</w:t>
            </w:r>
          </w:p>
        </w:tc>
        <w:tc>
          <w:tcPr>
            <w:tcW w:type="dxa" w:w="1805"/>
            <w:shd w:val="clear" w:color="auto" w:fill="44546A"/>
          </w:tcPr>
          <w:p>
            <w:pPr>
              <w:jc w:val="center"/>
            </w:pPr>
            <w:r/>
            <w:r>
              <w:rPr>
                <w:b/>
                <w:color w:val="FFFFFF"/>
                <w:sz w:val="16"/>
              </w:rPr>
              <w:t>Outcome</w:t>
            </w:r>
          </w:p>
        </w:tc>
      </w:tr>
      <w:tr>
        <w:tc>
          <w:tcPr>
            <w:tcW w:type="dxa" w:w="1805"/>
          </w:tcPr>
          <w:p>
            <w:pPr>
              <w:jc w:val="center"/>
            </w:pPr>
            <w:r/>
            <w:r>
              <w:rPr>
                <w:b w:val="0"/>
                <w:sz w:val="15"/>
              </w:rPr>
              <w:t>1</w:t>
            </w:r>
          </w:p>
        </w:tc>
        <w:tc>
          <w:tcPr>
            <w:tcW w:type="dxa" w:w="1805"/>
          </w:tcPr>
          <w:p>
            <w:pPr>
              <w:jc w:val="center"/>
            </w:pPr>
            <w:r/>
            <w:r>
              <w:rPr>
                <w:b w:val="0"/>
                <w:sz w:val="15"/>
              </w:rPr>
              <w:t>Literature review</w:t>
            </w:r>
          </w:p>
        </w:tc>
        <w:tc>
          <w:tcPr>
            <w:tcW w:type="dxa" w:w="1805"/>
          </w:tcPr>
          <w:p>
            <w:pPr>
              <w:jc w:val="center"/>
            </w:pPr>
            <w:r/>
            <w:r>
              <w:rPr>
                <w:b w:val="0"/>
                <w:sz w:val="15"/>
              </w:rPr>
              <w:t>Week 2 (14 Aug)</w:t>
            </w:r>
          </w:p>
        </w:tc>
        <w:tc>
          <w:tcPr>
            <w:tcW w:type="dxa" w:w="1805"/>
          </w:tcPr>
          <w:p>
            <w:pPr>
              <w:jc w:val="center"/>
            </w:pPr>
            <w:r/>
            <w:r>
              <w:rPr>
                <w:b w:val="0"/>
                <w:sz w:val="15"/>
              </w:rPr>
              <w:t>04 Sep 2026</w:t>
            </w:r>
          </w:p>
        </w:tc>
        <w:tc>
          <w:tcPr>
            <w:tcW w:type="dxa" w:w="1805"/>
          </w:tcPr>
          <w:p>
            <w:pPr>
              <w:jc w:val="center"/>
            </w:pPr>
            <w:r/>
            <w:r>
              <w:rPr>
                <w:b w:val="0"/>
                <w:sz w:val="15"/>
              </w:rPr>
              <w:t>Delivered later than proposed — prioritised a working system first</w:t>
            </w:r>
          </w:p>
        </w:tc>
      </w:tr>
      <w:tr>
        <w:tc>
          <w:tcPr>
            <w:tcW w:type="dxa" w:w="1805"/>
          </w:tcPr>
          <w:p>
            <w:pPr>
              <w:jc w:val="center"/>
            </w:pPr>
            <w:r/>
            <w:r>
              <w:rPr>
                <w:b w:val="0"/>
                <w:sz w:val="15"/>
              </w:rPr>
              <w:t>2</w:t>
            </w:r>
          </w:p>
        </w:tc>
        <w:tc>
          <w:tcPr>
            <w:tcW w:type="dxa" w:w="1805"/>
          </w:tcPr>
          <w:p>
            <w:pPr>
              <w:jc w:val="center"/>
            </w:pPr>
            <w:r/>
            <w:r>
              <w:rPr>
                <w:b w:val="0"/>
                <w:sz w:val="15"/>
              </w:rPr>
              <w:t>Model training (E1-E4)</w:t>
            </w:r>
          </w:p>
        </w:tc>
        <w:tc>
          <w:tcPr>
            <w:tcW w:type="dxa" w:w="1805"/>
          </w:tcPr>
          <w:p>
            <w:pPr>
              <w:jc w:val="center"/>
            </w:pPr>
            <w:r/>
            <w:r>
              <w:rPr>
                <w:b w:val="0"/>
                <w:sz w:val="15"/>
              </w:rPr>
              <w:t>Week 5 (04 Sep)</w:t>
            </w:r>
          </w:p>
        </w:tc>
        <w:tc>
          <w:tcPr>
            <w:tcW w:type="dxa" w:w="1805"/>
          </w:tcPr>
          <w:p>
            <w:pPr>
              <w:jc w:val="center"/>
            </w:pPr>
            <w:r/>
            <w:r>
              <w:rPr>
                <w:b w:val="0"/>
                <w:sz w:val="15"/>
              </w:rPr>
              <w:t>07 Aug 2026</w:t>
            </w:r>
          </w:p>
        </w:tc>
        <w:tc>
          <w:tcPr>
            <w:tcW w:type="dxa" w:w="1805"/>
          </w:tcPr>
          <w:p>
            <w:pPr>
              <w:jc w:val="center"/>
            </w:pPr>
            <w:r/>
            <w:r>
              <w:rPr>
                <w:b w:val="0"/>
                <w:sz w:val="15"/>
              </w:rPr>
              <w:t>Exceeded — 3 model families compared, not 2; delivered 4 weeks ahead</w:t>
            </w:r>
          </w:p>
        </w:tc>
      </w:tr>
      <w:tr>
        <w:tc>
          <w:tcPr>
            <w:tcW w:type="dxa" w:w="1805"/>
          </w:tcPr>
          <w:p>
            <w:pPr>
              <w:jc w:val="center"/>
            </w:pPr>
            <w:r/>
            <w:r>
              <w:rPr>
                <w:b w:val="0"/>
                <w:sz w:val="15"/>
              </w:rPr>
              <w:t>3</w:t>
            </w:r>
          </w:p>
        </w:tc>
        <w:tc>
          <w:tcPr>
            <w:tcW w:type="dxa" w:w="1805"/>
          </w:tcPr>
          <w:p>
            <w:pPr>
              <w:jc w:val="center"/>
            </w:pPr>
            <w:r/>
            <w:r>
              <w:rPr>
                <w:b w:val="0"/>
                <w:sz w:val="15"/>
              </w:rPr>
              <w:t>Secure AWS architecture</w:t>
            </w:r>
          </w:p>
        </w:tc>
        <w:tc>
          <w:tcPr>
            <w:tcW w:type="dxa" w:w="1805"/>
          </w:tcPr>
          <w:p>
            <w:pPr>
              <w:jc w:val="center"/>
            </w:pPr>
            <w:r/>
            <w:r>
              <w:rPr>
                <w:b w:val="0"/>
                <w:sz w:val="15"/>
              </w:rPr>
              <w:t>Week 7 (18 Sep)</w:t>
            </w:r>
          </w:p>
        </w:tc>
        <w:tc>
          <w:tcPr>
            <w:tcW w:type="dxa" w:w="1805"/>
          </w:tcPr>
          <w:p>
            <w:pPr>
              <w:jc w:val="center"/>
            </w:pPr>
            <w:r/>
            <w:r>
              <w:rPr>
                <w:b w:val="0"/>
                <w:sz w:val="15"/>
              </w:rPr>
              <w:t>08 Aug 2026</w:t>
            </w:r>
          </w:p>
        </w:tc>
        <w:tc>
          <w:tcPr>
            <w:tcW w:type="dxa" w:w="1805"/>
          </w:tcPr>
          <w:p>
            <w:pPr>
              <w:jc w:val="center"/>
            </w:pPr>
            <w:r/>
            <w:r>
              <w:rPr>
                <w:b w:val="0"/>
                <w:sz w:val="15"/>
              </w:rPr>
              <w:t>Delivered, one recorded scope change (SSE-S3 for SSE-KMS)</w:t>
            </w:r>
          </w:p>
        </w:tc>
      </w:tr>
      <w:tr>
        <w:tc>
          <w:tcPr>
            <w:tcW w:type="dxa" w:w="1805"/>
          </w:tcPr>
          <w:p>
            <w:pPr>
              <w:jc w:val="center"/>
            </w:pPr>
            <w:r/>
            <w:r>
              <w:rPr>
                <w:b w:val="0"/>
                <w:sz w:val="15"/>
              </w:rPr>
              <w:t>4</w:t>
            </w:r>
          </w:p>
        </w:tc>
        <w:tc>
          <w:tcPr>
            <w:tcW w:type="dxa" w:w="1805"/>
          </w:tcPr>
          <w:p>
            <w:pPr>
              <w:jc w:val="center"/>
            </w:pPr>
            <w:r/>
            <w:r>
              <w:rPr>
                <w:b w:val="0"/>
                <w:sz w:val="15"/>
              </w:rPr>
              <w:t>Deployment + dashboard</w:t>
            </w:r>
          </w:p>
        </w:tc>
        <w:tc>
          <w:tcPr>
            <w:tcW w:type="dxa" w:w="1805"/>
          </w:tcPr>
          <w:p>
            <w:pPr>
              <w:jc w:val="center"/>
            </w:pPr>
            <w:r/>
            <w:r>
              <w:rPr>
                <w:b w:val="0"/>
                <w:sz w:val="15"/>
              </w:rPr>
              <w:t>Week 8 (25 Sep)</w:t>
            </w:r>
          </w:p>
        </w:tc>
        <w:tc>
          <w:tcPr>
            <w:tcW w:type="dxa" w:w="1805"/>
          </w:tcPr>
          <w:p>
            <w:pPr>
              <w:jc w:val="center"/>
            </w:pPr>
            <w:r/>
            <w:r>
              <w:rPr>
                <w:b w:val="0"/>
                <w:sz w:val="15"/>
              </w:rPr>
              <w:t>08 Aug 2026</w:t>
            </w:r>
          </w:p>
        </w:tc>
        <w:tc>
          <w:tcPr>
            <w:tcW w:type="dxa" w:w="1805"/>
          </w:tcPr>
          <w:p>
            <w:pPr>
              <w:jc w:val="center"/>
            </w:pPr>
            <w:r/>
            <w:r>
              <w:rPr>
                <w:b w:val="0"/>
                <w:sz w:val="15"/>
              </w:rPr>
              <w:t>Delivered — replayed, not genuinely live, traffic</w:t>
            </w:r>
          </w:p>
        </w:tc>
      </w:tr>
      <w:tr>
        <w:tc>
          <w:tcPr>
            <w:tcW w:type="dxa" w:w="1805"/>
          </w:tcPr>
          <w:p>
            <w:pPr>
              <w:jc w:val="center"/>
            </w:pPr>
            <w:r/>
            <w:r>
              <w:rPr>
                <w:b w:val="0"/>
                <w:sz w:val="15"/>
              </w:rPr>
              <w:t>5</w:t>
            </w:r>
          </w:p>
        </w:tc>
        <w:tc>
          <w:tcPr>
            <w:tcW w:type="dxa" w:w="1805"/>
          </w:tcPr>
          <w:p>
            <w:pPr>
              <w:jc w:val="center"/>
            </w:pPr>
            <w:r/>
            <w:r>
              <w:rPr>
                <w:b w:val="0"/>
                <w:sz w:val="15"/>
              </w:rPr>
              <w:t>STRIDE + evasion (E5-E6)</w:t>
            </w:r>
          </w:p>
        </w:tc>
        <w:tc>
          <w:tcPr>
            <w:tcW w:type="dxa" w:w="1805"/>
          </w:tcPr>
          <w:p>
            <w:pPr>
              <w:jc w:val="center"/>
            </w:pPr>
            <w:r/>
            <w:r>
              <w:rPr>
                <w:b w:val="0"/>
                <w:sz w:val="15"/>
              </w:rPr>
              <w:t>Week 9 (02 Oct)</w:t>
            </w:r>
          </w:p>
        </w:tc>
        <w:tc>
          <w:tcPr>
            <w:tcW w:type="dxa" w:w="1805"/>
          </w:tcPr>
          <w:p>
            <w:pPr>
              <w:jc w:val="center"/>
            </w:pPr>
            <w:r/>
            <w:r>
              <w:rPr>
                <w:b w:val="0"/>
                <w:sz w:val="15"/>
              </w:rPr>
              <w:t>08 Aug 2026</w:t>
            </w:r>
          </w:p>
        </w:tc>
        <w:tc>
          <w:tcPr>
            <w:tcW w:type="dxa" w:w="1805"/>
          </w:tcPr>
          <w:p>
            <w:pPr>
              <w:jc w:val="center"/>
            </w:pPr>
            <w:r/>
            <w:r>
              <w:rPr>
                <w:b w:val="0"/>
                <w:sz w:val="15"/>
              </w:rPr>
              <w:t>Delivered and exceeded — threat model extended with E5/E6</w:t>
            </w:r>
          </w:p>
        </w:tc>
      </w:tr>
      <w:tr>
        <w:tc>
          <w:tcPr>
            <w:tcW w:type="dxa" w:w="1805"/>
          </w:tcPr>
          <w:p>
            <w:pPr>
              <w:jc w:val="center"/>
            </w:pPr>
            <w:r/>
            <w:r>
              <w:rPr>
                <w:b w:val="0"/>
                <w:sz w:val="15"/>
              </w:rPr>
              <w:t>6</w:t>
            </w:r>
          </w:p>
        </w:tc>
        <w:tc>
          <w:tcPr>
            <w:tcW w:type="dxa" w:w="1805"/>
          </w:tcPr>
          <w:p>
            <w:pPr>
              <w:jc w:val="center"/>
            </w:pPr>
            <w:r/>
            <w:r>
              <w:rPr>
                <w:b w:val="0"/>
                <w:sz w:val="15"/>
              </w:rPr>
              <w:t>Critical evaluation</w:t>
            </w:r>
          </w:p>
        </w:tc>
        <w:tc>
          <w:tcPr>
            <w:tcW w:type="dxa" w:w="1805"/>
          </w:tcPr>
          <w:p>
            <w:pPr>
              <w:jc w:val="center"/>
            </w:pPr>
            <w:r/>
            <w:r>
              <w:rPr>
                <w:b w:val="0"/>
                <w:sz w:val="15"/>
              </w:rPr>
              <w:t>Week 11 (16 Oct)</w:t>
            </w:r>
          </w:p>
        </w:tc>
        <w:tc>
          <w:tcPr>
            <w:tcW w:type="dxa" w:w="1805"/>
          </w:tcPr>
          <w:p>
            <w:pPr>
              <w:jc w:val="center"/>
            </w:pPr>
            <w:r/>
            <w:r>
              <w:rPr>
                <w:b w:val="0"/>
                <w:sz w:val="15"/>
              </w:rPr>
              <w:t>04 Sep 2026</w:t>
            </w:r>
          </w:p>
        </w:tc>
        <w:tc>
          <w:tcPr>
            <w:tcW w:type="dxa" w:w="1805"/>
          </w:tcPr>
          <w:p>
            <w:pPr>
              <w:jc w:val="center"/>
            </w:pPr>
            <w:r/>
            <w:r>
              <w:rPr>
                <w:b w:val="0"/>
                <w:sz w:val="15"/>
              </w:rPr>
              <w:t>Delivered, 6 weeks ahead of the proposed date</w:t>
            </w:r>
          </w:p>
        </w:tc>
      </w:tr>
    </w:tbl>
    <w:p/>
    <w:p>
      <w:pPr>
        <w:jc w:val="center"/>
      </w:pPr>
      <w:r>
        <w:drawing>
          <wp:inline xmlns:a="http://schemas.openxmlformats.org/drawingml/2006/main" xmlns:pic="http://schemas.openxmlformats.org/drawingml/2006/picture">
            <wp:extent cx="5669280" cy="2627424"/>
            <wp:docPr id="17" name="Picture 17"/>
            <wp:cNvGraphicFramePr>
              <a:graphicFrameLocks noChangeAspect="1"/>
            </wp:cNvGraphicFramePr>
            <a:graphic>
              <a:graphicData uri="http://schemas.openxmlformats.org/drawingml/2006/picture">
                <pic:pic>
                  <pic:nvPicPr>
                    <pic:cNvPr id="0" name="fig_gantt.png"/>
                    <pic:cNvPicPr/>
                  </pic:nvPicPr>
                  <pic:blipFill>
                    <a:blip r:embed="rId21"/>
                    <a:stretch>
                      <a:fillRect/>
                    </a:stretch>
                  </pic:blipFill>
                  <pic:spPr>
                    <a:xfrm>
                      <a:off x="0" y="0"/>
                      <a:ext cx="5669280" cy="2627424"/>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w:t>
      </w:r>
      <w:r>
        <w:fldChar w:fldCharType="end"/>
      </w:r>
      <w:r>
        <w:t>. Proposed vs. actual delivery, by objective.</w:t>
      </w:r>
    </w:p>
    <w:p>
      <w:pPr/>
    </w:p>
    <w:p>
      <w:pPr>
        <w:pStyle w:val="Heading2"/>
      </w:pPr>
      <w:r>
        <w:rPr>
          <w:rFonts w:ascii="Arial" w:hAnsi="Arial"/>
          <w:sz w:val="28"/>
        </w:rPr>
        <w:t xml:space="preserve">Appendix B: Full STRIDE threat table</w:t>
      </w:r>
    </w:p>
    <w:p>
      <w:pPr/>
      <w:r/>
      <w:r>
        <w:t>Full STRIDE threat register for the deployed system, extended with MITRE ATLAS categories for the machine-learning layer (Section: Threat modelling and hardening, Project Development). Likelihood and impact are qualitative judgements on a 1-5 scale (risk = likelihood x impact), except T01-T03, whose likelihood reflects the measured E5/E6 evasion results rather than an estimate. This is the same register that drives the analyst console's live threat-register view (dashboard/threats.py).</w:t>
      </w:r>
    </w:p>
    <w:p>
      <w:pPr>
        <w:pStyle w:val="Caption"/>
        <w:jc w:val="center"/>
      </w:pPr>
      <w:r>
        <w:t xml:space="preserve">Table </w:t>
      </w:r>
      <w:r>
        <w:fldChar w:fldCharType="begin"/>
      </w:r>
      <w:r>
        <w:instrText xml:space="preserve"> SEQ Table \* ARABIC </w:instrText>
      </w:r>
      <w:r>
        <w:fldChar w:fldCharType="separate"/>
      </w:r>
      <w:r>
        <w:t>1</w:t>
      </w:r>
      <w:r>
        <w:fldChar w:fldCharType="end"/>
      </w:r>
      <w:r>
        <w:t>. Full STRIDE + MITRE ATLAS threat register (15 threats).</w:t>
      </w:r>
    </w:p>
    <w:tbl>
      <w:tblPr>
        <w:tblStyle w:val="TableGrid"/>
        <w:tblW w:type="auto" w:w="0"/>
        <w:jc w:val="center"/>
        <w:tblLayout w:type="fixed"/>
        <w:tblLook w:firstColumn="1" w:firstRow="1" w:lastColumn="0" w:lastRow="0" w:noHBand="0" w:noVBand="1" w:val="04A0"/>
      </w:tblPr>
      <w:tblGrid>
        <w:gridCol w:w="503"/>
        <w:gridCol w:w="979"/>
        <w:gridCol w:w="892"/>
        <w:gridCol w:w="1944"/>
        <w:gridCol w:w="503"/>
        <w:gridCol w:w="792"/>
        <w:gridCol w:w="1080"/>
        <w:gridCol w:w="2664"/>
      </w:tblGrid>
      <w:tr>
        <w:tc>
          <w:tcPr>
            <w:tcW w:type="dxa" w:w="504"/>
            <w:shd w:val="clear" w:color="auto" w:fill="44546A"/>
          </w:tcPr>
          <w:p>
            <w:pPr>
              <w:jc w:val="center"/>
            </w:pPr>
            <w:r/>
            <w:r>
              <w:rPr>
                <w:b/>
                <w:color w:val="FFFFFF"/>
                <w:sz w:val="15"/>
              </w:rPr>
              <w:t>ID</w:t>
            </w:r>
          </w:p>
        </w:tc>
        <w:tc>
          <w:tcPr>
            <w:tcW w:type="dxa" w:w="979"/>
            <w:shd w:val="clear" w:color="auto" w:fill="44546A"/>
          </w:tcPr>
          <w:p>
            <w:pPr>
              <w:jc w:val="center"/>
            </w:pPr>
            <w:r/>
            <w:r>
              <w:rPr>
                <w:b/>
                <w:color w:val="FFFFFF"/>
                <w:sz w:val="15"/>
              </w:rPr>
              <w:t>Component</w:t>
            </w:r>
          </w:p>
        </w:tc>
        <w:tc>
          <w:tcPr>
            <w:tcW w:type="dxa" w:w="893"/>
            <w:shd w:val="clear" w:color="auto" w:fill="44546A"/>
          </w:tcPr>
          <w:p>
            <w:pPr>
              <w:jc w:val="center"/>
            </w:pPr>
            <w:r/>
            <w:r>
              <w:rPr>
                <w:b/>
                <w:color w:val="FFFFFF"/>
                <w:sz w:val="15"/>
              </w:rPr>
              <w:t>Category</w:t>
            </w:r>
          </w:p>
        </w:tc>
        <w:tc>
          <w:tcPr>
            <w:tcW w:type="dxa" w:w="1944"/>
            <w:shd w:val="clear" w:color="auto" w:fill="44546A"/>
          </w:tcPr>
          <w:p>
            <w:pPr>
              <w:jc w:val="center"/>
            </w:pPr>
            <w:r/>
            <w:r>
              <w:rPr>
                <w:b/>
                <w:color w:val="FFFFFF"/>
                <w:sz w:val="15"/>
              </w:rPr>
              <w:t>Threat</w:t>
            </w:r>
          </w:p>
        </w:tc>
        <w:tc>
          <w:tcPr>
            <w:tcW w:type="dxa" w:w="504"/>
            <w:shd w:val="clear" w:color="auto" w:fill="44546A"/>
          </w:tcPr>
          <w:p>
            <w:pPr>
              <w:jc w:val="center"/>
            </w:pPr>
            <w:r/>
            <w:r>
              <w:rPr>
                <w:b/>
                <w:color w:val="FFFFFF"/>
                <w:sz w:val="15"/>
              </w:rPr>
              <w:t>L/I</w:t>
            </w:r>
          </w:p>
        </w:tc>
        <w:tc>
          <w:tcPr>
            <w:tcW w:type="dxa" w:w="792"/>
            <w:shd w:val="clear" w:color="auto" w:fill="44546A"/>
          </w:tcPr>
          <w:p>
            <w:pPr>
              <w:jc w:val="center"/>
            </w:pPr>
            <w:r/>
            <w:r>
              <w:rPr>
                <w:b/>
                <w:color w:val="FFFFFF"/>
                <w:sz w:val="15"/>
              </w:rPr>
              <w:t>Risk</w:t>
            </w:r>
          </w:p>
        </w:tc>
        <w:tc>
          <w:tcPr>
            <w:tcW w:type="dxa" w:w="1080"/>
            <w:shd w:val="clear" w:color="auto" w:fill="44546A"/>
          </w:tcPr>
          <w:p>
            <w:pPr>
              <w:jc w:val="center"/>
            </w:pPr>
            <w:r/>
            <w:r>
              <w:rPr>
                <w:b/>
                <w:color w:val="FFFFFF"/>
                <w:sz w:val="15"/>
              </w:rPr>
              <w:t>Status</w:t>
            </w:r>
          </w:p>
        </w:tc>
        <w:tc>
          <w:tcPr>
            <w:tcW w:type="dxa" w:w="2664"/>
            <w:shd w:val="clear" w:color="auto" w:fill="44546A"/>
          </w:tcPr>
          <w:p>
            <w:pPr>
              <w:jc w:val="center"/>
            </w:pPr>
            <w:r/>
            <w:r>
              <w:rPr>
                <w:b/>
                <w:color w:val="FFFFFF"/>
                <w:sz w:val="15"/>
              </w:rPr>
              <w:t>Evidence / action</w:t>
            </w:r>
          </w:p>
        </w:tc>
      </w:tr>
      <w:tr>
        <w:tc>
          <w:tcPr>
            <w:tcW w:type="dxa" w:w="504"/>
          </w:tcPr>
          <w:p>
            <w:pPr>
              <w:jc w:val="center"/>
            </w:pPr>
            <w:r/>
            <w:r>
              <w:rPr>
                <w:b w:val="0"/>
                <w:sz w:val="13"/>
              </w:rPr>
              <w:t>T01</w:t>
            </w:r>
          </w:p>
        </w:tc>
        <w:tc>
          <w:tcPr>
            <w:tcW w:type="dxa" w:w="979"/>
          </w:tcPr>
          <w:p>
            <w:pPr>
              <w:jc w:val="center"/>
            </w:pPr>
            <w:r/>
            <w:r>
              <w:rPr>
                <w:b w:val="0"/>
                <w:sz w:val="13"/>
              </w:rPr>
              <w:t>Detection model</w:t>
            </w:r>
          </w:p>
        </w:tc>
        <w:tc>
          <w:tcPr>
            <w:tcW w:type="dxa" w:w="893"/>
          </w:tcPr>
          <w:p>
            <w:pPr>
              <w:jc w:val="center"/>
            </w:pPr>
            <w:r/>
            <w:r>
              <w:rPr>
                <w:b w:val="0"/>
                <w:sz w:val="13"/>
              </w:rPr>
              <w:t>Spoofing</w:t>
            </w:r>
          </w:p>
        </w:tc>
        <w:tc>
          <w:tcPr>
            <w:tcW w:type="dxa" w:w="1944"/>
          </w:tcPr>
          <w:p>
            <w:pPr>
              <w:jc w:val="center"/>
            </w:pPr>
            <w:r/>
            <w:r>
              <w:rPr>
                <w:b w:val="0"/>
                <w:sz w:val="13"/>
              </w:rPr>
              <w:t>Rate-independent attacks evade detection via proportional delay</w:t>
            </w:r>
          </w:p>
        </w:tc>
        <w:tc>
          <w:tcPr>
            <w:tcW w:type="dxa" w:w="504"/>
          </w:tcPr>
          <w:p>
            <w:pPr>
              <w:jc w:val="center"/>
            </w:pPr>
            <w:r/>
            <w:r>
              <w:rPr>
                <w:b w:val="0"/>
                <w:sz w:val="13"/>
              </w:rPr>
              <w:t>5/5</w:t>
            </w:r>
          </w:p>
        </w:tc>
        <w:tc>
          <w:tcPr>
            <w:tcW w:type="dxa" w:w="792"/>
          </w:tcPr>
          <w:p>
            <w:pPr>
              <w:jc w:val="center"/>
            </w:pPr>
            <w:r/>
            <w:r>
              <w:rPr>
                <w:b w:val="0"/>
                <w:sz w:val="13"/>
              </w:rPr>
              <w:t>25 (High)</w:t>
            </w:r>
          </w:p>
        </w:tc>
        <w:tc>
          <w:tcPr>
            <w:tcW w:type="dxa" w:w="1080"/>
          </w:tcPr>
          <w:p>
            <w:pPr>
              <w:jc w:val="center"/>
            </w:pPr>
            <w:r/>
            <w:r>
              <w:rPr>
                <w:b w:val="0"/>
                <w:sz w:val="13"/>
              </w:rPr>
              <w:t>Open</w:t>
            </w:r>
          </w:p>
        </w:tc>
        <w:tc>
          <w:tcPr>
            <w:tcW w:type="dxa" w:w="2664"/>
          </w:tcPr>
          <w:p>
            <w:pPr>
              <w:jc w:val="center"/>
            </w:pPr>
            <w:r/>
            <w:r>
              <w:rPr>
                <w:b w:val="0"/>
                <w:sz w:val="13"/>
              </w:rPr>
              <w:t>E6: Web Attacks 100% evaded at 1.65x slowdown — Add payload or behavioural features independent of flow timing</w:t>
            </w:r>
          </w:p>
        </w:tc>
      </w:tr>
      <w:tr>
        <w:tc>
          <w:tcPr>
            <w:tcW w:type="dxa" w:w="504"/>
          </w:tcPr>
          <w:p>
            <w:pPr>
              <w:jc w:val="center"/>
            </w:pPr>
            <w:r/>
            <w:r>
              <w:rPr>
                <w:b w:val="0"/>
                <w:sz w:val="13"/>
              </w:rPr>
              <w:t>T02</w:t>
            </w:r>
          </w:p>
        </w:tc>
        <w:tc>
          <w:tcPr>
            <w:tcW w:type="dxa" w:w="979"/>
          </w:tcPr>
          <w:p>
            <w:pPr>
              <w:jc w:val="center"/>
            </w:pPr>
            <w:r/>
            <w:r>
              <w:rPr>
                <w:b w:val="0"/>
                <w:sz w:val="13"/>
              </w:rPr>
              <w:t>Detection model</w:t>
            </w:r>
          </w:p>
        </w:tc>
        <w:tc>
          <w:tcPr>
            <w:tcW w:type="dxa" w:w="893"/>
          </w:tcPr>
          <w:p>
            <w:pPr>
              <w:jc w:val="center"/>
            </w:pPr>
            <w:r/>
            <w:r>
              <w:rPr>
                <w:b w:val="0"/>
                <w:sz w:val="13"/>
              </w:rPr>
              <w:t>Spoofing</w:t>
            </w:r>
          </w:p>
        </w:tc>
        <w:tc>
          <w:tcPr>
            <w:tcW w:type="dxa" w:w="1944"/>
          </w:tcPr>
          <w:p>
            <w:pPr>
              <w:jc w:val="center"/>
            </w:pPr>
            <w:r/>
            <w:r>
              <w:rPr>
                <w:b w:val="0"/>
                <w:sz w:val="13"/>
              </w:rPr>
              <w:t>Slow port scanning evades detection</w:t>
            </w:r>
          </w:p>
        </w:tc>
        <w:tc>
          <w:tcPr>
            <w:tcW w:type="dxa" w:w="504"/>
          </w:tcPr>
          <w:p>
            <w:pPr>
              <w:jc w:val="center"/>
            </w:pPr>
            <w:r/>
            <w:r>
              <w:rPr>
                <w:b w:val="0"/>
                <w:sz w:val="13"/>
              </w:rPr>
              <w:t>5/4</w:t>
            </w:r>
          </w:p>
        </w:tc>
        <w:tc>
          <w:tcPr>
            <w:tcW w:type="dxa" w:w="792"/>
          </w:tcPr>
          <w:p>
            <w:pPr>
              <w:jc w:val="center"/>
            </w:pPr>
            <w:r/>
            <w:r>
              <w:rPr>
                <w:b w:val="0"/>
                <w:sz w:val="13"/>
              </w:rPr>
              <w:t>20 (High)</w:t>
            </w:r>
          </w:p>
        </w:tc>
        <w:tc>
          <w:tcPr>
            <w:tcW w:type="dxa" w:w="1080"/>
          </w:tcPr>
          <w:p>
            <w:pPr>
              <w:jc w:val="center"/>
            </w:pPr>
            <w:r/>
            <w:r>
              <w:rPr>
                <w:b w:val="0"/>
                <w:sz w:val="13"/>
              </w:rPr>
              <w:t>Open</w:t>
            </w:r>
          </w:p>
        </w:tc>
        <w:tc>
          <w:tcPr>
            <w:tcW w:type="dxa" w:w="2664"/>
          </w:tcPr>
          <w:p>
            <w:pPr>
              <w:jc w:val="center"/>
            </w:pPr>
            <w:r/>
            <w:r>
              <w:rPr>
                <w:b w:val="0"/>
                <w:sz w:val="13"/>
              </w:rPr>
              <w:t>E6: Port Scanning 100% evaded at 2.88x slowdown — Cross-flow correlation over longer observation windows</w:t>
            </w:r>
          </w:p>
        </w:tc>
      </w:tr>
      <w:tr>
        <w:tc>
          <w:tcPr>
            <w:tcW w:type="dxa" w:w="504"/>
          </w:tcPr>
          <w:p>
            <w:pPr>
              <w:jc w:val="center"/>
            </w:pPr>
            <w:r/>
            <w:r>
              <w:rPr>
                <w:b w:val="0"/>
                <w:sz w:val="13"/>
              </w:rPr>
              <w:t>T03</w:t>
            </w:r>
          </w:p>
        </w:tc>
        <w:tc>
          <w:tcPr>
            <w:tcW w:type="dxa" w:w="979"/>
          </w:tcPr>
          <w:p>
            <w:pPr>
              <w:jc w:val="center"/>
            </w:pPr>
            <w:r/>
            <w:r>
              <w:rPr>
                <w:b w:val="0"/>
                <w:sz w:val="13"/>
              </w:rPr>
              <w:t>Detection model</w:t>
            </w:r>
          </w:p>
        </w:tc>
        <w:tc>
          <w:tcPr>
            <w:tcW w:type="dxa" w:w="893"/>
          </w:tcPr>
          <w:p>
            <w:pPr>
              <w:jc w:val="center"/>
            </w:pPr>
            <w:r/>
            <w:r>
              <w:rPr>
                <w:b w:val="0"/>
                <w:sz w:val="13"/>
              </w:rPr>
              <w:t>Spoofing</w:t>
            </w:r>
          </w:p>
        </w:tc>
        <w:tc>
          <w:tcPr>
            <w:tcW w:type="dxa" w:w="1944"/>
          </w:tcPr>
          <w:p>
            <w:pPr>
              <w:jc w:val="center"/>
            </w:pPr>
            <w:r/>
            <w:r>
              <w:rPr>
                <w:b w:val="0"/>
                <w:sz w:val="13"/>
              </w:rPr>
              <w:t>Bot beaconing evades via jittered long intervals</w:t>
            </w:r>
          </w:p>
        </w:tc>
        <w:tc>
          <w:tcPr>
            <w:tcW w:type="dxa" w:w="504"/>
          </w:tcPr>
          <w:p>
            <w:pPr>
              <w:jc w:val="center"/>
            </w:pPr>
            <w:r/>
            <w:r>
              <w:rPr>
                <w:b w:val="0"/>
                <w:sz w:val="13"/>
              </w:rPr>
              <w:t>4/4</w:t>
            </w:r>
          </w:p>
        </w:tc>
        <w:tc>
          <w:tcPr>
            <w:tcW w:type="dxa" w:w="792"/>
          </w:tcPr>
          <w:p>
            <w:pPr>
              <w:jc w:val="center"/>
            </w:pPr>
            <w:r/>
            <w:r>
              <w:rPr>
                <w:b w:val="0"/>
                <w:sz w:val="13"/>
              </w:rPr>
              <w:t>16 (High)</w:t>
            </w:r>
          </w:p>
        </w:tc>
        <w:tc>
          <w:tcPr>
            <w:tcW w:type="dxa" w:w="1080"/>
          </w:tcPr>
          <w:p>
            <w:pPr>
              <w:jc w:val="center"/>
            </w:pPr>
            <w:r/>
            <w:r>
              <w:rPr>
                <w:b w:val="0"/>
                <w:sz w:val="13"/>
              </w:rPr>
              <w:t>Open</w:t>
            </w:r>
          </w:p>
        </w:tc>
        <w:tc>
          <w:tcPr>
            <w:tcW w:type="dxa" w:w="2664"/>
          </w:tcPr>
          <w:p>
            <w:pPr>
              <w:jc w:val="center"/>
            </w:pPr>
            <w:r/>
            <w:r>
              <w:rPr>
                <w:b w:val="0"/>
                <w:sz w:val="13"/>
              </w:rPr>
              <w:t>E6: Bots 100% evaded at 9.38x slowdown — Periodicity detection across sessions rather than per-flow</w:t>
            </w:r>
          </w:p>
        </w:tc>
      </w:tr>
      <w:tr>
        <w:tc>
          <w:tcPr>
            <w:tcW w:type="dxa" w:w="504"/>
          </w:tcPr>
          <w:p>
            <w:pPr>
              <w:jc w:val="center"/>
            </w:pPr>
            <w:r/>
            <w:r>
              <w:rPr>
                <w:b w:val="0"/>
                <w:sz w:val="13"/>
              </w:rPr>
              <w:t>T04</w:t>
            </w:r>
          </w:p>
        </w:tc>
        <w:tc>
          <w:tcPr>
            <w:tcW w:type="dxa" w:w="979"/>
          </w:tcPr>
          <w:p>
            <w:pPr>
              <w:jc w:val="center"/>
            </w:pPr>
            <w:r/>
            <w:r>
              <w:rPr>
                <w:b w:val="0"/>
                <w:sz w:val="13"/>
              </w:rPr>
              <w:t>Endpoint</w:t>
            </w:r>
          </w:p>
        </w:tc>
        <w:tc>
          <w:tcPr>
            <w:tcW w:type="dxa" w:w="893"/>
          </w:tcPr>
          <w:p>
            <w:pPr>
              <w:jc w:val="center"/>
            </w:pPr>
            <w:r/>
            <w:r>
              <w:rPr>
                <w:b w:val="0"/>
                <w:sz w:val="13"/>
              </w:rPr>
              <w:t>Denial of service</w:t>
            </w:r>
          </w:p>
        </w:tc>
        <w:tc>
          <w:tcPr>
            <w:tcW w:type="dxa" w:w="1944"/>
          </w:tcPr>
          <w:p>
            <w:pPr>
              <w:jc w:val="center"/>
            </w:pPr>
            <w:r/>
            <w:r>
              <w:rPr>
                <w:b w:val="0"/>
                <w:sz w:val="13"/>
              </w:rPr>
              <w:t>Authenticated caller floods the endpoint without rate limiting</w:t>
            </w:r>
          </w:p>
        </w:tc>
        <w:tc>
          <w:tcPr>
            <w:tcW w:type="dxa" w:w="504"/>
          </w:tcPr>
          <w:p>
            <w:pPr>
              <w:jc w:val="center"/>
            </w:pPr>
            <w:r/>
            <w:r>
              <w:rPr>
                <w:b w:val="0"/>
                <w:sz w:val="13"/>
              </w:rPr>
              <w:t>2/3</w:t>
            </w:r>
          </w:p>
        </w:tc>
        <w:tc>
          <w:tcPr>
            <w:tcW w:type="dxa" w:w="792"/>
          </w:tcPr>
          <w:p>
            <w:pPr>
              <w:jc w:val="center"/>
            </w:pPr>
            <w:r/>
            <w:r>
              <w:rPr>
                <w:b w:val="0"/>
                <w:sz w:val="13"/>
              </w:rPr>
              <w:t>6 (Medium)</w:t>
            </w:r>
          </w:p>
        </w:tc>
        <w:tc>
          <w:tcPr>
            <w:tcW w:type="dxa" w:w="1080"/>
          </w:tcPr>
          <w:p>
            <w:pPr>
              <w:jc w:val="center"/>
            </w:pPr>
            <w:r/>
            <w:r>
              <w:rPr>
                <w:b w:val="0"/>
                <w:sz w:val="13"/>
              </w:rPr>
              <w:t>Partially mitigated</w:t>
            </w:r>
          </w:p>
        </w:tc>
        <w:tc>
          <w:tcPr>
            <w:tcW w:type="dxa" w:w="2664"/>
          </w:tcPr>
          <w:p>
            <w:pPr>
              <w:jc w:val="center"/>
            </w:pPr>
            <w:r/>
            <w:r>
              <w:rPr>
                <w:b w:val="0"/>
                <w:sz w:val="13"/>
              </w:rPr>
              <w:t>Account concurrency quota of 10 bounds blast radius — Per-caller rate limiting requires API Gateway or equivalent</w:t>
            </w:r>
          </w:p>
        </w:tc>
      </w:tr>
      <w:tr>
        <w:tc>
          <w:tcPr>
            <w:tcW w:type="dxa" w:w="504"/>
          </w:tcPr>
          <w:p>
            <w:pPr>
              <w:jc w:val="center"/>
            </w:pPr>
            <w:r/>
            <w:r>
              <w:rPr>
                <w:b w:val="0"/>
                <w:sz w:val="13"/>
              </w:rPr>
              <w:t>T05</w:t>
            </w:r>
          </w:p>
        </w:tc>
        <w:tc>
          <w:tcPr>
            <w:tcW w:type="dxa" w:w="979"/>
          </w:tcPr>
          <w:p>
            <w:pPr>
              <w:jc w:val="center"/>
            </w:pPr>
            <w:r/>
            <w:r>
              <w:rPr>
                <w:b w:val="0"/>
                <w:sz w:val="13"/>
              </w:rPr>
              <w:t>Detection model</w:t>
            </w:r>
          </w:p>
        </w:tc>
        <w:tc>
          <w:tcPr>
            <w:tcW w:type="dxa" w:w="893"/>
          </w:tcPr>
          <w:p>
            <w:pPr>
              <w:jc w:val="center"/>
            </w:pPr>
            <w:r/>
            <w:r>
              <w:rPr>
                <w:b w:val="0"/>
                <w:sz w:val="13"/>
              </w:rPr>
              <w:t>Info disclosure</w:t>
            </w:r>
          </w:p>
        </w:tc>
        <w:tc>
          <w:tcPr>
            <w:tcW w:type="dxa" w:w="1944"/>
          </w:tcPr>
          <w:p>
            <w:pPr>
              <w:jc w:val="center"/>
            </w:pPr>
            <w:r/>
            <w:r>
              <w:rPr>
                <w:b w:val="0"/>
                <w:sz w:val="13"/>
              </w:rPr>
              <w:t>Model extraction through repeated queries enables offline evasion</w:t>
            </w:r>
          </w:p>
        </w:tc>
        <w:tc>
          <w:tcPr>
            <w:tcW w:type="dxa" w:w="504"/>
          </w:tcPr>
          <w:p>
            <w:pPr>
              <w:jc w:val="center"/>
            </w:pPr>
            <w:r/>
            <w:r>
              <w:rPr>
                <w:b w:val="0"/>
                <w:sz w:val="13"/>
              </w:rPr>
              <w:t>2/4</w:t>
            </w:r>
          </w:p>
        </w:tc>
        <w:tc>
          <w:tcPr>
            <w:tcW w:type="dxa" w:w="792"/>
          </w:tcPr>
          <w:p>
            <w:pPr>
              <w:jc w:val="center"/>
            </w:pPr>
            <w:r/>
            <w:r>
              <w:rPr>
                <w:b w:val="0"/>
                <w:sz w:val="13"/>
              </w:rPr>
              <w:t>8 (Medium)</w:t>
            </w:r>
          </w:p>
        </w:tc>
        <w:tc>
          <w:tcPr>
            <w:tcW w:type="dxa" w:w="1080"/>
          </w:tcPr>
          <w:p>
            <w:pPr>
              <w:jc w:val="center"/>
            </w:pPr>
            <w:r/>
            <w:r>
              <w:rPr>
                <w:b w:val="0"/>
                <w:sz w:val="13"/>
              </w:rPr>
              <w:t>Partially mitigated</w:t>
            </w:r>
          </w:p>
        </w:tc>
        <w:tc>
          <w:tcPr>
            <w:tcW w:type="dxa" w:w="2664"/>
          </w:tcPr>
          <w:p>
            <w:pPr>
              <w:jc w:val="center"/>
            </w:pPr>
            <w:r/>
            <w:r>
              <w:rPr>
                <w:b w:val="0"/>
                <w:sz w:val="13"/>
              </w:rPr>
              <w:t>Single authorised principal; no query rate limiting — Query budgets per principal; monitor for probing patterns</w:t>
            </w:r>
          </w:p>
        </w:tc>
      </w:tr>
      <w:tr>
        <w:tc>
          <w:tcPr>
            <w:tcW w:type="dxa" w:w="504"/>
          </w:tcPr>
          <w:p>
            <w:pPr>
              <w:jc w:val="center"/>
            </w:pPr>
            <w:r/>
            <w:r>
              <w:rPr>
                <w:b w:val="0"/>
                <w:sz w:val="13"/>
              </w:rPr>
              <w:t>T06</w:t>
            </w:r>
          </w:p>
        </w:tc>
        <w:tc>
          <w:tcPr>
            <w:tcW w:type="dxa" w:w="979"/>
          </w:tcPr>
          <w:p>
            <w:pPr>
              <w:jc w:val="center"/>
            </w:pPr>
            <w:r/>
            <w:r>
              <w:rPr>
                <w:b w:val="0"/>
                <w:sz w:val="13"/>
              </w:rPr>
              <w:t>Artefact store</w:t>
            </w:r>
          </w:p>
        </w:tc>
        <w:tc>
          <w:tcPr>
            <w:tcW w:type="dxa" w:w="893"/>
          </w:tcPr>
          <w:p>
            <w:pPr>
              <w:jc w:val="center"/>
            </w:pPr>
            <w:r/>
            <w:r>
              <w:rPr>
                <w:b w:val="0"/>
                <w:sz w:val="13"/>
              </w:rPr>
              <w:t>Repudiation</w:t>
            </w:r>
          </w:p>
        </w:tc>
        <w:tc>
          <w:tcPr>
            <w:tcW w:type="dxa" w:w="1944"/>
          </w:tcPr>
          <w:p>
            <w:pPr>
              <w:jc w:val="center"/>
            </w:pPr>
            <w:r/>
            <w:r>
              <w:rPr>
                <w:b w:val="0"/>
                <w:sz w:val="13"/>
              </w:rPr>
              <w:t>Object-level access to model artefacts not attributable</w:t>
            </w:r>
          </w:p>
        </w:tc>
        <w:tc>
          <w:tcPr>
            <w:tcW w:type="dxa" w:w="504"/>
          </w:tcPr>
          <w:p>
            <w:pPr>
              <w:jc w:val="center"/>
            </w:pPr>
            <w:r/>
            <w:r>
              <w:rPr>
                <w:b w:val="0"/>
                <w:sz w:val="13"/>
              </w:rPr>
              <w:t>2/2</w:t>
            </w:r>
          </w:p>
        </w:tc>
        <w:tc>
          <w:tcPr>
            <w:tcW w:type="dxa" w:w="792"/>
          </w:tcPr>
          <w:p>
            <w:pPr>
              <w:jc w:val="center"/>
            </w:pPr>
            <w:r/>
            <w:r>
              <w:rPr>
                <w:b w:val="0"/>
                <w:sz w:val="13"/>
              </w:rPr>
              <w:t>4 (Low)</w:t>
            </w:r>
          </w:p>
        </w:tc>
        <w:tc>
          <w:tcPr>
            <w:tcW w:type="dxa" w:w="1080"/>
          </w:tcPr>
          <w:p>
            <w:pPr>
              <w:jc w:val="center"/>
            </w:pPr>
            <w:r/>
            <w:r>
              <w:rPr>
                <w:b w:val="0"/>
                <w:sz w:val="13"/>
              </w:rPr>
              <w:t>Accepted</w:t>
            </w:r>
          </w:p>
        </w:tc>
        <w:tc>
          <w:tcPr>
            <w:tcW w:type="dxa" w:w="2664"/>
          </w:tcPr>
          <w:p>
            <w:pPr>
              <w:jc w:val="center"/>
            </w:pPr>
            <w:r/>
            <w:r>
              <w:rPr>
                <w:b w:val="0"/>
                <w:sz w:val="13"/>
              </w:rPr>
              <w:t>CloudTrail data events disabled on cost grounds — Enable data events if artefact integrity becomes contested</w:t>
            </w:r>
          </w:p>
        </w:tc>
      </w:tr>
      <w:tr>
        <w:tc>
          <w:tcPr>
            <w:tcW w:type="dxa" w:w="504"/>
          </w:tcPr>
          <w:p>
            <w:pPr>
              <w:jc w:val="center"/>
            </w:pPr>
            <w:r/>
            <w:r>
              <w:rPr>
                <w:b w:val="0"/>
                <w:sz w:val="13"/>
              </w:rPr>
              <w:t>T07</w:t>
            </w:r>
          </w:p>
        </w:tc>
        <w:tc>
          <w:tcPr>
            <w:tcW w:type="dxa" w:w="979"/>
          </w:tcPr>
          <w:p>
            <w:pPr>
              <w:jc w:val="center"/>
            </w:pPr>
            <w:r/>
            <w:r>
              <w:rPr>
                <w:b w:val="0"/>
                <w:sz w:val="13"/>
              </w:rPr>
              <w:t>Detection model</w:t>
            </w:r>
          </w:p>
        </w:tc>
        <w:tc>
          <w:tcPr>
            <w:tcW w:type="dxa" w:w="893"/>
          </w:tcPr>
          <w:p>
            <w:pPr>
              <w:jc w:val="center"/>
            </w:pPr>
            <w:r/>
            <w:r>
              <w:rPr>
                <w:b w:val="0"/>
                <w:sz w:val="13"/>
              </w:rPr>
              <w:t>Tampering</w:t>
            </w:r>
          </w:p>
        </w:tc>
        <w:tc>
          <w:tcPr>
            <w:tcW w:type="dxa" w:w="1944"/>
          </w:tcPr>
          <w:p>
            <w:pPr>
              <w:jc w:val="center"/>
            </w:pPr>
            <w:r/>
            <w:r>
              <w:rPr>
                <w:b w:val="0"/>
                <w:sz w:val="13"/>
              </w:rPr>
              <w:t>Training data poisoning shifts the decision boundary</w:t>
            </w:r>
          </w:p>
        </w:tc>
        <w:tc>
          <w:tcPr>
            <w:tcW w:type="dxa" w:w="504"/>
          </w:tcPr>
          <w:p>
            <w:pPr>
              <w:jc w:val="center"/>
            </w:pPr>
            <w:r/>
            <w:r>
              <w:rPr>
                <w:b w:val="0"/>
                <w:sz w:val="13"/>
              </w:rPr>
              <w:t>1/5</w:t>
            </w:r>
          </w:p>
        </w:tc>
        <w:tc>
          <w:tcPr>
            <w:tcW w:type="dxa" w:w="792"/>
          </w:tcPr>
          <w:p>
            <w:pPr>
              <w:jc w:val="center"/>
            </w:pPr>
            <w:r/>
            <w:r>
              <w:rPr>
                <w:b w:val="0"/>
                <w:sz w:val="13"/>
              </w:rPr>
              <w:t>5 (Low)</w:t>
            </w:r>
          </w:p>
        </w:tc>
        <w:tc>
          <w:tcPr>
            <w:tcW w:type="dxa" w:w="1080"/>
          </w:tcPr>
          <w:p>
            <w:pPr>
              <w:jc w:val="center"/>
            </w:pPr>
            <w:r/>
            <w:r>
              <w:rPr>
                <w:b w:val="0"/>
                <w:sz w:val="13"/>
              </w:rPr>
              <w:t>Mitigated</w:t>
            </w:r>
          </w:p>
        </w:tc>
        <w:tc>
          <w:tcPr>
            <w:tcW w:type="dxa" w:w="2664"/>
          </w:tcPr>
          <w:p>
            <w:pPr>
              <w:jc w:val="center"/>
            </w:pPr>
            <w:r/>
            <w:r>
              <w:rPr>
                <w:b w:val="0"/>
                <w:sz w:val="13"/>
              </w:rPr>
              <w:t>No automated retraining; role holds no write permission — Re-assess if a retraining pipeline is introduced</w:t>
            </w:r>
          </w:p>
        </w:tc>
      </w:tr>
      <w:tr>
        <w:tc>
          <w:tcPr>
            <w:tcW w:type="dxa" w:w="504"/>
          </w:tcPr>
          <w:p>
            <w:pPr>
              <w:jc w:val="center"/>
            </w:pPr>
            <w:r/>
            <w:r>
              <w:rPr>
                <w:b w:val="0"/>
                <w:sz w:val="13"/>
              </w:rPr>
              <w:t>T08</w:t>
            </w:r>
          </w:p>
        </w:tc>
        <w:tc>
          <w:tcPr>
            <w:tcW w:type="dxa" w:w="979"/>
          </w:tcPr>
          <w:p>
            <w:pPr>
              <w:jc w:val="center"/>
            </w:pPr>
            <w:r/>
            <w:r>
              <w:rPr>
                <w:b w:val="0"/>
                <w:sz w:val="13"/>
              </w:rPr>
              <w:t>Endpoint</w:t>
            </w:r>
          </w:p>
        </w:tc>
        <w:tc>
          <w:tcPr>
            <w:tcW w:type="dxa" w:w="893"/>
          </w:tcPr>
          <w:p>
            <w:pPr>
              <w:jc w:val="center"/>
            </w:pPr>
            <w:r/>
            <w:r>
              <w:rPr>
                <w:b w:val="0"/>
                <w:sz w:val="13"/>
              </w:rPr>
              <w:t>Spoofing</w:t>
            </w:r>
          </w:p>
        </w:tc>
        <w:tc>
          <w:tcPr>
            <w:tcW w:type="dxa" w:w="1944"/>
          </w:tcPr>
          <w:p>
            <w:pPr>
              <w:jc w:val="center"/>
            </w:pPr>
            <w:r/>
            <w:r>
              <w:rPr>
                <w:b w:val="0"/>
                <w:sz w:val="13"/>
              </w:rPr>
              <w:t>Unauthenticated invocation of the inference endpoint</w:t>
            </w:r>
          </w:p>
        </w:tc>
        <w:tc>
          <w:tcPr>
            <w:tcW w:type="dxa" w:w="504"/>
          </w:tcPr>
          <w:p>
            <w:pPr>
              <w:jc w:val="center"/>
            </w:pPr>
            <w:r/>
            <w:r>
              <w:rPr>
                <w:b w:val="0"/>
                <w:sz w:val="13"/>
              </w:rPr>
              <w:t>1/5</w:t>
            </w:r>
          </w:p>
        </w:tc>
        <w:tc>
          <w:tcPr>
            <w:tcW w:type="dxa" w:w="792"/>
          </w:tcPr>
          <w:p>
            <w:pPr>
              <w:jc w:val="center"/>
            </w:pPr>
            <w:r/>
            <w:r>
              <w:rPr>
                <w:b w:val="0"/>
                <w:sz w:val="13"/>
              </w:rPr>
              <w:t>5 (Low)</w:t>
            </w:r>
          </w:p>
        </w:tc>
        <w:tc>
          <w:tcPr>
            <w:tcW w:type="dxa" w:w="1080"/>
          </w:tcPr>
          <w:p>
            <w:pPr>
              <w:jc w:val="center"/>
            </w:pPr>
            <w:r/>
            <w:r>
              <w:rPr>
                <w:b w:val="0"/>
                <w:sz w:val="13"/>
              </w:rPr>
              <w:t>Mitigated</w:t>
            </w:r>
          </w:p>
        </w:tc>
        <w:tc>
          <w:tcPr>
            <w:tcW w:type="dxa" w:w="2664"/>
          </w:tcPr>
          <w:p>
            <w:pPr>
              <w:jc w:val="center"/>
            </w:pPr>
            <w:r/>
            <w:r>
              <w:rPr>
                <w:b w:val="0"/>
                <w:sz w:val="13"/>
              </w:rPr>
              <w:t>Unsigned request returns HTTP 403; verified by test — None; retest after any endpoint configuration change</w:t>
            </w:r>
          </w:p>
        </w:tc>
      </w:tr>
      <w:tr>
        <w:tc>
          <w:tcPr>
            <w:tcW w:type="dxa" w:w="504"/>
          </w:tcPr>
          <w:p>
            <w:pPr>
              <w:jc w:val="center"/>
            </w:pPr>
            <w:r/>
            <w:r>
              <w:rPr>
                <w:b w:val="0"/>
                <w:sz w:val="13"/>
              </w:rPr>
              <w:t>T09</w:t>
            </w:r>
          </w:p>
        </w:tc>
        <w:tc>
          <w:tcPr>
            <w:tcW w:type="dxa" w:w="979"/>
          </w:tcPr>
          <w:p>
            <w:pPr>
              <w:jc w:val="center"/>
            </w:pPr>
            <w:r/>
            <w:r>
              <w:rPr>
                <w:b w:val="0"/>
                <w:sz w:val="13"/>
              </w:rPr>
              <w:t>Lambda function</w:t>
            </w:r>
          </w:p>
        </w:tc>
        <w:tc>
          <w:tcPr>
            <w:tcW w:type="dxa" w:w="893"/>
          </w:tcPr>
          <w:p>
            <w:pPr>
              <w:jc w:val="center"/>
            </w:pPr>
            <w:r/>
            <w:r>
              <w:rPr>
                <w:b w:val="0"/>
                <w:sz w:val="13"/>
              </w:rPr>
              <w:t>Elevation</w:t>
            </w:r>
          </w:p>
        </w:tc>
        <w:tc>
          <w:tcPr>
            <w:tcW w:type="dxa" w:w="1944"/>
          </w:tcPr>
          <w:p>
            <w:pPr>
              <w:jc w:val="center"/>
            </w:pPr>
            <w:r/>
            <w:r>
              <w:rPr>
                <w:b w:val="0"/>
                <w:sz w:val="13"/>
              </w:rPr>
              <w:t>Compromised function reaches other account resources</w:t>
            </w:r>
          </w:p>
        </w:tc>
        <w:tc>
          <w:tcPr>
            <w:tcW w:type="dxa" w:w="504"/>
          </w:tcPr>
          <w:p>
            <w:pPr>
              <w:jc w:val="center"/>
            </w:pPr>
            <w:r/>
            <w:r>
              <w:rPr>
                <w:b w:val="0"/>
                <w:sz w:val="13"/>
              </w:rPr>
              <w:t>1/4</w:t>
            </w:r>
          </w:p>
        </w:tc>
        <w:tc>
          <w:tcPr>
            <w:tcW w:type="dxa" w:w="792"/>
          </w:tcPr>
          <w:p>
            <w:pPr>
              <w:jc w:val="center"/>
            </w:pPr>
            <w:r/>
            <w:r>
              <w:rPr>
                <w:b w:val="0"/>
                <w:sz w:val="13"/>
              </w:rPr>
              <w:t>4 (Low)</w:t>
            </w:r>
          </w:p>
        </w:tc>
        <w:tc>
          <w:tcPr>
            <w:tcW w:type="dxa" w:w="1080"/>
          </w:tcPr>
          <w:p>
            <w:pPr>
              <w:jc w:val="center"/>
            </w:pPr>
            <w:r/>
            <w:r>
              <w:rPr>
                <w:b w:val="0"/>
                <w:sz w:val="13"/>
              </w:rPr>
              <w:t>Partially mitigated</w:t>
            </w:r>
          </w:p>
        </w:tc>
        <w:tc>
          <w:tcPr>
            <w:tcW w:type="dxa" w:w="2664"/>
          </w:tcPr>
          <w:p>
            <w:pPr>
              <w:jc w:val="center"/>
            </w:pPr>
            <w:r/>
            <w:r>
              <w:rPr>
                <w:b w:val="0"/>
                <w:sz w:val="13"/>
              </w:rPr>
              <w:t>S3 access is one scoped inline read-only statement; two AWS managed policies remain attached with Resource: * — Replace the two managed policies with scoped inline equivalents; 3 EC2 Describe actions remain unscopable</w:t>
            </w:r>
          </w:p>
        </w:tc>
      </w:tr>
      <w:tr>
        <w:tc>
          <w:tcPr>
            <w:tcW w:type="dxa" w:w="504"/>
          </w:tcPr>
          <w:p>
            <w:pPr>
              <w:jc w:val="center"/>
            </w:pPr>
            <w:r/>
            <w:r>
              <w:rPr>
                <w:b w:val="0"/>
                <w:sz w:val="13"/>
              </w:rPr>
              <w:t>T10</w:t>
            </w:r>
          </w:p>
        </w:tc>
        <w:tc>
          <w:tcPr>
            <w:tcW w:type="dxa" w:w="979"/>
          </w:tcPr>
          <w:p>
            <w:pPr>
              <w:jc w:val="center"/>
            </w:pPr>
            <w:r/>
            <w:r>
              <w:rPr>
                <w:b w:val="0"/>
                <w:sz w:val="13"/>
              </w:rPr>
              <w:t>Lambda function</w:t>
            </w:r>
          </w:p>
        </w:tc>
        <w:tc>
          <w:tcPr>
            <w:tcW w:type="dxa" w:w="893"/>
          </w:tcPr>
          <w:p>
            <w:pPr>
              <w:jc w:val="center"/>
            </w:pPr>
            <w:r/>
            <w:r>
              <w:rPr>
                <w:b w:val="0"/>
                <w:sz w:val="13"/>
              </w:rPr>
              <w:t>Info disclosure</w:t>
            </w:r>
          </w:p>
        </w:tc>
        <w:tc>
          <w:tcPr>
            <w:tcW w:type="dxa" w:w="1944"/>
          </w:tcPr>
          <w:p>
            <w:pPr>
              <w:jc w:val="center"/>
            </w:pPr>
            <w:r/>
            <w:r>
              <w:rPr>
                <w:b w:val="0"/>
                <w:sz w:val="13"/>
              </w:rPr>
              <w:t>Data exfiltrated from the inference environment</w:t>
            </w:r>
          </w:p>
        </w:tc>
        <w:tc>
          <w:tcPr>
            <w:tcW w:type="dxa" w:w="504"/>
          </w:tcPr>
          <w:p>
            <w:pPr>
              <w:jc w:val="center"/>
            </w:pPr>
            <w:r/>
            <w:r>
              <w:rPr>
                <w:b w:val="0"/>
                <w:sz w:val="13"/>
              </w:rPr>
              <w:t>1/4</w:t>
            </w:r>
          </w:p>
        </w:tc>
        <w:tc>
          <w:tcPr>
            <w:tcW w:type="dxa" w:w="792"/>
          </w:tcPr>
          <w:p>
            <w:pPr>
              <w:jc w:val="center"/>
            </w:pPr>
            <w:r/>
            <w:r>
              <w:rPr>
                <w:b w:val="0"/>
                <w:sz w:val="13"/>
              </w:rPr>
              <w:t>4 (Low)</w:t>
            </w:r>
          </w:p>
        </w:tc>
        <w:tc>
          <w:tcPr>
            <w:tcW w:type="dxa" w:w="1080"/>
          </w:tcPr>
          <w:p>
            <w:pPr>
              <w:jc w:val="center"/>
            </w:pPr>
            <w:r/>
            <w:r>
              <w:rPr>
                <w:b w:val="0"/>
                <w:sz w:val="13"/>
              </w:rPr>
              <w:t>Mitigated</w:t>
            </w:r>
          </w:p>
        </w:tc>
        <w:tc>
          <w:tcPr>
            <w:tcW w:type="dxa" w:w="2664"/>
          </w:tcPr>
          <w:p>
            <w:pPr>
              <w:jc w:val="center"/>
            </w:pPr>
            <w:r/>
            <w:r>
              <w:rPr>
                <w:b w:val="0"/>
                <w:sz w:val="13"/>
              </w:rPr>
              <w:t>No internet route; egress limited to the S3 prefix list — None; verify after any security group change</w:t>
            </w:r>
          </w:p>
        </w:tc>
      </w:tr>
      <w:tr>
        <w:tc>
          <w:tcPr>
            <w:tcW w:type="dxa" w:w="504"/>
          </w:tcPr>
          <w:p>
            <w:pPr>
              <w:jc w:val="center"/>
            </w:pPr>
            <w:r/>
            <w:r>
              <w:rPr>
                <w:b w:val="0"/>
                <w:sz w:val="13"/>
              </w:rPr>
              <w:t>T11</w:t>
            </w:r>
          </w:p>
        </w:tc>
        <w:tc>
          <w:tcPr>
            <w:tcW w:type="dxa" w:w="979"/>
          </w:tcPr>
          <w:p>
            <w:pPr>
              <w:jc w:val="center"/>
            </w:pPr>
            <w:r/>
            <w:r>
              <w:rPr>
                <w:b w:val="0"/>
                <w:sz w:val="13"/>
              </w:rPr>
              <w:t>Artefact store</w:t>
            </w:r>
          </w:p>
        </w:tc>
        <w:tc>
          <w:tcPr>
            <w:tcW w:type="dxa" w:w="893"/>
          </w:tcPr>
          <w:p>
            <w:pPr>
              <w:jc w:val="center"/>
            </w:pPr>
            <w:r/>
            <w:r>
              <w:rPr>
                <w:b w:val="0"/>
                <w:sz w:val="13"/>
              </w:rPr>
              <w:t>Tampering</w:t>
            </w:r>
          </w:p>
        </w:tc>
        <w:tc>
          <w:tcPr>
            <w:tcW w:type="dxa" w:w="1944"/>
          </w:tcPr>
          <w:p>
            <w:pPr>
              <w:jc w:val="center"/>
            </w:pPr>
            <w:r/>
            <w:r>
              <w:rPr>
                <w:b w:val="0"/>
                <w:sz w:val="13"/>
              </w:rPr>
              <w:t>Model artefact overwritten or corrupted</w:t>
            </w:r>
          </w:p>
        </w:tc>
        <w:tc>
          <w:tcPr>
            <w:tcW w:type="dxa" w:w="504"/>
          </w:tcPr>
          <w:p>
            <w:pPr>
              <w:jc w:val="center"/>
            </w:pPr>
            <w:r/>
            <w:r>
              <w:rPr>
                <w:b w:val="0"/>
                <w:sz w:val="13"/>
              </w:rPr>
              <w:t>1/5</w:t>
            </w:r>
          </w:p>
        </w:tc>
        <w:tc>
          <w:tcPr>
            <w:tcW w:type="dxa" w:w="792"/>
          </w:tcPr>
          <w:p>
            <w:pPr>
              <w:jc w:val="center"/>
            </w:pPr>
            <w:r/>
            <w:r>
              <w:rPr>
                <w:b w:val="0"/>
                <w:sz w:val="13"/>
              </w:rPr>
              <w:t>5 (Low)</w:t>
            </w:r>
          </w:p>
        </w:tc>
        <w:tc>
          <w:tcPr>
            <w:tcW w:type="dxa" w:w="1080"/>
          </w:tcPr>
          <w:p>
            <w:pPr>
              <w:jc w:val="center"/>
            </w:pPr>
            <w:r/>
            <w:r>
              <w:rPr>
                <w:b w:val="0"/>
                <w:sz w:val="13"/>
              </w:rPr>
              <w:t>Mitigated</w:t>
            </w:r>
          </w:p>
        </w:tc>
        <w:tc>
          <w:tcPr>
            <w:tcW w:type="dxa" w:w="2664"/>
          </w:tcPr>
          <w:p>
            <w:pPr>
              <w:jc w:val="center"/>
            </w:pPr>
            <w:r/>
            <w:r>
              <w:rPr>
                <w:b w:val="0"/>
                <w:sz w:val="13"/>
              </w:rPr>
              <w:t>Versioning enabled; inference role holds read only — Consider MFA delete for stronger guarantees</w:t>
            </w:r>
          </w:p>
        </w:tc>
      </w:tr>
      <w:tr>
        <w:tc>
          <w:tcPr>
            <w:tcW w:type="dxa" w:w="504"/>
          </w:tcPr>
          <w:p>
            <w:pPr>
              <w:jc w:val="center"/>
            </w:pPr>
            <w:r/>
            <w:r>
              <w:rPr>
                <w:b w:val="0"/>
                <w:sz w:val="13"/>
              </w:rPr>
              <w:t>T12</w:t>
            </w:r>
          </w:p>
        </w:tc>
        <w:tc>
          <w:tcPr>
            <w:tcW w:type="dxa" w:w="979"/>
          </w:tcPr>
          <w:p>
            <w:pPr>
              <w:jc w:val="center"/>
            </w:pPr>
            <w:r/>
            <w:r>
              <w:rPr>
                <w:b w:val="0"/>
                <w:sz w:val="13"/>
              </w:rPr>
              <w:t>Network</w:t>
            </w:r>
          </w:p>
        </w:tc>
        <w:tc>
          <w:tcPr>
            <w:tcW w:type="dxa" w:w="893"/>
          </w:tcPr>
          <w:p>
            <w:pPr>
              <w:jc w:val="center"/>
            </w:pPr>
            <w:r/>
            <w:r>
              <w:rPr>
                <w:b w:val="0"/>
                <w:sz w:val="13"/>
              </w:rPr>
              <w:t>Repudiation</w:t>
            </w:r>
          </w:p>
        </w:tc>
        <w:tc>
          <w:tcPr>
            <w:tcW w:type="dxa" w:w="1944"/>
          </w:tcPr>
          <w:p>
            <w:pPr>
              <w:jc w:val="center"/>
            </w:pPr>
            <w:r/>
            <w:r>
              <w:rPr>
                <w:b w:val="0"/>
                <w:sz w:val="13"/>
              </w:rPr>
              <w:t>Network activity within the VPC not attributable</w:t>
            </w:r>
          </w:p>
        </w:tc>
        <w:tc>
          <w:tcPr>
            <w:tcW w:type="dxa" w:w="504"/>
          </w:tcPr>
          <w:p>
            <w:pPr>
              <w:jc w:val="center"/>
            </w:pPr>
            <w:r/>
            <w:r>
              <w:rPr>
                <w:b w:val="0"/>
                <w:sz w:val="13"/>
              </w:rPr>
              <w:t>2/2</w:t>
            </w:r>
          </w:p>
        </w:tc>
        <w:tc>
          <w:tcPr>
            <w:tcW w:type="dxa" w:w="792"/>
          </w:tcPr>
          <w:p>
            <w:pPr>
              <w:jc w:val="center"/>
            </w:pPr>
            <w:r/>
            <w:r>
              <w:rPr>
                <w:b w:val="0"/>
                <w:sz w:val="13"/>
              </w:rPr>
              <w:t>4 (Low)</w:t>
            </w:r>
          </w:p>
        </w:tc>
        <w:tc>
          <w:tcPr>
            <w:tcW w:type="dxa" w:w="1080"/>
          </w:tcPr>
          <w:p>
            <w:pPr>
              <w:jc w:val="center"/>
            </w:pPr>
            <w:r/>
            <w:r>
              <w:rPr>
                <w:b w:val="0"/>
                <w:sz w:val="13"/>
              </w:rPr>
              <w:t>Mitigated</w:t>
            </w:r>
          </w:p>
        </w:tc>
        <w:tc>
          <w:tcPr>
            <w:tcW w:type="dxa" w:w="2664"/>
          </w:tcPr>
          <w:p>
            <w:pPr>
              <w:jc w:val="center"/>
            </w:pPr>
            <w:r/>
            <w:r>
              <w:rPr>
                <w:b w:val="0"/>
                <w:sz w:val="13"/>
              </w:rPr>
              <w:t>VPC Flow Logs enabled, 14-day retention — None</w:t>
            </w:r>
          </w:p>
        </w:tc>
      </w:tr>
      <w:tr>
        <w:tc>
          <w:tcPr>
            <w:tcW w:type="dxa" w:w="504"/>
          </w:tcPr>
          <w:p>
            <w:pPr>
              <w:jc w:val="center"/>
            </w:pPr>
            <w:r/>
            <w:r>
              <w:rPr>
                <w:b w:val="0"/>
                <w:sz w:val="13"/>
              </w:rPr>
              <w:t>T13</w:t>
            </w:r>
          </w:p>
        </w:tc>
        <w:tc>
          <w:tcPr>
            <w:tcW w:type="dxa" w:w="979"/>
          </w:tcPr>
          <w:p>
            <w:pPr>
              <w:jc w:val="center"/>
            </w:pPr>
            <w:r/>
            <w:r>
              <w:rPr>
                <w:b w:val="0"/>
                <w:sz w:val="13"/>
              </w:rPr>
              <w:t>Lambda function</w:t>
            </w:r>
          </w:p>
        </w:tc>
        <w:tc>
          <w:tcPr>
            <w:tcW w:type="dxa" w:w="893"/>
          </w:tcPr>
          <w:p>
            <w:pPr>
              <w:jc w:val="center"/>
            </w:pPr>
            <w:r/>
            <w:r>
              <w:rPr>
                <w:b w:val="0"/>
                <w:sz w:val="13"/>
              </w:rPr>
              <w:t>Tampering</w:t>
            </w:r>
          </w:p>
        </w:tc>
        <w:tc>
          <w:tcPr>
            <w:tcW w:type="dxa" w:w="1944"/>
          </w:tcPr>
          <w:p>
            <w:pPr>
              <w:jc w:val="center"/>
            </w:pPr>
            <w:r/>
            <w:r>
              <w:rPr>
                <w:b w:val="0"/>
                <w:sz w:val="13"/>
              </w:rPr>
              <w:t>Deserialisation of a stored artefact executes attacker code</w:t>
            </w:r>
          </w:p>
        </w:tc>
        <w:tc>
          <w:tcPr>
            <w:tcW w:type="dxa" w:w="504"/>
          </w:tcPr>
          <w:p>
            <w:pPr>
              <w:jc w:val="center"/>
            </w:pPr>
            <w:r/>
            <w:r>
              <w:rPr>
                <w:b w:val="0"/>
                <w:sz w:val="13"/>
              </w:rPr>
              <w:t>1/5</w:t>
            </w:r>
          </w:p>
        </w:tc>
        <w:tc>
          <w:tcPr>
            <w:tcW w:type="dxa" w:w="792"/>
          </w:tcPr>
          <w:p>
            <w:pPr>
              <w:jc w:val="center"/>
            </w:pPr>
            <w:r/>
            <w:r>
              <w:rPr>
                <w:b w:val="0"/>
                <w:sz w:val="13"/>
              </w:rPr>
              <w:t>5 (Low)</w:t>
            </w:r>
          </w:p>
        </w:tc>
        <w:tc>
          <w:tcPr>
            <w:tcW w:type="dxa" w:w="1080"/>
          </w:tcPr>
          <w:p>
            <w:pPr>
              <w:jc w:val="center"/>
            </w:pPr>
            <w:r/>
            <w:r>
              <w:rPr>
                <w:b w:val="0"/>
                <w:sz w:val="13"/>
              </w:rPr>
              <w:t>Mitigated</w:t>
            </w:r>
          </w:p>
        </w:tc>
        <w:tc>
          <w:tcPr>
            <w:tcW w:type="dxa" w:w="2664"/>
          </w:tcPr>
          <w:p>
            <w:pPr>
              <w:jc w:val="center"/>
            </w:pPr>
            <w:r/>
            <w:r>
              <w:rPr>
                <w:b w:val="0"/>
                <w:sz w:val="13"/>
              </w:rPr>
              <w:t>ONNX data format replaces pickle; no code execution path — None</w:t>
            </w:r>
          </w:p>
        </w:tc>
      </w:tr>
      <w:tr>
        <w:tc>
          <w:tcPr>
            <w:tcW w:type="dxa" w:w="504"/>
          </w:tcPr>
          <w:p>
            <w:pPr>
              <w:jc w:val="center"/>
            </w:pPr>
            <w:r/>
            <w:r>
              <w:rPr>
                <w:b w:val="0"/>
                <w:sz w:val="13"/>
              </w:rPr>
              <w:t>T14</w:t>
            </w:r>
          </w:p>
        </w:tc>
        <w:tc>
          <w:tcPr>
            <w:tcW w:type="dxa" w:w="979"/>
          </w:tcPr>
          <w:p>
            <w:pPr>
              <w:jc w:val="center"/>
            </w:pPr>
            <w:r/>
            <w:r>
              <w:rPr>
                <w:b w:val="0"/>
                <w:sz w:val="13"/>
              </w:rPr>
              <w:t>Endpoint</w:t>
            </w:r>
          </w:p>
        </w:tc>
        <w:tc>
          <w:tcPr>
            <w:tcW w:type="dxa" w:w="893"/>
          </w:tcPr>
          <w:p>
            <w:pPr>
              <w:jc w:val="center"/>
            </w:pPr>
            <w:r/>
            <w:r>
              <w:rPr>
                <w:b w:val="0"/>
                <w:sz w:val="13"/>
              </w:rPr>
              <w:t>Info disclosure</w:t>
            </w:r>
          </w:p>
        </w:tc>
        <w:tc>
          <w:tcPr>
            <w:tcW w:type="dxa" w:w="1944"/>
          </w:tcPr>
          <w:p>
            <w:pPr>
              <w:jc w:val="center"/>
            </w:pPr>
            <w:r/>
            <w:r>
              <w:rPr>
                <w:b w:val="0"/>
                <w:sz w:val="13"/>
              </w:rPr>
              <w:t>Error responses disclose internal implementation detail</w:t>
            </w:r>
          </w:p>
        </w:tc>
        <w:tc>
          <w:tcPr>
            <w:tcW w:type="dxa" w:w="504"/>
          </w:tcPr>
          <w:p>
            <w:pPr>
              <w:jc w:val="center"/>
            </w:pPr>
            <w:r/>
            <w:r>
              <w:rPr>
                <w:b w:val="0"/>
                <w:sz w:val="13"/>
              </w:rPr>
              <w:t>1/2</w:t>
            </w:r>
          </w:p>
        </w:tc>
        <w:tc>
          <w:tcPr>
            <w:tcW w:type="dxa" w:w="792"/>
          </w:tcPr>
          <w:p>
            <w:pPr>
              <w:jc w:val="center"/>
            </w:pPr>
            <w:r/>
            <w:r>
              <w:rPr>
                <w:b w:val="0"/>
                <w:sz w:val="13"/>
              </w:rPr>
              <w:t>2 (Low)</w:t>
            </w:r>
          </w:p>
        </w:tc>
        <w:tc>
          <w:tcPr>
            <w:tcW w:type="dxa" w:w="1080"/>
          </w:tcPr>
          <w:p>
            <w:pPr>
              <w:jc w:val="center"/>
            </w:pPr>
            <w:r/>
            <w:r>
              <w:rPr>
                <w:b w:val="0"/>
                <w:sz w:val="13"/>
              </w:rPr>
              <w:t>Mitigated</w:t>
            </w:r>
          </w:p>
        </w:tc>
        <w:tc>
          <w:tcPr>
            <w:tcW w:type="dxa" w:w="2664"/>
          </w:tcPr>
          <w:p>
            <w:pPr>
              <w:jc w:val="center"/>
            </w:pPr>
            <w:r/>
            <w:r>
              <w:rPr>
                <w:b w:val="0"/>
                <w:sz w:val="13"/>
              </w:rPr>
              <w:t>Generic message returned; detail logged internally — None</w:t>
            </w:r>
          </w:p>
        </w:tc>
      </w:tr>
      <w:tr>
        <w:tc>
          <w:tcPr>
            <w:tcW w:type="dxa" w:w="504"/>
          </w:tcPr>
          <w:p>
            <w:pPr>
              <w:jc w:val="center"/>
            </w:pPr>
            <w:r/>
            <w:r>
              <w:rPr>
                <w:b w:val="0"/>
                <w:sz w:val="13"/>
              </w:rPr>
              <w:t>T15</w:t>
            </w:r>
          </w:p>
        </w:tc>
        <w:tc>
          <w:tcPr>
            <w:tcW w:type="dxa" w:w="979"/>
          </w:tcPr>
          <w:p>
            <w:pPr>
              <w:jc w:val="center"/>
            </w:pPr>
            <w:r/>
            <w:r>
              <w:rPr>
                <w:b w:val="0"/>
                <w:sz w:val="13"/>
              </w:rPr>
              <w:t>Detection model</w:t>
            </w:r>
          </w:p>
        </w:tc>
        <w:tc>
          <w:tcPr>
            <w:tcW w:type="dxa" w:w="893"/>
          </w:tcPr>
          <w:p>
            <w:pPr>
              <w:jc w:val="center"/>
            </w:pPr>
            <w:r/>
            <w:r>
              <w:rPr>
                <w:b w:val="0"/>
                <w:sz w:val="13"/>
              </w:rPr>
              <w:t>Denial of service</w:t>
            </w:r>
          </w:p>
        </w:tc>
        <w:tc>
          <w:tcPr>
            <w:tcW w:type="dxa" w:w="1944"/>
          </w:tcPr>
          <w:p>
            <w:pPr>
              <w:jc w:val="center"/>
            </w:pPr>
            <w:r/>
            <w:r>
              <w:rPr>
                <w:b w:val="0"/>
                <w:sz w:val="13"/>
              </w:rPr>
              <w:t>False positive volume exhausts analyst capacity</w:t>
            </w:r>
          </w:p>
        </w:tc>
        <w:tc>
          <w:tcPr>
            <w:tcW w:type="dxa" w:w="504"/>
          </w:tcPr>
          <w:p>
            <w:pPr>
              <w:jc w:val="center"/>
            </w:pPr>
            <w:r/>
            <w:r>
              <w:rPr>
                <w:b w:val="0"/>
                <w:sz w:val="13"/>
              </w:rPr>
              <w:t>3/2</w:t>
            </w:r>
          </w:p>
        </w:tc>
        <w:tc>
          <w:tcPr>
            <w:tcW w:type="dxa" w:w="792"/>
          </w:tcPr>
          <w:p>
            <w:pPr>
              <w:jc w:val="center"/>
            </w:pPr>
            <w:r/>
            <w:r>
              <w:rPr>
                <w:b w:val="0"/>
                <w:sz w:val="13"/>
              </w:rPr>
              <w:t>6 (Medium)</w:t>
            </w:r>
          </w:p>
        </w:tc>
        <w:tc>
          <w:tcPr>
            <w:tcW w:type="dxa" w:w="1080"/>
          </w:tcPr>
          <w:p>
            <w:pPr>
              <w:jc w:val="center"/>
            </w:pPr>
            <w:r/>
            <w:r>
              <w:rPr>
                <w:b w:val="0"/>
                <w:sz w:val="13"/>
              </w:rPr>
              <w:t>Partially mitigated</w:t>
            </w:r>
          </w:p>
        </w:tc>
        <w:tc>
          <w:tcPr>
            <w:tcW w:type="dxa" w:w="2664"/>
          </w:tcPr>
          <w:p>
            <w:pPr>
              <w:jc w:val="center"/>
            </w:pPr>
            <w:r/>
            <w:r>
              <w:rPr>
                <w:b w:val="0"/>
                <w:sz w:val="13"/>
              </w:rPr>
              <w:t>127 false Bots alerts per 504,118 flows after E4 tuning — Confidence floor routing uncertain predictions to review</w:t>
            </w:r>
          </w:p>
        </w:tc>
      </w:tr>
    </w:tbl>
    <w:p/>
    <w:p>
      <w:pPr>
        <w:pStyle w:val="Heading2"/>
      </w:pPr>
      <w:r>
        <w:rPr>
          <w:rFonts w:ascii="Arial" w:hAnsi="Arial"/>
          <w:sz w:val="28"/>
        </w:rPr>
        <w:t xml:space="preserve">Appendix C: Requirements traceability matrix</w:t>
      </w:r>
    </w:p>
    <w:p>
      <w:pPr/>
      <w:r/>
      <w:r>
        <w:t>All eighteen functional and non-functional requirements (Section: Requirements analysis, Fact Finding), traced individually to their verification evidence. The fifteen security requirements (NF1-NF15) derive from the STRIDE + MITRE ATLAS threat register in Appendix B; the three functional requirements (F1-F3) derive from the project's aim and objectives directly. “Partially met” and “Not met” are stated explicitly rather than folded into “Met,” consistent with this project's practice of recording gaps rather than hiding them (Section: Security controls, Critical Evaluation).</w:t>
      </w:r>
    </w:p>
    <w:p>
      <w:pPr>
        <w:pStyle w:val="Caption"/>
        <w:jc w:val="center"/>
      </w:pPr>
      <w:r>
        <w:t xml:space="preserve">Table </w:t>
      </w:r>
      <w:r>
        <w:fldChar w:fldCharType="begin"/>
      </w:r>
      <w:r>
        <w:instrText xml:space="preserve"> SEQ Table \* ARABIC </w:instrText>
      </w:r>
      <w:r>
        <w:fldChar w:fldCharType="separate"/>
      </w:r>
      <w:r>
        <w:t>1</w:t>
      </w:r>
      <w:r>
        <w:fldChar w:fldCharType="end"/>
      </w:r>
      <w:r>
        <w:t>. Requirements traceability matrix (18 requirements).</w:t>
      </w:r>
    </w:p>
    <w:tbl>
      <w:tblPr>
        <w:tblStyle w:val="TableGrid"/>
        <w:tblW w:type="auto" w:w="0"/>
        <w:jc w:val="center"/>
        <w:tblLayout w:type="fixed"/>
        <w:tblLook w:firstColumn="1" w:firstRow="1" w:lastColumn="0" w:lastRow="0" w:noHBand="0" w:noVBand="1" w:val="04A0"/>
      </w:tblPr>
      <w:tblGrid>
        <w:gridCol w:w="503"/>
        <w:gridCol w:w="3311"/>
        <w:gridCol w:w="1512"/>
        <w:gridCol w:w="1080"/>
        <w:gridCol w:w="2951"/>
      </w:tblGrid>
      <w:tr>
        <w:tc>
          <w:tcPr>
            <w:tcW w:type="dxa" w:w="504"/>
            <w:shd w:val="clear" w:color="auto" w:fill="44546A"/>
          </w:tcPr>
          <w:p>
            <w:pPr>
              <w:jc w:val="center"/>
            </w:pPr>
            <w:r/>
            <w:r>
              <w:rPr>
                <w:b/>
                <w:color w:val="FFFFFF"/>
                <w:sz w:val="15"/>
              </w:rPr>
              <w:t>#</w:t>
            </w:r>
          </w:p>
        </w:tc>
        <w:tc>
          <w:tcPr>
            <w:tcW w:type="dxa" w:w="3312"/>
            <w:shd w:val="clear" w:color="auto" w:fill="44546A"/>
          </w:tcPr>
          <w:p>
            <w:pPr>
              <w:jc w:val="center"/>
            </w:pPr>
            <w:r/>
            <w:r>
              <w:rPr>
                <w:b/>
                <w:color w:val="FFFFFF"/>
                <w:sz w:val="15"/>
              </w:rPr>
              <w:t>Requirement</w:t>
            </w:r>
          </w:p>
        </w:tc>
        <w:tc>
          <w:tcPr>
            <w:tcW w:type="dxa" w:w="1512"/>
            <w:shd w:val="clear" w:color="auto" w:fill="44546A"/>
          </w:tcPr>
          <w:p>
            <w:pPr>
              <w:jc w:val="center"/>
            </w:pPr>
            <w:r/>
            <w:r>
              <w:rPr>
                <w:b/>
                <w:color w:val="FFFFFF"/>
                <w:sz w:val="15"/>
              </w:rPr>
              <w:t>Type</w:t>
            </w:r>
          </w:p>
        </w:tc>
        <w:tc>
          <w:tcPr>
            <w:tcW w:type="dxa" w:w="1080"/>
            <w:shd w:val="clear" w:color="auto" w:fill="44546A"/>
          </w:tcPr>
          <w:p>
            <w:pPr>
              <w:jc w:val="center"/>
            </w:pPr>
            <w:r/>
            <w:r>
              <w:rPr>
                <w:b/>
                <w:color w:val="FFFFFF"/>
                <w:sz w:val="15"/>
              </w:rPr>
              <w:t>Status</w:t>
            </w:r>
          </w:p>
        </w:tc>
        <w:tc>
          <w:tcPr>
            <w:tcW w:type="dxa" w:w="2952"/>
            <w:shd w:val="clear" w:color="auto" w:fill="44546A"/>
          </w:tcPr>
          <w:p>
            <w:pPr>
              <w:jc w:val="center"/>
            </w:pPr>
            <w:r/>
            <w:r>
              <w:rPr>
                <w:b/>
                <w:color w:val="FFFFFF"/>
                <w:sz w:val="15"/>
              </w:rPr>
              <w:t>Verification evidence</w:t>
            </w:r>
          </w:p>
        </w:tc>
      </w:tr>
      <w:tr>
        <w:tc>
          <w:tcPr>
            <w:tcW w:type="dxa" w:w="504"/>
          </w:tcPr>
          <w:p>
            <w:pPr>
              <w:jc w:val="center"/>
            </w:pPr>
            <w:r/>
            <w:r>
              <w:rPr>
                <w:b w:val="0"/>
                <w:sz w:val="13"/>
              </w:rPr>
              <w:t>F1</w:t>
            </w:r>
          </w:p>
        </w:tc>
        <w:tc>
          <w:tcPr>
            <w:tcW w:type="dxa" w:w="3312"/>
          </w:tcPr>
          <w:p>
            <w:pPr>
              <w:jc w:val="center"/>
            </w:pPr>
            <w:r/>
            <w:r>
              <w:rPr>
                <w:b w:val="0"/>
                <w:sz w:val="13"/>
              </w:rPr>
              <w:t>Classify a network flow (52 CICIDS2017 features) into one of seven classes</w:t>
            </w:r>
          </w:p>
        </w:tc>
        <w:tc>
          <w:tcPr>
            <w:tcW w:type="dxa" w:w="1512"/>
          </w:tcPr>
          <w:p>
            <w:pPr>
              <w:jc w:val="center"/>
            </w:pPr>
            <w:r/>
            <w:r>
              <w:rPr>
                <w:b w:val="0"/>
                <w:sz w:val="13"/>
              </w:rPr>
              <w:t>Functional</w:t>
            </w:r>
          </w:p>
        </w:tc>
        <w:tc>
          <w:tcPr>
            <w:tcW w:type="dxa" w:w="1080"/>
          </w:tcPr>
          <w:p>
            <w:pPr>
              <w:jc w:val="center"/>
            </w:pPr>
            <w:r/>
            <w:r>
              <w:rPr>
                <w:b w:val="0"/>
                <w:sz w:val="13"/>
              </w:rPr>
              <w:t>Met</w:t>
            </w:r>
          </w:p>
        </w:tc>
        <w:tc>
          <w:tcPr>
            <w:tcW w:type="dxa" w:w="2952"/>
          </w:tcPr>
          <w:p>
            <w:pPr>
              <w:jc w:val="center"/>
            </w:pPr>
            <w:r/>
            <w:r>
              <w:rPr>
                <w:b w:val="0"/>
                <w:sz w:val="13"/>
              </w:rPr>
              <w:t>E1-E4 experiment sequence; final configuration reaches macro F1 0.9721 on the held-out test set</w:t>
            </w:r>
          </w:p>
        </w:tc>
      </w:tr>
      <w:tr>
        <w:tc>
          <w:tcPr>
            <w:tcW w:type="dxa" w:w="504"/>
          </w:tcPr>
          <w:p>
            <w:pPr>
              <w:jc w:val="center"/>
            </w:pPr>
            <w:r/>
            <w:r>
              <w:rPr>
                <w:b w:val="0"/>
                <w:sz w:val="13"/>
              </w:rPr>
              <w:t>F2</w:t>
            </w:r>
          </w:p>
        </w:tc>
        <w:tc>
          <w:tcPr>
            <w:tcW w:type="dxa" w:w="3312"/>
          </w:tcPr>
          <w:p>
            <w:pPr>
              <w:jc w:val="center"/>
            </w:pPr>
            <w:r/>
            <w:r>
              <w:rPr>
                <w:b w:val="0"/>
                <w:sz w:val="13"/>
              </w:rPr>
              <w:t>Expose classification through an API callable by an external client</w:t>
            </w:r>
          </w:p>
        </w:tc>
        <w:tc>
          <w:tcPr>
            <w:tcW w:type="dxa" w:w="1512"/>
          </w:tcPr>
          <w:p>
            <w:pPr>
              <w:jc w:val="center"/>
            </w:pPr>
            <w:r/>
            <w:r>
              <w:rPr>
                <w:b w:val="0"/>
                <w:sz w:val="13"/>
              </w:rPr>
              <w:t>Functional</w:t>
            </w:r>
          </w:p>
        </w:tc>
        <w:tc>
          <w:tcPr>
            <w:tcW w:type="dxa" w:w="1080"/>
          </w:tcPr>
          <w:p>
            <w:pPr>
              <w:jc w:val="center"/>
            </w:pPr>
            <w:r/>
            <w:r>
              <w:rPr>
                <w:b w:val="0"/>
                <w:sz w:val="13"/>
              </w:rPr>
              <w:t>Met</w:t>
            </w:r>
          </w:p>
        </w:tc>
        <w:tc>
          <w:tcPr>
            <w:tcW w:type="dxa" w:w="2952"/>
          </w:tcPr>
          <w:p>
            <w:pPr>
              <w:jc w:val="center"/>
            </w:pPr>
            <w:r/>
            <w:r>
              <w:rPr>
                <w:b w:val="0"/>
                <w:sz w:val="13"/>
              </w:rPr>
              <w:t>35/35 (pre- and post-VPC) and 199/200 functional verification runs against the deployed Lambda Function URL</w:t>
            </w:r>
          </w:p>
        </w:tc>
      </w:tr>
      <w:tr>
        <w:tc>
          <w:tcPr>
            <w:tcW w:type="dxa" w:w="504"/>
          </w:tcPr>
          <w:p>
            <w:pPr>
              <w:jc w:val="center"/>
            </w:pPr>
            <w:r/>
            <w:r>
              <w:rPr>
                <w:b w:val="0"/>
                <w:sz w:val="13"/>
              </w:rPr>
              <w:t>F3</w:t>
            </w:r>
          </w:p>
        </w:tc>
        <w:tc>
          <w:tcPr>
            <w:tcW w:type="dxa" w:w="3312"/>
          </w:tcPr>
          <w:p>
            <w:pPr>
              <w:jc w:val="center"/>
            </w:pPr>
            <w:r/>
            <w:r>
              <w:rPr>
                <w:b w:val="0"/>
                <w:sz w:val="13"/>
              </w:rPr>
              <w:t>Present results to an analyst in a reviewable form</w:t>
            </w:r>
          </w:p>
        </w:tc>
        <w:tc>
          <w:tcPr>
            <w:tcW w:type="dxa" w:w="1512"/>
          </w:tcPr>
          <w:p>
            <w:pPr>
              <w:jc w:val="center"/>
            </w:pPr>
            <w:r/>
            <w:r>
              <w:rPr>
                <w:b w:val="0"/>
                <w:sz w:val="13"/>
              </w:rPr>
              <w:t>Functional</w:t>
            </w:r>
          </w:p>
        </w:tc>
        <w:tc>
          <w:tcPr>
            <w:tcW w:type="dxa" w:w="1080"/>
          </w:tcPr>
          <w:p>
            <w:pPr>
              <w:jc w:val="center"/>
            </w:pPr>
            <w:r/>
            <w:r>
              <w:rPr>
                <w:b w:val="0"/>
                <w:sz w:val="13"/>
              </w:rPr>
              <w:t>Met</w:t>
            </w:r>
          </w:p>
        </w:tc>
        <w:tc>
          <w:tcPr>
            <w:tcW w:type="dxa" w:w="2952"/>
          </w:tcPr>
          <w:p>
            <w:pPr>
              <w:jc w:val="center"/>
            </w:pPr>
            <w:r/>
            <w:r>
              <w:rPr>
                <w:b w:val="0"/>
                <w:sz w:val="13"/>
              </w:rPr>
              <w:t>Streamlit analyst console: detection review, class distribution, CloudWatch telemetry, threat register</w:t>
            </w:r>
          </w:p>
        </w:tc>
      </w:tr>
      <w:tr>
        <w:tc>
          <w:tcPr>
            <w:tcW w:type="dxa" w:w="504"/>
          </w:tcPr>
          <w:p>
            <w:pPr>
              <w:jc w:val="center"/>
            </w:pPr>
            <w:r/>
            <w:r>
              <w:rPr>
                <w:b w:val="0"/>
                <w:sz w:val="13"/>
              </w:rPr>
              <w:t>NF1</w:t>
            </w:r>
          </w:p>
        </w:tc>
        <w:tc>
          <w:tcPr>
            <w:tcW w:type="dxa" w:w="3312"/>
          </w:tcPr>
          <w:p>
            <w:pPr>
              <w:jc w:val="center"/>
            </w:pPr>
            <w:r/>
            <w:r>
              <w:rPr>
                <w:b w:val="0"/>
                <w:sz w:val="13"/>
              </w:rPr>
              <w:t>Endpoint must reject unauthenticated requests (T08)</w:t>
            </w:r>
          </w:p>
        </w:tc>
        <w:tc>
          <w:tcPr>
            <w:tcW w:type="dxa" w:w="1512"/>
          </w:tcPr>
          <w:p>
            <w:pPr>
              <w:jc w:val="center"/>
            </w:pPr>
            <w:r/>
            <w:r>
              <w:rPr>
                <w:b w:val="0"/>
                <w:sz w:val="13"/>
              </w:rPr>
              <w:t>Non-functional / security</w:t>
            </w:r>
          </w:p>
        </w:tc>
        <w:tc>
          <w:tcPr>
            <w:tcW w:type="dxa" w:w="1080"/>
          </w:tcPr>
          <w:p>
            <w:pPr>
              <w:jc w:val="center"/>
            </w:pPr>
            <w:r/>
            <w:r>
              <w:rPr>
                <w:b w:val="0"/>
                <w:sz w:val="13"/>
              </w:rPr>
              <w:t>Met</w:t>
            </w:r>
          </w:p>
        </w:tc>
        <w:tc>
          <w:tcPr>
            <w:tcW w:type="dxa" w:w="2952"/>
          </w:tcPr>
          <w:p>
            <w:pPr>
              <w:jc w:val="center"/>
            </w:pPr>
            <w:r/>
            <w:r>
              <w:rPr>
                <w:b w:val="0"/>
                <w:sz w:val="13"/>
              </w:rPr>
              <w:t>Verified by direct test: unsigned request returns HTTP 403, signed request returns HTTP 200</w:t>
            </w:r>
          </w:p>
        </w:tc>
      </w:tr>
      <w:tr>
        <w:tc>
          <w:tcPr>
            <w:tcW w:type="dxa" w:w="504"/>
          </w:tcPr>
          <w:p>
            <w:pPr>
              <w:jc w:val="center"/>
            </w:pPr>
            <w:r/>
            <w:r>
              <w:rPr>
                <w:b w:val="0"/>
                <w:sz w:val="13"/>
              </w:rPr>
              <w:t>NF2</w:t>
            </w:r>
          </w:p>
        </w:tc>
        <w:tc>
          <w:tcPr>
            <w:tcW w:type="dxa" w:w="3312"/>
          </w:tcPr>
          <w:p>
            <w:pPr>
              <w:jc w:val="center"/>
            </w:pPr>
            <w:r/>
            <w:r>
              <w:rPr>
                <w:b w:val="0"/>
                <w:sz w:val="13"/>
              </w:rPr>
              <w:t>Inference function must have no route to the public internet (T10)</w:t>
            </w:r>
          </w:p>
        </w:tc>
        <w:tc>
          <w:tcPr>
            <w:tcW w:type="dxa" w:w="1512"/>
          </w:tcPr>
          <w:p>
            <w:pPr>
              <w:jc w:val="center"/>
            </w:pPr>
            <w:r/>
            <w:r>
              <w:rPr>
                <w:b w:val="0"/>
                <w:sz w:val="13"/>
              </w:rPr>
              <w:t>Non-functional / security</w:t>
            </w:r>
          </w:p>
        </w:tc>
        <w:tc>
          <w:tcPr>
            <w:tcW w:type="dxa" w:w="1080"/>
          </w:tcPr>
          <w:p>
            <w:pPr>
              <w:jc w:val="center"/>
            </w:pPr>
            <w:r/>
            <w:r>
              <w:rPr>
                <w:b w:val="0"/>
                <w:sz w:val="13"/>
              </w:rPr>
              <w:t>Met</w:t>
            </w:r>
          </w:p>
        </w:tc>
        <w:tc>
          <w:tcPr>
            <w:tcW w:type="dxa" w:w="2952"/>
          </w:tcPr>
          <w:p>
            <w:pPr>
              <w:jc w:val="center"/>
            </w:pPr>
            <w:r/>
            <w:r>
              <w:rPr>
                <w:b w:val="0"/>
                <w:sz w:val="13"/>
              </w:rPr>
              <w:t>VPC route table has no internet or NAT gateway; functional operation confirmed without one</w:t>
            </w:r>
          </w:p>
        </w:tc>
      </w:tr>
      <w:tr>
        <w:tc>
          <w:tcPr>
            <w:tcW w:type="dxa" w:w="504"/>
          </w:tcPr>
          <w:p>
            <w:pPr>
              <w:jc w:val="center"/>
            </w:pPr>
            <w:r/>
            <w:r>
              <w:rPr>
                <w:b w:val="0"/>
                <w:sz w:val="13"/>
              </w:rPr>
              <w:t>NF3</w:t>
            </w:r>
          </w:p>
        </w:tc>
        <w:tc>
          <w:tcPr>
            <w:tcW w:type="dxa" w:w="3312"/>
          </w:tcPr>
          <w:p>
            <w:pPr>
              <w:jc w:val="center"/>
            </w:pPr>
            <w:r/>
            <w:r>
              <w:rPr>
                <w:b w:val="0"/>
                <w:sz w:val="13"/>
              </w:rPr>
              <w:t>Execution role must not be able to modify or overwrite the model artefact (T07, T11)</w:t>
            </w:r>
          </w:p>
        </w:tc>
        <w:tc>
          <w:tcPr>
            <w:tcW w:type="dxa" w:w="1512"/>
          </w:tcPr>
          <w:p>
            <w:pPr>
              <w:jc w:val="center"/>
            </w:pPr>
            <w:r/>
            <w:r>
              <w:rPr>
                <w:b w:val="0"/>
                <w:sz w:val="13"/>
              </w:rPr>
              <w:t>Non-functional / security</w:t>
            </w:r>
          </w:p>
        </w:tc>
        <w:tc>
          <w:tcPr>
            <w:tcW w:type="dxa" w:w="1080"/>
          </w:tcPr>
          <w:p>
            <w:pPr>
              <w:jc w:val="center"/>
            </w:pPr>
            <w:r/>
            <w:r>
              <w:rPr>
                <w:b w:val="0"/>
                <w:sz w:val="13"/>
              </w:rPr>
              <w:t>Met</w:t>
            </w:r>
          </w:p>
        </w:tc>
        <w:tc>
          <w:tcPr>
            <w:tcW w:type="dxa" w:w="2952"/>
          </w:tcPr>
          <w:p>
            <w:pPr>
              <w:jc w:val="center"/>
            </w:pPr>
            <w:r/>
            <w:r>
              <w:rPr>
                <w:b w:val="0"/>
                <w:sz w:val="13"/>
              </w:rPr>
              <w:t>IAM policy inspection: no PutObject grant; S3 bucket versioning enabled</w:t>
            </w:r>
          </w:p>
        </w:tc>
      </w:tr>
      <w:tr>
        <w:tc>
          <w:tcPr>
            <w:tcW w:type="dxa" w:w="504"/>
          </w:tcPr>
          <w:p>
            <w:pPr>
              <w:jc w:val="center"/>
            </w:pPr>
            <w:r/>
            <w:r>
              <w:rPr>
                <w:b w:val="0"/>
                <w:sz w:val="13"/>
              </w:rPr>
              <w:t>NF4</w:t>
            </w:r>
          </w:p>
        </w:tc>
        <w:tc>
          <w:tcPr>
            <w:tcW w:type="dxa" w:w="3312"/>
          </w:tcPr>
          <w:p>
            <w:pPr>
              <w:jc w:val="center"/>
            </w:pPr>
            <w:r/>
            <w:r>
              <w:rPr>
                <w:b w:val="0"/>
                <w:sz w:val="13"/>
              </w:rPr>
              <w:t>Model format conversion must not introduce a code-execution path (T13)</w:t>
            </w:r>
          </w:p>
        </w:tc>
        <w:tc>
          <w:tcPr>
            <w:tcW w:type="dxa" w:w="1512"/>
          </w:tcPr>
          <w:p>
            <w:pPr>
              <w:jc w:val="center"/>
            </w:pPr>
            <w:r/>
            <w:r>
              <w:rPr>
                <w:b w:val="0"/>
                <w:sz w:val="13"/>
              </w:rPr>
              <w:t>Non-functional / security</w:t>
            </w:r>
          </w:p>
        </w:tc>
        <w:tc>
          <w:tcPr>
            <w:tcW w:type="dxa" w:w="1080"/>
          </w:tcPr>
          <w:p>
            <w:pPr>
              <w:jc w:val="center"/>
            </w:pPr>
            <w:r/>
            <w:r>
              <w:rPr>
                <w:b w:val="0"/>
                <w:sz w:val="13"/>
              </w:rPr>
              <w:t>Met</w:t>
            </w:r>
          </w:p>
        </w:tc>
        <w:tc>
          <w:tcPr>
            <w:tcW w:type="dxa" w:w="2952"/>
          </w:tcPr>
          <w:p>
            <w:pPr>
              <w:jc w:val="center"/>
            </w:pPr>
            <w:r/>
            <w:r>
              <w:rPr>
                <w:b w:val="0"/>
                <w:sz w:val="13"/>
              </w:rPr>
              <w:t>ONNX (parsed as data) replaces pickle; verified against the source model, 5,000 samples, max probability difference 2.384e-07</w:t>
            </w:r>
          </w:p>
        </w:tc>
      </w:tr>
      <w:tr>
        <w:tc>
          <w:tcPr>
            <w:tcW w:type="dxa" w:w="504"/>
          </w:tcPr>
          <w:p>
            <w:pPr>
              <w:jc w:val="center"/>
            </w:pPr>
            <w:r/>
            <w:r>
              <w:rPr>
                <w:b w:val="0"/>
                <w:sz w:val="13"/>
              </w:rPr>
              <w:t>NF5</w:t>
            </w:r>
          </w:p>
        </w:tc>
        <w:tc>
          <w:tcPr>
            <w:tcW w:type="dxa" w:w="3312"/>
          </w:tcPr>
          <w:p>
            <w:pPr>
              <w:jc w:val="center"/>
            </w:pPr>
            <w:r/>
            <w:r>
              <w:rPr>
                <w:b w:val="0"/>
                <w:sz w:val="13"/>
              </w:rPr>
              <w:t>Execution role must follow least privilege (T09)</w:t>
            </w:r>
          </w:p>
        </w:tc>
        <w:tc>
          <w:tcPr>
            <w:tcW w:type="dxa" w:w="1512"/>
          </w:tcPr>
          <w:p>
            <w:pPr>
              <w:jc w:val="center"/>
            </w:pPr>
            <w:r/>
            <w:r>
              <w:rPr>
                <w:b w:val="0"/>
                <w:sz w:val="13"/>
              </w:rPr>
              <w:t>Non-functional / security</w:t>
            </w:r>
          </w:p>
        </w:tc>
        <w:tc>
          <w:tcPr>
            <w:tcW w:type="dxa" w:w="1080"/>
          </w:tcPr>
          <w:p>
            <w:pPr>
              <w:jc w:val="center"/>
            </w:pPr>
            <w:r/>
            <w:r>
              <w:rPr>
                <w:b w:val="0"/>
                <w:sz w:val="13"/>
              </w:rPr>
              <w:t>Partially met</w:t>
            </w:r>
          </w:p>
        </w:tc>
        <w:tc>
          <w:tcPr>
            <w:tcW w:type="dxa" w:w="2952"/>
          </w:tcPr>
          <w:p>
            <w:pPr>
              <w:jc w:val="center"/>
            </w:pPr>
            <w:r/>
            <w:r>
              <w:rPr>
                <w:b w:val="0"/>
                <w:sz w:val="13"/>
              </w:rPr>
              <w:t>S3 grant is one scoped inline read-only statement, but two AWS managed policies remain attached with Resource: *</w:t>
            </w:r>
          </w:p>
        </w:tc>
      </w:tr>
      <w:tr>
        <w:tc>
          <w:tcPr>
            <w:tcW w:type="dxa" w:w="504"/>
          </w:tcPr>
          <w:p>
            <w:pPr>
              <w:jc w:val="center"/>
            </w:pPr>
            <w:r/>
            <w:r>
              <w:rPr>
                <w:b w:val="0"/>
                <w:sz w:val="13"/>
              </w:rPr>
              <w:t>NF6</w:t>
            </w:r>
          </w:p>
        </w:tc>
        <w:tc>
          <w:tcPr>
            <w:tcW w:type="dxa" w:w="3312"/>
          </w:tcPr>
          <w:p>
            <w:pPr>
              <w:jc w:val="center"/>
            </w:pPr>
            <w:r/>
            <w:r>
              <w:rPr>
                <w:b w:val="0"/>
                <w:sz w:val="13"/>
              </w:rPr>
              <w:t>Network activity within the VPC must be attributable (T12)</w:t>
            </w:r>
          </w:p>
        </w:tc>
        <w:tc>
          <w:tcPr>
            <w:tcW w:type="dxa" w:w="1512"/>
          </w:tcPr>
          <w:p>
            <w:pPr>
              <w:jc w:val="center"/>
            </w:pPr>
            <w:r/>
            <w:r>
              <w:rPr>
                <w:b w:val="0"/>
                <w:sz w:val="13"/>
              </w:rPr>
              <w:t>Non-functional / security</w:t>
            </w:r>
          </w:p>
        </w:tc>
        <w:tc>
          <w:tcPr>
            <w:tcW w:type="dxa" w:w="1080"/>
          </w:tcPr>
          <w:p>
            <w:pPr>
              <w:jc w:val="center"/>
            </w:pPr>
            <w:r/>
            <w:r>
              <w:rPr>
                <w:b w:val="0"/>
                <w:sz w:val="13"/>
              </w:rPr>
              <w:t>Met</w:t>
            </w:r>
          </w:p>
        </w:tc>
        <w:tc>
          <w:tcPr>
            <w:tcW w:type="dxa" w:w="2952"/>
          </w:tcPr>
          <w:p>
            <w:pPr>
              <w:jc w:val="center"/>
            </w:pPr>
            <w:r/>
            <w:r>
              <w:rPr>
                <w:b w:val="0"/>
                <w:sz w:val="13"/>
              </w:rPr>
              <w:t>VPC Flow Logs enabled, 14-day retention</w:t>
            </w:r>
          </w:p>
        </w:tc>
      </w:tr>
      <w:tr>
        <w:tc>
          <w:tcPr>
            <w:tcW w:type="dxa" w:w="504"/>
          </w:tcPr>
          <w:p>
            <w:pPr>
              <w:jc w:val="center"/>
            </w:pPr>
            <w:r/>
            <w:r>
              <w:rPr>
                <w:b w:val="0"/>
                <w:sz w:val="13"/>
              </w:rPr>
              <w:t>NF7</w:t>
            </w:r>
          </w:p>
        </w:tc>
        <w:tc>
          <w:tcPr>
            <w:tcW w:type="dxa" w:w="3312"/>
          </w:tcPr>
          <w:p>
            <w:pPr>
              <w:jc w:val="center"/>
            </w:pPr>
            <w:r/>
            <w:r>
              <w:rPr>
                <w:b w:val="0"/>
                <w:sz w:val="13"/>
              </w:rPr>
              <w:t>Access to model artefacts in S3 must be attributable (T06)</w:t>
            </w:r>
          </w:p>
        </w:tc>
        <w:tc>
          <w:tcPr>
            <w:tcW w:type="dxa" w:w="1512"/>
          </w:tcPr>
          <w:p>
            <w:pPr>
              <w:jc w:val="center"/>
            </w:pPr>
            <w:r/>
            <w:r>
              <w:rPr>
                <w:b w:val="0"/>
                <w:sz w:val="13"/>
              </w:rPr>
              <w:t>Non-functional / security</w:t>
            </w:r>
          </w:p>
        </w:tc>
        <w:tc>
          <w:tcPr>
            <w:tcW w:type="dxa" w:w="1080"/>
          </w:tcPr>
          <w:p>
            <w:pPr>
              <w:jc w:val="center"/>
            </w:pPr>
            <w:r/>
            <w:r>
              <w:rPr>
                <w:b w:val="0"/>
                <w:sz w:val="13"/>
              </w:rPr>
              <w:t>Not met</w:t>
            </w:r>
          </w:p>
        </w:tc>
        <w:tc>
          <w:tcPr>
            <w:tcW w:type="dxa" w:w="2952"/>
          </w:tcPr>
          <w:p>
            <w:pPr>
              <w:jc w:val="center"/>
            </w:pPr>
            <w:r/>
            <w:r>
              <w:rPr>
                <w:b w:val="0"/>
                <w:sz w:val="13"/>
              </w:rPr>
              <w:t>CloudTrail data events disabled on cost grounds; accepted risk</w:t>
            </w:r>
          </w:p>
        </w:tc>
      </w:tr>
      <w:tr>
        <w:tc>
          <w:tcPr>
            <w:tcW w:type="dxa" w:w="504"/>
          </w:tcPr>
          <w:p>
            <w:pPr>
              <w:jc w:val="center"/>
            </w:pPr>
            <w:r/>
            <w:r>
              <w:rPr>
                <w:b w:val="0"/>
                <w:sz w:val="13"/>
              </w:rPr>
              <w:t>NF8</w:t>
            </w:r>
          </w:p>
        </w:tc>
        <w:tc>
          <w:tcPr>
            <w:tcW w:type="dxa" w:w="3312"/>
          </w:tcPr>
          <w:p>
            <w:pPr>
              <w:jc w:val="center"/>
            </w:pPr>
            <w:r/>
            <w:r>
              <w:rPr>
                <w:b w:val="0"/>
                <w:sz w:val="13"/>
              </w:rPr>
              <w:t>Error responses must not disclose internal implementation detail (T14)</w:t>
            </w:r>
          </w:p>
        </w:tc>
        <w:tc>
          <w:tcPr>
            <w:tcW w:type="dxa" w:w="1512"/>
          </w:tcPr>
          <w:p>
            <w:pPr>
              <w:jc w:val="center"/>
            </w:pPr>
            <w:r/>
            <w:r>
              <w:rPr>
                <w:b w:val="0"/>
                <w:sz w:val="13"/>
              </w:rPr>
              <w:t>Non-functional / security</w:t>
            </w:r>
          </w:p>
        </w:tc>
        <w:tc>
          <w:tcPr>
            <w:tcW w:type="dxa" w:w="1080"/>
          </w:tcPr>
          <w:p>
            <w:pPr>
              <w:jc w:val="center"/>
            </w:pPr>
            <w:r/>
            <w:r>
              <w:rPr>
                <w:b w:val="0"/>
                <w:sz w:val="13"/>
              </w:rPr>
              <w:t>Met</w:t>
            </w:r>
          </w:p>
        </w:tc>
        <w:tc>
          <w:tcPr>
            <w:tcW w:type="dxa" w:w="2952"/>
          </w:tcPr>
          <w:p>
            <w:pPr>
              <w:jc w:val="center"/>
            </w:pPr>
            <w:r/>
            <w:r>
              <w:rPr>
                <w:b w:val="0"/>
                <w:sz w:val="13"/>
              </w:rPr>
              <w:t>Generic error message returned to the caller; implementation detail logged internally only</w:t>
            </w:r>
          </w:p>
        </w:tc>
      </w:tr>
      <w:tr>
        <w:tc>
          <w:tcPr>
            <w:tcW w:type="dxa" w:w="504"/>
          </w:tcPr>
          <w:p>
            <w:pPr>
              <w:jc w:val="center"/>
            </w:pPr>
            <w:r/>
            <w:r>
              <w:rPr>
                <w:b w:val="0"/>
                <w:sz w:val="13"/>
              </w:rPr>
              <w:t>NF9</w:t>
            </w:r>
          </w:p>
        </w:tc>
        <w:tc>
          <w:tcPr>
            <w:tcW w:type="dxa" w:w="3312"/>
          </w:tcPr>
          <w:p>
            <w:pPr>
              <w:jc w:val="center"/>
            </w:pPr>
            <w:r/>
            <w:r>
              <w:rPr>
                <w:b w:val="0"/>
                <w:sz w:val="13"/>
              </w:rPr>
              <w:t>Endpoint must resist unbounded request floods (T04)</w:t>
            </w:r>
          </w:p>
        </w:tc>
        <w:tc>
          <w:tcPr>
            <w:tcW w:type="dxa" w:w="1512"/>
          </w:tcPr>
          <w:p>
            <w:pPr>
              <w:jc w:val="center"/>
            </w:pPr>
            <w:r/>
            <w:r>
              <w:rPr>
                <w:b w:val="0"/>
                <w:sz w:val="13"/>
              </w:rPr>
              <w:t>Non-functional / security</w:t>
            </w:r>
          </w:p>
        </w:tc>
        <w:tc>
          <w:tcPr>
            <w:tcW w:type="dxa" w:w="1080"/>
          </w:tcPr>
          <w:p>
            <w:pPr>
              <w:jc w:val="center"/>
            </w:pPr>
            <w:r/>
            <w:r>
              <w:rPr>
                <w:b w:val="0"/>
                <w:sz w:val="13"/>
              </w:rPr>
              <w:t>Partially met</w:t>
            </w:r>
          </w:p>
        </w:tc>
        <w:tc>
          <w:tcPr>
            <w:tcW w:type="dxa" w:w="2952"/>
          </w:tcPr>
          <w:p>
            <w:pPr>
              <w:jc w:val="center"/>
            </w:pPr>
            <w:r/>
            <w:r>
              <w:rPr>
                <w:b w:val="0"/>
                <w:sz w:val="13"/>
              </w:rPr>
              <w:t>Lambda account concurrency quota (10) bounds blast radius; no per-caller rate limiting implemented</w:t>
            </w:r>
          </w:p>
        </w:tc>
      </w:tr>
      <w:tr>
        <w:tc>
          <w:tcPr>
            <w:tcW w:type="dxa" w:w="504"/>
          </w:tcPr>
          <w:p>
            <w:pPr>
              <w:jc w:val="center"/>
            </w:pPr>
            <w:r/>
            <w:r>
              <w:rPr>
                <w:b w:val="0"/>
                <w:sz w:val="13"/>
              </w:rPr>
              <w:t>NF10</w:t>
            </w:r>
          </w:p>
        </w:tc>
        <w:tc>
          <w:tcPr>
            <w:tcW w:type="dxa" w:w="3312"/>
          </w:tcPr>
          <w:p>
            <w:pPr>
              <w:jc w:val="center"/>
            </w:pPr>
            <w:r/>
            <w:r>
              <w:rPr>
                <w:b w:val="0"/>
                <w:sz w:val="13"/>
              </w:rPr>
              <w:t>Repeated querying must not enable cheap model extraction (T05)</w:t>
            </w:r>
          </w:p>
        </w:tc>
        <w:tc>
          <w:tcPr>
            <w:tcW w:type="dxa" w:w="1512"/>
          </w:tcPr>
          <w:p>
            <w:pPr>
              <w:jc w:val="center"/>
            </w:pPr>
            <w:r/>
            <w:r>
              <w:rPr>
                <w:b w:val="0"/>
                <w:sz w:val="13"/>
              </w:rPr>
              <w:t>Non-functional / security</w:t>
            </w:r>
          </w:p>
        </w:tc>
        <w:tc>
          <w:tcPr>
            <w:tcW w:type="dxa" w:w="1080"/>
          </w:tcPr>
          <w:p>
            <w:pPr>
              <w:jc w:val="center"/>
            </w:pPr>
            <w:r/>
            <w:r>
              <w:rPr>
                <w:b w:val="0"/>
                <w:sz w:val="13"/>
              </w:rPr>
              <w:t>Partially met</w:t>
            </w:r>
          </w:p>
        </w:tc>
        <w:tc>
          <w:tcPr>
            <w:tcW w:type="dxa" w:w="2952"/>
          </w:tcPr>
          <w:p>
            <w:pPr>
              <w:jc w:val="center"/>
            </w:pPr>
            <w:r/>
            <w:r>
              <w:rPr>
                <w:b w:val="0"/>
                <w:sz w:val="13"/>
              </w:rPr>
              <w:t>Single authorised IAM principal; no query budget or per-caller rate limiting implemented</w:t>
            </w:r>
          </w:p>
        </w:tc>
      </w:tr>
      <w:tr>
        <w:tc>
          <w:tcPr>
            <w:tcW w:type="dxa" w:w="504"/>
          </w:tcPr>
          <w:p>
            <w:pPr>
              <w:jc w:val="center"/>
            </w:pPr>
            <w:r/>
            <w:r>
              <w:rPr>
                <w:b w:val="0"/>
                <w:sz w:val="13"/>
              </w:rPr>
              <w:t>NF11</w:t>
            </w:r>
          </w:p>
        </w:tc>
        <w:tc>
          <w:tcPr>
            <w:tcW w:type="dxa" w:w="3312"/>
          </w:tcPr>
          <w:p>
            <w:pPr>
              <w:jc w:val="center"/>
            </w:pPr>
            <w:r/>
            <w:r>
              <w:rPr>
                <w:b w:val="0"/>
                <w:sz w:val="13"/>
              </w:rPr>
              <w:t>False-positive volume must remain within analyst capacity (T15)</w:t>
            </w:r>
          </w:p>
        </w:tc>
        <w:tc>
          <w:tcPr>
            <w:tcW w:type="dxa" w:w="1512"/>
          </w:tcPr>
          <w:p>
            <w:pPr>
              <w:jc w:val="center"/>
            </w:pPr>
            <w:r/>
            <w:r>
              <w:rPr>
                <w:b w:val="0"/>
                <w:sz w:val="13"/>
              </w:rPr>
              <w:t>Non-functional / security</w:t>
            </w:r>
          </w:p>
        </w:tc>
        <w:tc>
          <w:tcPr>
            <w:tcW w:type="dxa" w:w="1080"/>
          </w:tcPr>
          <w:p>
            <w:pPr>
              <w:jc w:val="center"/>
            </w:pPr>
            <w:r/>
            <w:r>
              <w:rPr>
                <w:b w:val="0"/>
                <w:sz w:val="13"/>
              </w:rPr>
              <w:t>Partially met</w:t>
            </w:r>
          </w:p>
        </w:tc>
        <w:tc>
          <w:tcPr>
            <w:tcW w:type="dxa" w:w="2952"/>
          </w:tcPr>
          <w:p>
            <w:pPr>
              <w:jc w:val="center"/>
            </w:pPr>
            <w:r/>
            <w:r>
              <w:rPr>
                <w:b w:val="0"/>
                <w:sz w:val="13"/>
              </w:rPr>
              <w:t>E4 threshold tuning cut Bots false positives to 127 per ~504K flows; no confidence-floor triage routing implemented</w:t>
            </w:r>
          </w:p>
        </w:tc>
      </w:tr>
      <w:tr>
        <w:tc>
          <w:tcPr>
            <w:tcW w:type="dxa" w:w="504"/>
          </w:tcPr>
          <w:p>
            <w:pPr>
              <w:jc w:val="center"/>
            </w:pPr>
            <w:r/>
            <w:r>
              <w:rPr>
                <w:b w:val="0"/>
                <w:sz w:val="13"/>
              </w:rPr>
              <w:t>NF12</w:t>
            </w:r>
          </w:p>
        </w:tc>
        <w:tc>
          <w:tcPr>
            <w:tcW w:type="dxa" w:w="3312"/>
          </w:tcPr>
          <w:p>
            <w:pPr>
              <w:jc w:val="center"/>
            </w:pPr>
            <w:r/>
            <w:r>
              <w:rPr>
                <w:b w:val="0"/>
                <w:sz w:val="13"/>
              </w:rPr>
              <w:t>Detection must not be trivially evadable via packet timing/padding manipulation alone (T01-T03)</w:t>
            </w:r>
          </w:p>
        </w:tc>
        <w:tc>
          <w:tcPr>
            <w:tcW w:type="dxa" w:w="1512"/>
          </w:tcPr>
          <w:p>
            <w:pPr>
              <w:jc w:val="center"/>
            </w:pPr>
            <w:r/>
            <w:r>
              <w:rPr>
                <w:b w:val="0"/>
                <w:sz w:val="13"/>
              </w:rPr>
              <w:t>Non-functional / security</w:t>
            </w:r>
          </w:p>
        </w:tc>
        <w:tc>
          <w:tcPr>
            <w:tcW w:type="dxa" w:w="1080"/>
          </w:tcPr>
          <w:p>
            <w:pPr>
              <w:jc w:val="center"/>
            </w:pPr>
            <w:r/>
            <w:r>
              <w:rPr>
                <w:b w:val="0"/>
                <w:sz w:val="13"/>
              </w:rPr>
              <w:t>Not met</w:t>
            </w:r>
          </w:p>
        </w:tc>
        <w:tc>
          <w:tcPr>
            <w:tcW w:type="dxa" w:w="2952"/>
          </w:tcPr>
          <w:p>
            <w:pPr>
              <w:jc w:val="center"/>
            </w:pPr>
            <w:r/>
            <w:r>
              <w:rPr>
                <w:b w:val="0"/>
                <w:sz w:val="13"/>
              </w:rPr>
              <w:t>E5/E6: 5 of 6 attack classes evadable at a 1-15x slowdown; no mitigation currently deployed</w:t>
            </w:r>
          </w:p>
        </w:tc>
      </w:tr>
      <w:tr>
        <w:tc>
          <w:tcPr>
            <w:tcW w:type="dxa" w:w="504"/>
          </w:tcPr>
          <w:p>
            <w:pPr>
              <w:jc w:val="center"/>
            </w:pPr>
            <w:r/>
            <w:r>
              <w:rPr>
                <w:b w:val="0"/>
                <w:sz w:val="13"/>
              </w:rPr>
              <w:t>NF13</w:t>
            </w:r>
          </w:p>
        </w:tc>
        <w:tc>
          <w:tcPr>
            <w:tcW w:type="dxa" w:w="3312"/>
          </w:tcPr>
          <w:p>
            <w:pPr>
              <w:jc w:val="center"/>
            </w:pPr>
            <w:r/>
            <w:r>
              <w:rPr>
                <w:b w:val="0"/>
                <w:sz w:val="13"/>
              </w:rPr>
              <w:t>Every identified threat must be traced to verification evidence, not left as an assessed-only judgement</w:t>
            </w:r>
          </w:p>
        </w:tc>
        <w:tc>
          <w:tcPr>
            <w:tcW w:type="dxa" w:w="1512"/>
          </w:tcPr>
          <w:p>
            <w:pPr>
              <w:jc w:val="center"/>
            </w:pPr>
            <w:r/>
            <w:r>
              <w:rPr>
                <w:b w:val="0"/>
                <w:sz w:val="13"/>
              </w:rPr>
              <w:t>Non-functional / process</w:t>
            </w:r>
          </w:p>
        </w:tc>
        <w:tc>
          <w:tcPr>
            <w:tcW w:type="dxa" w:w="1080"/>
          </w:tcPr>
          <w:p>
            <w:pPr>
              <w:jc w:val="center"/>
            </w:pPr>
            <w:r/>
            <w:r>
              <w:rPr>
                <w:b w:val="0"/>
                <w:sz w:val="13"/>
              </w:rPr>
              <w:t>Met</w:t>
            </w:r>
          </w:p>
        </w:tc>
        <w:tc>
          <w:tcPr>
            <w:tcW w:type="dxa" w:w="2952"/>
          </w:tcPr>
          <w:p>
            <w:pPr>
              <w:jc w:val="center"/>
            </w:pPr>
            <w:r/>
            <w:r>
              <w:rPr>
                <w:b w:val="0"/>
                <w:sz w:val="13"/>
              </w:rPr>
              <w:t>STRIDE extended with MITRE ATLAS; this matrix traces all 18 requirements to their evidence individually</w:t>
            </w:r>
          </w:p>
        </w:tc>
      </w:tr>
      <w:tr>
        <w:tc>
          <w:tcPr>
            <w:tcW w:type="dxa" w:w="504"/>
          </w:tcPr>
          <w:p>
            <w:pPr>
              <w:jc w:val="center"/>
            </w:pPr>
            <w:r/>
            <w:r>
              <w:rPr>
                <w:b w:val="0"/>
                <w:sz w:val="13"/>
              </w:rPr>
              <w:t>NF14</w:t>
            </w:r>
          </w:p>
        </w:tc>
        <w:tc>
          <w:tcPr>
            <w:tcW w:type="dxa" w:w="3312"/>
          </w:tcPr>
          <w:p>
            <w:pPr>
              <w:jc w:val="center"/>
            </w:pPr>
            <w:r/>
            <w:r>
              <w:rPr>
                <w:b w:val="0"/>
                <w:sz w:val="13"/>
              </w:rPr>
              <w:t>Infrastructure changes must be reproducible and auditable</w:t>
            </w:r>
          </w:p>
        </w:tc>
        <w:tc>
          <w:tcPr>
            <w:tcW w:type="dxa" w:w="1512"/>
          </w:tcPr>
          <w:p>
            <w:pPr>
              <w:jc w:val="center"/>
            </w:pPr>
            <w:r/>
            <w:r>
              <w:rPr>
                <w:b w:val="0"/>
                <w:sz w:val="13"/>
              </w:rPr>
              <w:t>Non-functional / process</w:t>
            </w:r>
          </w:p>
        </w:tc>
        <w:tc>
          <w:tcPr>
            <w:tcW w:type="dxa" w:w="1080"/>
          </w:tcPr>
          <w:p>
            <w:pPr>
              <w:jc w:val="center"/>
            </w:pPr>
            <w:r/>
            <w:r>
              <w:rPr>
                <w:b w:val="0"/>
                <w:sz w:val="13"/>
              </w:rPr>
              <w:t>Met</w:t>
            </w:r>
          </w:p>
        </w:tc>
        <w:tc>
          <w:tcPr>
            <w:tcW w:type="dxa" w:w="2952"/>
          </w:tcPr>
          <w:p>
            <w:pPr>
              <w:jc w:val="center"/>
            </w:pPr>
            <w:r/>
            <w:r>
              <w:rPr>
                <w:b w:val="0"/>
                <w:sz w:val="13"/>
              </w:rPr>
              <w:t>CLI-only resource creation adopted after the console-role incident; policy documents committed to the repository</w:t>
            </w:r>
          </w:p>
        </w:tc>
      </w:tr>
      <w:tr>
        <w:tc>
          <w:tcPr>
            <w:tcW w:type="dxa" w:w="504"/>
          </w:tcPr>
          <w:p>
            <w:pPr>
              <w:jc w:val="center"/>
            </w:pPr>
            <w:r/>
            <w:r>
              <w:rPr>
                <w:b w:val="0"/>
                <w:sz w:val="13"/>
              </w:rPr>
              <w:t>NF15</w:t>
            </w:r>
          </w:p>
        </w:tc>
        <w:tc>
          <w:tcPr>
            <w:tcW w:type="dxa" w:w="3312"/>
          </w:tcPr>
          <w:p>
            <w:pPr>
              <w:jc w:val="center"/>
            </w:pPr>
            <w:r/>
            <w:r>
              <w:rPr>
                <w:b w:val="0"/>
                <w:sz w:val="13"/>
              </w:rPr>
              <w:t>The deployed artefact must match the validated source model</w:t>
            </w:r>
          </w:p>
        </w:tc>
        <w:tc>
          <w:tcPr>
            <w:tcW w:type="dxa" w:w="1512"/>
          </w:tcPr>
          <w:p>
            <w:pPr>
              <w:jc w:val="center"/>
            </w:pPr>
            <w:r/>
            <w:r>
              <w:rPr>
                <w:b w:val="0"/>
                <w:sz w:val="13"/>
              </w:rPr>
              <w:t>Non-functional / security</w:t>
            </w:r>
          </w:p>
        </w:tc>
        <w:tc>
          <w:tcPr>
            <w:tcW w:type="dxa" w:w="1080"/>
          </w:tcPr>
          <w:p>
            <w:pPr>
              <w:jc w:val="center"/>
            </w:pPr>
            <w:r/>
            <w:r>
              <w:rPr>
                <w:b w:val="0"/>
                <w:sz w:val="13"/>
              </w:rPr>
              <w:t>Met</w:t>
            </w:r>
          </w:p>
        </w:tc>
        <w:tc>
          <w:tcPr>
            <w:tcW w:type="dxa" w:w="2952"/>
          </w:tcPr>
          <w:p>
            <w:pPr>
              <w:jc w:val="center"/>
            </w:pPr>
            <w:r/>
            <w:r>
              <w:rPr>
                <w:b w:val="0"/>
                <w:sz w:val="13"/>
              </w:rPr>
              <w:t>35/35 and 199/200 live functional checks against the deployed endpoint; ONNX conversion verified pre-deployment</w:t>
            </w:r>
          </w:p>
        </w:tc>
      </w:tr>
    </w:tbl>
    <w:p/>
    <w:p>
      <w:pPr>
        <w:pStyle w:val="Heading2"/>
      </w:pPr>
      <w:r>
        <w:rPr>
          <w:rFonts w:ascii="Arial" w:hAnsi="Arial"/>
          <w:sz w:val="28"/>
        </w:rPr>
        <w:t xml:space="preserve">Appendix D: Experiment results in full</w:t>
      </w:r>
    </w:p>
    <w:p>
      <w:pPr/>
      <w:r/>
      <w:r>
        <w:t>Full results for experiments E1-E6, beyond the summary tables presented in the main body (Section: Model development and experimentation; Section: Adversarial evaluation, Project Development). Source data: docs/results/*.csv in the project repository.</w:t>
      </w:r>
    </w:p>
    <w:p>
      <w:pPr>
        <w:pStyle w:val="Caption"/>
        <w:jc w:val="center"/>
      </w:pPr>
      <w:r>
        <w:t xml:space="preserve">Table </w:t>
      </w:r>
      <w:r>
        <w:fldChar w:fldCharType="begin"/>
      </w:r>
      <w:r>
        <w:instrText xml:space="preserve"> SEQ Table \* ARABIC </w:instrText>
      </w:r>
      <w:r>
        <w:fldChar w:fldCharType="separate"/>
      </w:r>
      <w:r>
        <w:t>1</w:t>
      </w:r>
      <w:r>
        <w:fldChar w:fldCharType="end"/>
      </w:r>
      <w:r>
        <w:t>. E1 — XGBoost per-class results under hybrid resampling.</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44546A"/>
          </w:tcPr>
          <w:p>
            <w:pPr>
              <w:jc w:val="center"/>
            </w:pPr>
            <w:r/>
            <w:r>
              <w:rPr>
                <w:b/>
                <w:color w:val="FFFFFF"/>
                <w:sz w:val="16"/>
              </w:rPr>
              <w:t>Class</w:t>
            </w:r>
          </w:p>
        </w:tc>
        <w:tc>
          <w:tcPr>
            <w:tcW w:type="dxa" w:w="1805"/>
            <w:shd w:val="clear" w:color="auto" w:fill="44546A"/>
          </w:tcPr>
          <w:p>
            <w:pPr>
              <w:jc w:val="center"/>
            </w:pPr>
            <w:r/>
            <w:r>
              <w:rPr>
                <w:b/>
                <w:color w:val="FFFFFF"/>
                <w:sz w:val="16"/>
              </w:rPr>
              <w:t>Precision</w:t>
            </w:r>
          </w:p>
        </w:tc>
        <w:tc>
          <w:tcPr>
            <w:tcW w:type="dxa" w:w="1805"/>
            <w:shd w:val="clear" w:color="auto" w:fill="44546A"/>
          </w:tcPr>
          <w:p>
            <w:pPr>
              <w:jc w:val="center"/>
            </w:pPr>
            <w:r/>
            <w:r>
              <w:rPr>
                <w:b/>
                <w:color w:val="FFFFFF"/>
                <w:sz w:val="16"/>
              </w:rPr>
              <w:t>Recall</w:t>
            </w:r>
          </w:p>
        </w:tc>
        <w:tc>
          <w:tcPr>
            <w:tcW w:type="dxa" w:w="1805"/>
            <w:shd w:val="clear" w:color="auto" w:fill="44546A"/>
          </w:tcPr>
          <w:p>
            <w:pPr>
              <w:jc w:val="center"/>
            </w:pPr>
            <w:r/>
            <w:r>
              <w:rPr>
                <w:b/>
                <w:color w:val="FFFFFF"/>
                <w:sz w:val="16"/>
              </w:rPr>
              <w:t>F1</w:t>
            </w:r>
          </w:p>
        </w:tc>
        <w:tc>
          <w:tcPr>
            <w:tcW w:type="dxa" w:w="1805"/>
            <w:shd w:val="clear" w:color="auto" w:fill="44546A"/>
          </w:tcPr>
          <w:p>
            <w:pPr>
              <w:jc w:val="center"/>
            </w:pPr>
            <w:r/>
            <w:r>
              <w:rPr>
                <w:b/>
                <w:color w:val="FFFFFF"/>
                <w:sz w:val="16"/>
              </w:rPr>
              <w:t>Support</w:t>
            </w:r>
          </w:p>
        </w:tc>
      </w:tr>
      <w:tr>
        <w:tc>
          <w:tcPr>
            <w:tcW w:type="dxa" w:w="1805"/>
          </w:tcPr>
          <w:p>
            <w:r/>
            <w:r>
              <w:rPr>
                <w:b/>
                <w:sz w:val="15"/>
              </w:rPr>
              <w:t>Bots</w:t>
            </w:r>
          </w:p>
        </w:tc>
        <w:tc>
          <w:tcPr>
            <w:tcW w:type="dxa" w:w="1805"/>
          </w:tcPr>
          <w:p>
            <w:pPr>
              <w:jc w:val="center"/>
            </w:pPr>
            <w:r/>
            <w:r>
              <w:rPr>
                <w:b w:val="0"/>
                <w:sz w:val="15"/>
              </w:rPr>
              <w:t>0.57</w:t>
            </w:r>
          </w:p>
        </w:tc>
        <w:tc>
          <w:tcPr>
            <w:tcW w:type="dxa" w:w="1805"/>
          </w:tcPr>
          <w:p>
            <w:pPr>
              <w:jc w:val="center"/>
            </w:pPr>
            <w:r/>
            <w:r>
              <w:rPr>
                <w:b w:val="0"/>
                <w:sz w:val="15"/>
              </w:rPr>
              <w:t>0.99</w:t>
            </w:r>
          </w:p>
        </w:tc>
        <w:tc>
          <w:tcPr>
            <w:tcW w:type="dxa" w:w="1805"/>
          </w:tcPr>
          <w:p>
            <w:pPr>
              <w:jc w:val="center"/>
            </w:pPr>
            <w:r/>
            <w:r>
              <w:rPr>
                <w:b w:val="0"/>
                <w:sz w:val="15"/>
              </w:rPr>
              <w:t>0.72</w:t>
            </w:r>
          </w:p>
        </w:tc>
        <w:tc>
          <w:tcPr>
            <w:tcW w:type="dxa" w:w="1805"/>
          </w:tcPr>
          <w:p>
            <w:pPr>
              <w:jc w:val="center"/>
            </w:pPr>
            <w:r/>
            <w:r>
              <w:rPr>
                <w:b w:val="0"/>
                <w:sz w:val="15"/>
              </w:rPr>
              <w:t>389</w:t>
            </w:r>
          </w:p>
        </w:tc>
      </w:tr>
      <w:tr>
        <w:tc>
          <w:tcPr>
            <w:tcW w:type="dxa" w:w="1805"/>
          </w:tcPr>
          <w:p>
            <w:r/>
            <w:r>
              <w:rPr>
                <w:b/>
                <w:sz w:val="15"/>
              </w:rPr>
              <w:t>Brute Force</w:t>
            </w:r>
          </w:p>
        </w:tc>
        <w:tc>
          <w:tcPr>
            <w:tcW w:type="dxa" w:w="1805"/>
          </w:tcPr>
          <w:p>
            <w:pPr>
              <w:jc w:val="center"/>
            </w:pPr>
            <w:r/>
            <w:r>
              <w:rPr>
                <w:b w:val="0"/>
                <w:sz w:val="15"/>
              </w:rPr>
              <w:t>0.99</w:t>
            </w:r>
          </w:p>
        </w:tc>
        <w:tc>
          <w:tcPr>
            <w:tcW w:type="dxa" w:w="1805"/>
          </w:tcPr>
          <w:p>
            <w:pPr>
              <w:jc w:val="center"/>
            </w:pPr>
            <w:r/>
            <w:r>
              <w:rPr>
                <w:b w:val="0"/>
                <w:sz w:val="15"/>
              </w:rPr>
              <w:t>1.00</w:t>
            </w:r>
          </w:p>
        </w:tc>
        <w:tc>
          <w:tcPr>
            <w:tcW w:type="dxa" w:w="1805"/>
          </w:tcPr>
          <w:p>
            <w:pPr>
              <w:jc w:val="center"/>
            </w:pPr>
            <w:r/>
            <w:r>
              <w:rPr>
                <w:b w:val="0"/>
                <w:sz w:val="15"/>
              </w:rPr>
              <w:t>1.00</w:t>
            </w:r>
          </w:p>
        </w:tc>
        <w:tc>
          <w:tcPr>
            <w:tcW w:type="dxa" w:w="1805"/>
          </w:tcPr>
          <w:p>
            <w:pPr>
              <w:jc w:val="center"/>
            </w:pPr>
            <w:r/>
            <w:r>
              <w:rPr>
                <w:b w:val="0"/>
                <w:sz w:val="15"/>
              </w:rPr>
              <w:t>1,830</w:t>
            </w:r>
          </w:p>
        </w:tc>
      </w:tr>
      <w:tr>
        <w:tc>
          <w:tcPr>
            <w:tcW w:type="dxa" w:w="1805"/>
          </w:tcPr>
          <w:p>
            <w:r/>
            <w:r>
              <w:rPr>
                <w:b/>
                <w:sz w:val="15"/>
              </w:rPr>
              <w:t>DDoS</w:t>
            </w:r>
          </w:p>
        </w:tc>
        <w:tc>
          <w:tcPr>
            <w:tcW w:type="dxa" w:w="1805"/>
          </w:tcPr>
          <w:p>
            <w:pPr>
              <w:jc w:val="center"/>
            </w:pPr>
            <w:r/>
            <w:r>
              <w:rPr>
                <w:b w:val="0"/>
                <w:sz w:val="15"/>
              </w:rPr>
              <w:t>1.00</w:t>
            </w:r>
          </w:p>
        </w:tc>
        <w:tc>
          <w:tcPr>
            <w:tcW w:type="dxa" w:w="1805"/>
          </w:tcPr>
          <w:p>
            <w:pPr>
              <w:jc w:val="center"/>
            </w:pPr>
            <w:r/>
            <w:r>
              <w:rPr>
                <w:b w:val="0"/>
                <w:sz w:val="15"/>
              </w:rPr>
              <w:t>1.00</w:t>
            </w:r>
          </w:p>
        </w:tc>
        <w:tc>
          <w:tcPr>
            <w:tcW w:type="dxa" w:w="1805"/>
          </w:tcPr>
          <w:p>
            <w:pPr>
              <w:jc w:val="center"/>
            </w:pPr>
            <w:r/>
            <w:r>
              <w:rPr>
                <w:b w:val="0"/>
                <w:sz w:val="15"/>
              </w:rPr>
              <w:t>1.00</w:t>
            </w:r>
          </w:p>
        </w:tc>
        <w:tc>
          <w:tcPr>
            <w:tcW w:type="dxa" w:w="1805"/>
          </w:tcPr>
          <w:p>
            <w:pPr>
              <w:jc w:val="center"/>
            </w:pPr>
            <w:r/>
            <w:r>
              <w:rPr>
                <w:b w:val="0"/>
                <w:sz w:val="15"/>
              </w:rPr>
              <w:t>25,603</w:t>
            </w:r>
          </w:p>
        </w:tc>
      </w:tr>
      <w:tr>
        <w:tc>
          <w:tcPr>
            <w:tcW w:type="dxa" w:w="1805"/>
          </w:tcPr>
          <w:p>
            <w:r/>
            <w:r>
              <w:rPr>
                <w:b/>
                <w:sz w:val="15"/>
              </w:rPr>
              <w:t>DoS</w:t>
            </w:r>
          </w:p>
        </w:tc>
        <w:tc>
          <w:tcPr>
            <w:tcW w:type="dxa" w:w="1805"/>
          </w:tcPr>
          <w:p>
            <w:pPr>
              <w:jc w:val="center"/>
            </w:pPr>
            <w:r/>
            <w:r>
              <w:rPr>
                <w:b w:val="0"/>
                <w:sz w:val="15"/>
              </w:rPr>
              <w:t>1.00</w:t>
            </w:r>
          </w:p>
        </w:tc>
        <w:tc>
          <w:tcPr>
            <w:tcW w:type="dxa" w:w="1805"/>
          </w:tcPr>
          <w:p>
            <w:pPr>
              <w:jc w:val="center"/>
            </w:pPr>
            <w:r/>
            <w:r>
              <w:rPr>
                <w:b w:val="0"/>
                <w:sz w:val="15"/>
              </w:rPr>
              <w:t>1.00</w:t>
            </w:r>
          </w:p>
        </w:tc>
        <w:tc>
          <w:tcPr>
            <w:tcW w:type="dxa" w:w="1805"/>
          </w:tcPr>
          <w:p>
            <w:pPr>
              <w:jc w:val="center"/>
            </w:pPr>
            <w:r/>
            <w:r>
              <w:rPr>
                <w:b w:val="0"/>
                <w:sz w:val="15"/>
              </w:rPr>
              <w:t>1.00</w:t>
            </w:r>
          </w:p>
        </w:tc>
        <w:tc>
          <w:tcPr>
            <w:tcW w:type="dxa" w:w="1805"/>
          </w:tcPr>
          <w:p>
            <w:pPr>
              <w:jc w:val="center"/>
            </w:pPr>
            <w:r/>
            <w:r>
              <w:rPr>
                <w:b w:val="0"/>
                <w:sz w:val="15"/>
              </w:rPr>
              <w:t>38,749</w:t>
            </w:r>
          </w:p>
        </w:tc>
      </w:tr>
      <w:tr>
        <w:tc>
          <w:tcPr>
            <w:tcW w:type="dxa" w:w="1805"/>
          </w:tcPr>
          <w:p>
            <w:r/>
            <w:r>
              <w:rPr>
                <w:b/>
                <w:sz w:val="15"/>
              </w:rPr>
              <w:t>Normal Traffic</w:t>
            </w:r>
          </w:p>
        </w:tc>
        <w:tc>
          <w:tcPr>
            <w:tcW w:type="dxa" w:w="1805"/>
          </w:tcPr>
          <w:p>
            <w:pPr>
              <w:jc w:val="center"/>
            </w:pPr>
            <w:r/>
            <w:r>
              <w:rPr>
                <w:b w:val="0"/>
                <w:sz w:val="15"/>
              </w:rPr>
              <w:t>1.00</w:t>
            </w:r>
          </w:p>
        </w:tc>
        <w:tc>
          <w:tcPr>
            <w:tcW w:type="dxa" w:w="1805"/>
          </w:tcPr>
          <w:p>
            <w:pPr>
              <w:jc w:val="center"/>
            </w:pPr>
            <w:r/>
            <w:r>
              <w:rPr>
                <w:b w:val="0"/>
                <w:sz w:val="15"/>
              </w:rPr>
              <w:t>1.00</w:t>
            </w:r>
          </w:p>
        </w:tc>
        <w:tc>
          <w:tcPr>
            <w:tcW w:type="dxa" w:w="1805"/>
          </w:tcPr>
          <w:p>
            <w:pPr>
              <w:jc w:val="center"/>
            </w:pPr>
            <w:r/>
            <w:r>
              <w:rPr>
                <w:b w:val="0"/>
                <w:sz w:val="15"/>
              </w:rPr>
              <w:t>1.00</w:t>
            </w:r>
          </w:p>
        </w:tc>
        <w:tc>
          <w:tcPr>
            <w:tcW w:type="dxa" w:w="1805"/>
          </w:tcPr>
          <w:p>
            <w:pPr>
              <w:jc w:val="center"/>
            </w:pPr>
            <w:r/>
            <w:r>
              <w:rPr>
                <w:b w:val="0"/>
                <w:sz w:val="15"/>
              </w:rPr>
              <w:t>418,979</w:t>
            </w:r>
          </w:p>
        </w:tc>
      </w:tr>
      <w:tr>
        <w:tc>
          <w:tcPr>
            <w:tcW w:type="dxa" w:w="1805"/>
          </w:tcPr>
          <w:p>
            <w:r/>
            <w:r>
              <w:rPr>
                <w:b/>
                <w:sz w:val="15"/>
              </w:rPr>
              <w:t>Port Scanning</w:t>
            </w:r>
          </w:p>
        </w:tc>
        <w:tc>
          <w:tcPr>
            <w:tcW w:type="dxa" w:w="1805"/>
          </w:tcPr>
          <w:p>
            <w:pPr>
              <w:jc w:val="center"/>
            </w:pPr>
            <w:r/>
            <w:r>
              <w:rPr>
                <w:b w:val="0"/>
                <w:sz w:val="15"/>
              </w:rPr>
              <w:t>0.99</w:t>
            </w:r>
          </w:p>
        </w:tc>
        <w:tc>
          <w:tcPr>
            <w:tcW w:type="dxa" w:w="1805"/>
          </w:tcPr>
          <w:p>
            <w:pPr>
              <w:jc w:val="center"/>
            </w:pPr>
            <w:r/>
            <w:r>
              <w:rPr>
                <w:b w:val="0"/>
                <w:sz w:val="15"/>
              </w:rPr>
              <w:t>1.00</w:t>
            </w:r>
          </w:p>
        </w:tc>
        <w:tc>
          <w:tcPr>
            <w:tcW w:type="dxa" w:w="1805"/>
          </w:tcPr>
          <w:p>
            <w:pPr>
              <w:jc w:val="center"/>
            </w:pPr>
            <w:r/>
            <w:r>
              <w:rPr>
                <w:b w:val="0"/>
                <w:sz w:val="15"/>
              </w:rPr>
              <w:t>0.99</w:t>
            </w:r>
          </w:p>
        </w:tc>
        <w:tc>
          <w:tcPr>
            <w:tcW w:type="dxa" w:w="1805"/>
          </w:tcPr>
          <w:p>
            <w:pPr>
              <w:jc w:val="center"/>
            </w:pPr>
            <w:r/>
            <w:r>
              <w:rPr>
                <w:b w:val="0"/>
                <w:sz w:val="15"/>
              </w:rPr>
              <w:t>18,139</w:t>
            </w:r>
          </w:p>
        </w:tc>
      </w:tr>
      <w:tr>
        <w:tc>
          <w:tcPr>
            <w:tcW w:type="dxa" w:w="1805"/>
          </w:tcPr>
          <w:p>
            <w:r/>
            <w:r>
              <w:rPr>
                <w:b/>
                <w:sz w:val="15"/>
              </w:rPr>
              <w:t>Web Attacks</w:t>
            </w:r>
          </w:p>
        </w:tc>
        <w:tc>
          <w:tcPr>
            <w:tcW w:type="dxa" w:w="1805"/>
          </w:tcPr>
          <w:p>
            <w:pPr>
              <w:jc w:val="center"/>
            </w:pPr>
            <w:r/>
            <w:r>
              <w:rPr>
                <w:b w:val="0"/>
                <w:sz w:val="15"/>
              </w:rPr>
              <w:t>0.96</w:t>
            </w:r>
          </w:p>
        </w:tc>
        <w:tc>
          <w:tcPr>
            <w:tcW w:type="dxa" w:w="1805"/>
          </w:tcPr>
          <w:p>
            <w:pPr>
              <w:jc w:val="center"/>
            </w:pPr>
            <w:r/>
            <w:r>
              <w:rPr>
                <w:b w:val="0"/>
                <w:sz w:val="15"/>
              </w:rPr>
              <w:t>1.00</w:t>
            </w:r>
          </w:p>
        </w:tc>
        <w:tc>
          <w:tcPr>
            <w:tcW w:type="dxa" w:w="1805"/>
          </w:tcPr>
          <w:p>
            <w:pPr>
              <w:jc w:val="center"/>
            </w:pPr>
            <w:r/>
            <w:r>
              <w:rPr>
                <w:b w:val="0"/>
                <w:sz w:val="15"/>
              </w:rPr>
              <w:t>0.98</w:t>
            </w:r>
          </w:p>
        </w:tc>
        <w:tc>
          <w:tcPr>
            <w:tcW w:type="dxa" w:w="1805"/>
          </w:tcPr>
          <w:p>
            <w:pPr>
              <w:jc w:val="center"/>
            </w:pPr>
            <w:r/>
            <w:r>
              <w:rPr>
                <w:b w:val="0"/>
                <w:sz w:val="15"/>
              </w:rPr>
              <w:t>429</w:t>
            </w:r>
          </w:p>
        </w:tc>
      </w:tr>
    </w:tbl>
    <w:p/>
    <w:p>
      <w:pPr>
        <w:pStyle w:val="Caption"/>
        <w:jc w:val="center"/>
      </w:pPr>
      <w:r>
        <w:t xml:space="preserve">Table </w:t>
      </w:r>
      <w:r>
        <w:fldChar w:fldCharType="begin"/>
      </w:r>
      <w:r>
        <w:instrText xml:space="preserve"> SEQ Table \* ARABIC </w:instrText>
      </w:r>
      <w:r>
        <w:fldChar w:fldCharType="separate"/>
      </w:r>
      <w:r>
        <w:t>1</w:t>
      </w:r>
      <w:r>
        <w:fldChar w:fldCharType="end"/>
      </w:r>
      <w:r>
        <w:t>. E2 — class weighting vs. SMOTE, both model families (single seed 42).</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44546A"/>
          </w:tcPr>
          <w:p>
            <w:pPr>
              <w:jc w:val="center"/>
            </w:pPr>
            <w:r/>
            <w:r>
              <w:rPr>
                <w:b/>
                <w:color w:val="FFFFFF"/>
                <w:sz w:val="16"/>
              </w:rPr>
              <w:t>Model</w:t>
            </w:r>
          </w:p>
        </w:tc>
        <w:tc>
          <w:tcPr>
            <w:tcW w:type="dxa" w:w="1128"/>
            <w:shd w:val="clear" w:color="auto" w:fill="44546A"/>
          </w:tcPr>
          <w:p>
            <w:pPr>
              <w:jc w:val="center"/>
            </w:pPr>
            <w:r/>
            <w:r>
              <w:rPr>
                <w:b/>
                <w:color w:val="FFFFFF"/>
                <w:sz w:val="16"/>
              </w:rPr>
              <w:t>Strategy</w:t>
            </w:r>
          </w:p>
        </w:tc>
        <w:tc>
          <w:tcPr>
            <w:tcW w:type="dxa" w:w="1128"/>
            <w:shd w:val="clear" w:color="auto" w:fill="44546A"/>
          </w:tcPr>
          <w:p>
            <w:pPr>
              <w:jc w:val="center"/>
            </w:pPr>
            <w:r/>
            <w:r>
              <w:rPr>
                <w:b/>
                <w:color w:val="FFFFFF"/>
                <w:sz w:val="16"/>
              </w:rPr>
              <w:t>Macro P</w:t>
            </w:r>
          </w:p>
        </w:tc>
        <w:tc>
          <w:tcPr>
            <w:tcW w:type="dxa" w:w="1128"/>
            <w:shd w:val="clear" w:color="auto" w:fill="44546A"/>
          </w:tcPr>
          <w:p>
            <w:pPr>
              <w:jc w:val="center"/>
            </w:pPr>
            <w:r/>
            <w:r>
              <w:rPr>
                <w:b/>
                <w:color w:val="FFFFFF"/>
                <w:sz w:val="16"/>
              </w:rPr>
              <w:t>Macro R</w:t>
            </w:r>
          </w:p>
        </w:tc>
        <w:tc>
          <w:tcPr>
            <w:tcW w:type="dxa" w:w="1128"/>
            <w:shd w:val="clear" w:color="auto" w:fill="44546A"/>
          </w:tcPr>
          <w:p>
            <w:pPr>
              <w:jc w:val="center"/>
            </w:pPr>
            <w:r/>
            <w:r>
              <w:rPr>
                <w:b/>
                <w:color w:val="FFFFFF"/>
                <w:sz w:val="16"/>
              </w:rPr>
              <w:t>Macro F1</w:t>
            </w:r>
          </w:p>
        </w:tc>
        <w:tc>
          <w:tcPr>
            <w:tcW w:type="dxa" w:w="1128"/>
            <w:shd w:val="clear" w:color="auto" w:fill="44546A"/>
          </w:tcPr>
          <w:p>
            <w:pPr>
              <w:jc w:val="center"/>
            </w:pPr>
            <w:r/>
            <w:r>
              <w:rPr>
                <w:b/>
                <w:color w:val="FFFFFF"/>
                <w:sz w:val="16"/>
              </w:rPr>
              <w:t>Bots P</w:t>
            </w:r>
          </w:p>
        </w:tc>
        <w:tc>
          <w:tcPr>
            <w:tcW w:type="dxa" w:w="1128"/>
            <w:shd w:val="clear" w:color="auto" w:fill="44546A"/>
          </w:tcPr>
          <w:p>
            <w:pPr>
              <w:jc w:val="center"/>
            </w:pPr>
            <w:r/>
            <w:r>
              <w:rPr>
                <w:b/>
                <w:color w:val="FFFFFF"/>
                <w:sz w:val="16"/>
              </w:rPr>
              <w:t>Bots FP</w:t>
            </w:r>
          </w:p>
        </w:tc>
        <w:tc>
          <w:tcPr>
            <w:tcW w:type="dxa" w:w="1128"/>
            <w:shd w:val="clear" w:color="auto" w:fill="44546A"/>
          </w:tcPr>
          <w:p>
            <w:pPr>
              <w:jc w:val="center"/>
            </w:pPr>
            <w:r/>
            <w:r>
              <w:rPr>
                <w:b/>
                <w:color w:val="FFFFFF"/>
                <w:sz w:val="16"/>
              </w:rPr>
              <w:t>Train (s)</w:t>
            </w:r>
          </w:p>
        </w:tc>
      </w:tr>
      <w:tr>
        <w:tc>
          <w:tcPr>
            <w:tcW w:type="dxa" w:w="1128"/>
          </w:tcPr>
          <w:p>
            <w:pPr>
              <w:jc w:val="center"/>
            </w:pPr>
            <w:r/>
            <w:r>
              <w:rPr>
                <w:b w:val="0"/>
                <w:sz w:val="15"/>
              </w:rPr>
              <w:t>XGBoost</w:t>
            </w:r>
          </w:p>
        </w:tc>
        <w:tc>
          <w:tcPr>
            <w:tcW w:type="dxa" w:w="1128"/>
          </w:tcPr>
          <w:p>
            <w:pPr>
              <w:jc w:val="center"/>
            </w:pPr>
            <w:r/>
            <w:r>
              <w:rPr>
                <w:b w:val="0"/>
                <w:sz w:val="15"/>
              </w:rPr>
              <w:t>SMOTE (E1)</w:t>
            </w:r>
          </w:p>
        </w:tc>
        <w:tc>
          <w:tcPr>
            <w:tcW w:type="dxa" w:w="1128"/>
          </w:tcPr>
          <w:p>
            <w:pPr>
              <w:jc w:val="center"/>
            </w:pPr>
            <w:r/>
            <w:r>
              <w:rPr>
                <w:b w:val="0"/>
                <w:sz w:val="15"/>
              </w:rPr>
              <w:t>0.929</w:t>
            </w:r>
          </w:p>
        </w:tc>
        <w:tc>
          <w:tcPr>
            <w:tcW w:type="dxa" w:w="1128"/>
          </w:tcPr>
          <w:p>
            <w:pPr>
              <w:jc w:val="center"/>
            </w:pPr>
            <w:r/>
            <w:r>
              <w:rPr>
                <w:b w:val="0"/>
                <w:sz w:val="15"/>
              </w:rPr>
              <w:t>0.998</w:t>
            </w:r>
          </w:p>
        </w:tc>
        <w:tc>
          <w:tcPr>
            <w:tcW w:type="dxa" w:w="1128"/>
          </w:tcPr>
          <w:p>
            <w:pPr>
              <w:jc w:val="center"/>
            </w:pPr>
            <w:r/>
            <w:r>
              <w:rPr>
                <w:b w:val="0"/>
                <w:sz w:val="15"/>
              </w:rPr>
              <w:t>0.955</w:t>
            </w:r>
          </w:p>
        </w:tc>
        <w:tc>
          <w:tcPr>
            <w:tcW w:type="dxa" w:w="1128"/>
          </w:tcPr>
          <w:p>
            <w:pPr>
              <w:jc w:val="center"/>
            </w:pPr>
            <w:r/>
            <w:r>
              <w:rPr>
                <w:b w:val="0"/>
                <w:sz w:val="15"/>
              </w:rPr>
              <w:t>0.57</w:t>
            </w:r>
          </w:p>
        </w:tc>
        <w:tc>
          <w:tcPr>
            <w:tcW w:type="dxa" w:w="1128"/>
          </w:tcPr>
          <w:p>
            <w:pPr>
              <w:jc w:val="center"/>
            </w:pPr>
            <w:r/>
            <w:r>
              <w:rPr>
                <w:b w:val="0"/>
                <w:sz w:val="15"/>
              </w:rPr>
              <w:t>296</w:t>
            </w:r>
          </w:p>
        </w:tc>
        <w:tc>
          <w:tcPr>
            <w:tcW w:type="dxa" w:w="1128"/>
          </w:tcPr>
          <w:p>
            <w:pPr>
              <w:jc w:val="center"/>
            </w:pPr>
            <w:r/>
            <w:r>
              <w:rPr>
                <w:b w:val="0"/>
                <w:sz w:val="15"/>
              </w:rPr>
              <w:t>40.1</w:t>
            </w:r>
          </w:p>
        </w:tc>
      </w:tr>
      <w:tr>
        <w:tc>
          <w:tcPr>
            <w:tcW w:type="dxa" w:w="1128"/>
          </w:tcPr>
          <w:p>
            <w:pPr>
              <w:jc w:val="center"/>
            </w:pPr>
            <w:r/>
            <w:r>
              <w:rPr>
                <w:b w:val="0"/>
                <w:sz w:val="15"/>
              </w:rPr>
              <w:t>XGBoost</w:t>
            </w:r>
          </w:p>
        </w:tc>
        <w:tc>
          <w:tcPr>
            <w:tcW w:type="dxa" w:w="1128"/>
          </w:tcPr>
          <w:p>
            <w:pPr>
              <w:jc w:val="center"/>
            </w:pPr>
            <w:r/>
            <w:r>
              <w:rPr>
                <w:b w:val="0"/>
                <w:sz w:val="15"/>
              </w:rPr>
              <w:t>Class weights (E2)</w:t>
            </w:r>
          </w:p>
        </w:tc>
        <w:tc>
          <w:tcPr>
            <w:tcW w:type="dxa" w:w="1128"/>
          </w:tcPr>
          <w:p>
            <w:pPr>
              <w:jc w:val="center"/>
            </w:pPr>
            <w:r/>
            <w:r>
              <w:rPr>
                <w:b w:val="0"/>
                <w:sz w:val="15"/>
              </w:rPr>
              <w:t>0.950</w:t>
            </w:r>
          </w:p>
        </w:tc>
        <w:tc>
          <w:tcPr>
            <w:tcW w:type="dxa" w:w="1128"/>
          </w:tcPr>
          <w:p>
            <w:pPr>
              <w:jc w:val="center"/>
            </w:pPr>
            <w:r/>
            <w:r>
              <w:rPr>
                <w:b w:val="0"/>
                <w:sz w:val="15"/>
              </w:rPr>
              <w:t>0.997</w:t>
            </w:r>
          </w:p>
        </w:tc>
        <w:tc>
          <w:tcPr>
            <w:tcW w:type="dxa" w:w="1128"/>
          </w:tcPr>
          <w:p>
            <w:pPr>
              <w:jc w:val="center"/>
            </w:pPr>
            <w:r/>
            <w:r>
              <w:rPr>
                <w:b w:val="0"/>
                <w:sz w:val="15"/>
              </w:rPr>
              <w:t>0.969</w:t>
            </w:r>
          </w:p>
        </w:tc>
        <w:tc>
          <w:tcPr>
            <w:tcW w:type="dxa" w:w="1128"/>
          </w:tcPr>
          <w:p>
            <w:pPr>
              <w:jc w:val="center"/>
            </w:pPr>
            <w:r/>
            <w:r>
              <w:rPr>
                <w:b w:val="0"/>
                <w:sz w:val="15"/>
              </w:rPr>
              <w:t>0.67</w:t>
            </w:r>
          </w:p>
        </w:tc>
        <w:tc>
          <w:tcPr>
            <w:tcW w:type="dxa" w:w="1128"/>
          </w:tcPr>
          <w:p>
            <w:pPr>
              <w:jc w:val="center"/>
            </w:pPr>
            <w:r/>
            <w:r>
              <w:rPr>
                <w:b w:val="0"/>
                <w:sz w:val="15"/>
              </w:rPr>
              <w:t>190</w:t>
            </w:r>
          </w:p>
        </w:tc>
        <w:tc>
          <w:tcPr>
            <w:tcW w:type="dxa" w:w="1128"/>
          </w:tcPr>
          <w:p>
            <w:pPr>
              <w:jc w:val="center"/>
            </w:pPr>
            <w:r/>
            <w:r>
              <w:rPr>
                <w:b w:val="0"/>
                <w:sz w:val="15"/>
              </w:rPr>
              <w:t>115.6</w:t>
            </w:r>
          </w:p>
        </w:tc>
      </w:tr>
      <w:tr>
        <w:tc>
          <w:tcPr>
            <w:tcW w:type="dxa" w:w="1128"/>
          </w:tcPr>
          <w:p>
            <w:pPr>
              <w:jc w:val="center"/>
            </w:pPr>
            <w:r/>
            <w:r>
              <w:rPr>
                <w:b w:val="0"/>
                <w:sz w:val="15"/>
              </w:rPr>
              <w:t>Random Forest</w:t>
            </w:r>
          </w:p>
        </w:tc>
        <w:tc>
          <w:tcPr>
            <w:tcW w:type="dxa" w:w="1128"/>
          </w:tcPr>
          <w:p>
            <w:pPr>
              <w:jc w:val="center"/>
            </w:pPr>
            <w:r/>
            <w:r>
              <w:rPr>
                <w:b w:val="0"/>
                <w:sz w:val="15"/>
              </w:rPr>
              <w:t>SMOTE (E1)</w:t>
            </w:r>
          </w:p>
        </w:tc>
        <w:tc>
          <w:tcPr>
            <w:tcW w:type="dxa" w:w="1128"/>
          </w:tcPr>
          <w:p>
            <w:pPr>
              <w:jc w:val="center"/>
            </w:pPr>
            <w:r/>
            <w:r>
              <w:rPr>
                <w:b w:val="0"/>
                <w:sz w:val="15"/>
              </w:rPr>
              <w:t>0.882</w:t>
            </w:r>
          </w:p>
        </w:tc>
        <w:tc>
          <w:tcPr>
            <w:tcW w:type="dxa" w:w="1128"/>
          </w:tcPr>
          <w:p>
            <w:pPr>
              <w:jc w:val="center"/>
            </w:pPr>
            <w:r/>
            <w:r>
              <w:rPr>
                <w:b w:val="0"/>
                <w:sz w:val="15"/>
              </w:rPr>
              <w:t>0.996</w:t>
            </w:r>
          </w:p>
        </w:tc>
        <w:tc>
          <w:tcPr>
            <w:tcW w:type="dxa" w:w="1128"/>
          </w:tcPr>
          <w:p>
            <w:pPr>
              <w:jc w:val="center"/>
            </w:pPr>
            <w:r/>
            <w:r>
              <w:rPr>
                <w:b w:val="0"/>
                <w:sz w:val="15"/>
              </w:rPr>
              <w:t>0.913</w:t>
            </w:r>
          </w:p>
        </w:tc>
        <w:tc>
          <w:tcPr>
            <w:tcW w:type="dxa" w:w="1128"/>
          </w:tcPr>
          <w:p>
            <w:pPr>
              <w:jc w:val="center"/>
            </w:pPr>
            <w:r/>
            <w:r>
              <w:rPr>
                <w:b w:val="0"/>
                <w:sz w:val="15"/>
              </w:rPr>
              <w:t>0.30</w:t>
            </w:r>
          </w:p>
        </w:tc>
        <w:tc>
          <w:tcPr>
            <w:tcW w:type="dxa" w:w="1128"/>
          </w:tcPr>
          <w:p>
            <w:pPr>
              <w:jc w:val="center"/>
            </w:pPr>
            <w:r/>
            <w:r>
              <w:rPr>
                <w:b w:val="0"/>
                <w:sz w:val="15"/>
              </w:rPr>
              <w:t>914</w:t>
            </w:r>
          </w:p>
        </w:tc>
        <w:tc>
          <w:tcPr>
            <w:tcW w:type="dxa" w:w="1128"/>
          </w:tcPr>
          <w:p>
            <w:pPr>
              <w:jc w:val="center"/>
            </w:pPr>
            <w:r/>
            <w:r>
              <w:rPr>
                <w:b w:val="0"/>
                <w:sz w:val="15"/>
              </w:rPr>
              <w:t>56.3</w:t>
            </w:r>
          </w:p>
        </w:tc>
      </w:tr>
      <w:tr>
        <w:tc>
          <w:tcPr>
            <w:tcW w:type="dxa" w:w="1128"/>
          </w:tcPr>
          <w:p>
            <w:pPr>
              <w:jc w:val="center"/>
            </w:pPr>
            <w:r/>
            <w:r>
              <w:rPr>
                <w:b w:val="0"/>
                <w:sz w:val="15"/>
              </w:rPr>
              <w:t>Random Forest</w:t>
            </w:r>
          </w:p>
        </w:tc>
        <w:tc>
          <w:tcPr>
            <w:tcW w:type="dxa" w:w="1128"/>
          </w:tcPr>
          <w:p>
            <w:pPr>
              <w:jc w:val="center"/>
            </w:pPr>
            <w:r/>
            <w:r>
              <w:rPr>
                <w:b w:val="0"/>
                <w:sz w:val="15"/>
              </w:rPr>
              <w:t>Class weights (E2)</w:t>
            </w:r>
          </w:p>
        </w:tc>
        <w:tc>
          <w:tcPr>
            <w:tcW w:type="dxa" w:w="1128"/>
          </w:tcPr>
          <w:p>
            <w:pPr>
              <w:jc w:val="center"/>
            </w:pPr>
            <w:r/>
            <w:r>
              <w:rPr>
                <w:b w:val="0"/>
                <w:sz w:val="15"/>
              </w:rPr>
              <w:t>0.879</w:t>
            </w:r>
          </w:p>
        </w:tc>
        <w:tc>
          <w:tcPr>
            <w:tcW w:type="dxa" w:w="1128"/>
          </w:tcPr>
          <w:p>
            <w:pPr>
              <w:jc w:val="center"/>
            </w:pPr>
            <w:r/>
            <w:r>
              <w:rPr>
                <w:b w:val="0"/>
                <w:sz w:val="15"/>
              </w:rPr>
              <w:t>0.997</w:t>
            </w:r>
          </w:p>
        </w:tc>
        <w:tc>
          <w:tcPr>
            <w:tcW w:type="dxa" w:w="1128"/>
          </w:tcPr>
          <w:p>
            <w:pPr>
              <w:jc w:val="center"/>
            </w:pPr>
            <w:r/>
            <w:r>
              <w:rPr>
                <w:b w:val="0"/>
                <w:sz w:val="15"/>
              </w:rPr>
              <w:t>0.900</w:t>
            </w:r>
          </w:p>
        </w:tc>
        <w:tc>
          <w:tcPr>
            <w:tcW w:type="dxa" w:w="1128"/>
          </w:tcPr>
          <w:p>
            <w:pPr>
              <w:jc w:val="center"/>
            </w:pPr>
            <w:r/>
            <w:r>
              <w:rPr>
                <w:b w:val="0"/>
                <w:sz w:val="15"/>
              </w:rPr>
              <w:t>0.20</w:t>
            </w:r>
          </w:p>
        </w:tc>
        <w:tc>
          <w:tcPr>
            <w:tcW w:type="dxa" w:w="1128"/>
          </w:tcPr>
          <w:p>
            <w:pPr>
              <w:jc w:val="center"/>
            </w:pPr>
            <w:r/>
            <w:r>
              <w:rPr>
                <w:b w:val="0"/>
                <w:sz w:val="15"/>
              </w:rPr>
              <w:t>1,551</w:t>
            </w:r>
          </w:p>
        </w:tc>
        <w:tc>
          <w:tcPr>
            <w:tcW w:type="dxa" w:w="1128"/>
          </w:tcPr>
          <w:p>
            <w:pPr>
              <w:jc w:val="center"/>
            </w:pPr>
            <w:r/>
            <w:r>
              <w:rPr>
                <w:b w:val="0"/>
                <w:sz w:val="15"/>
              </w:rPr>
              <w:t>127.4</w:t>
            </w:r>
          </w:p>
        </w:tc>
      </w:tr>
    </w:tbl>
    <w:p/>
    <w:p>
      <w:pPr>
        <w:pStyle w:val="Caption"/>
        <w:jc w:val="center"/>
      </w:pPr>
      <w:r>
        <w:t xml:space="preserve">Table </w:t>
      </w:r>
      <w:r>
        <w:fldChar w:fldCharType="begin"/>
      </w:r>
      <w:r>
        <w:instrText xml:space="preserve"> SEQ Table \* ARABIC </w:instrText>
      </w:r>
      <w:r>
        <w:fldChar w:fldCharType="separate"/>
      </w:r>
      <w:r>
        <w:t>1</w:t>
      </w:r>
      <w:r>
        <w:fldChar w:fldCharType="end"/>
      </w:r>
      <w:r>
        <w:t>. E3 — full per-seed raw results (12 runs: 2 families x 2 strategies x 3 seeds).</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val="clear" w:color="auto" w:fill="44546A"/>
          </w:tcPr>
          <w:p>
            <w:pPr>
              <w:jc w:val="center"/>
            </w:pPr>
            <w:r/>
            <w:r>
              <w:rPr>
                <w:b/>
                <w:color w:val="FFFFFF"/>
                <w:sz w:val="14"/>
              </w:rPr>
              <w:t>Family</w:t>
            </w:r>
          </w:p>
        </w:tc>
        <w:tc>
          <w:tcPr>
            <w:tcW w:type="dxa" w:w="1003"/>
            <w:shd w:val="clear" w:color="auto" w:fill="44546A"/>
          </w:tcPr>
          <w:p>
            <w:pPr>
              <w:jc w:val="center"/>
            </w:pPr>
            <w:r/>
            <w:r>
              <w:rPr>
                <w:b/>
                <w:color w:val="FFFFFF"/>
                <w:sz w:val="14"/>
              </w:rPr>
              <w:t>Strategy</w:t>
            </w:r>
          </w:p>
        </w:tc>
        <w:tc>
          <w:tcPr>
            <w:tcW w:type="dxa" w:w="1003"/>
            <w:shd w:val="clear" w:color="auto" w:fill="44546A"/>
          </w:tcPr>
          <w:p>
            <w:pPr>
              <w:jc w:val="center"/>
            </w:pPr>
            <w:r/>
            <w:r>
              <w:rPr>
                <w:b/>
                <w:color w:val="FFFFFF"/>
                <w:sz w:val="14"/>
              </w:rPr>
              <w:t>Seed</w:t>
            </w:r>
          </w:p>
        </w:tc>
        <w:tc>
          <w:tcPr>
            <w:tcW w:type="dxa" w:w="1003"/>
            <w:shd w:val="clear" w:color="auto" w:fill="44546A"/>
          </w:tcPr>
          <w:p>
            <w:pPr>
              <w:jc w:val="center"/>
            </w:pPr>
            <w:r/>
            <w:r>
              <w:rPr>
                <w:b/>
                <w:color w:val="FFFFFF"/>
                <w:sz w:val="14"/>
              </w:rPr>
              <w:t>Precision (macro)</w:t>
            </w:r>
          </w:p>
        </w:tc>
        <w:tc>
          <w:tcPr>
            <w:tcW w:type="dxa" w:w="1003"/>
            <w:shd w:val="clear" w:color="auto" w:fill="44546A"/>
          </w:tcPr>
          <w:p>
            <w:pPr>
              <w:jc w:val="center"/>
            </w:pPr>
            <w:r/>
            <w:r>
              <w:rPr>
                <w:b/>
                <w:color w:val="FFFFFF"/>
                <w:sz w:val="14"/>
              </w:rPr>
              <w:t>F1 (macro)</w:t>
            </w:r>
          </w:p>
        </w:tc>
        <w:tc>
          <w:tcPr>
            <w:tcW w:type="dxa" w:w="1003"/>
            <w:shd w:val="clear" w:color="auto" w:fill="44546A"/>
          </w:tcPr>
          <w:p>
            <w:pPr>
              <w:jc w:val="center"/>
            </w:pPr>
            <w:r/>
            <w:r>
              <w:rPr>
                <w:b/>
                <w:color w:val="FFFFFF"/>
                <w:sz w:val="14"/>
              </w:rPr>
              <w:t>Bots P</w:t>
            </w:r>
          </w:p>
        </w:tc>
        <w:tc>
          <w:tcPr>
            <w:tcW w:type="dxa" w:w="1003"/>
            <w:shd w:val="clear" w:color="auto" w:fill="44546A"/>
          </w:tcPr>
          <w:p>
            <w:pPr>
              <w:jc w:val="center"/>
            </w:pPr>
            <w:r/>
            <w:r>
              <w:rPr>
                <w:b/>
                <w:color w:val="FFFFFF"/>
                <w:sz w:val="14"/>
              </w:rPr>
              <w:t>Bots R</w:t>
            </w:r>
          </w:p>
        </w:tc>
        <w:tc>
          <w:tcPr>
            <w:tcW w:type="dxa" w:w="1003"/>
            <w:shd w:val="clear" w:color="auto" w:fill="44546A"/>
          </w:tcPr>
          <w:p>
            <w:pPr>
              <w:jc w:val="center"/>
            </w:pPr>
            <w:r/>
            <w:r>
              <w:rPr>
                <w:b/>
                <w:color w:val="FFFFFF"/>
                <w:sz w:val="14"/>
              </w:rPr>
              <w:t>Benign→Bots FP</w:t>
            </w:r>
          </w:p>
        </w:tc>
        <w:tc>
          <w:tcPr>
            <w:tcW w:type="dxa" w:w="1003"/>
            <w:shd w:val="clear" w:color="auto" w:fill="44546A"/>
          </w:tcPr>
          <w:p>
            <w:pPr>
              <w:jc w:val="center"/>
            </w:pPr>
            <w:r/>
            <w:r>
              <w:rPr>
                <w:b/>
                <w:color w:val="FFFFFF"/>
                <w:sz w:val="14"/>
              </w:rPr>
              <w:t>Train (s)</w:t>
            </w:r>
          </w:p>
        </w:tc>
      </w:tr>
      <w:tr>
        <w:tc>
          <w:tcPr>
            <w:tcW w:type="dxa" w:w="1003"/>
          </w:tcPr>
          <w:p>
            <w:pPr>
              <w:jc w:val="center"/>
            </w:pPr>
            <w:r/>
            <w:r>
              <w:rPr>
                <w:b w:val="0"/>
                <w:sz w:val="13"/>
              </w:rPr>
              <w:t>XGBoost</w:t>
            </w:r>
          </w:p>
        </w:tc>
        <w:tc>
          <w:tcPr>
            <w:tcW w:type="dxa" w:w="1003"/>
          </w:tcPr>
          <w:p>
            <w:pPr>
              <w:jc w:val="center"/>
            </w:pPr>
            <w:r/>
            <w:r>
              <w:rPr>
                <w:b w:val="0"/>
                <w:sz w:val="13"/>
              </w:rPr>
              <w:t>SMOTE</w:t>
            </w:r>
          </w:p>
        </w:tc>
        <w:tc>
          <w:tcPr>
            <w:tcW w:type="dxa" w:w="1003"/>
          </w:tcPr>
          <w:p>
            <w:pPr>
              <w:jc w:val="center"/>
            </w:pPr>
            <w:r/>
            <w:r>
              <w:rPr>
                <w:b w:val="0"/>
                <w:sz w:val="13"/>
              </w:rPr>
              <w:t>42</w:t>
            </w:r>
          </w:p>
        </w:tc>
        <w:tc>
          <w:tcPr>
            <w:tcW w:type="dxa" w:w="1003"/>
          </w:tcPr>
          <w:p>
            <w:pPr>
              <w:jc w:val="center"/>
            </w:pPr>
            <w:r/>
            <w:r>
              <w:rPr>
                <w:b w:val="0"/>
                <w:sz w:val="13"/>
              </w:rPr>
              <w:t>0.9291</w:t>
            </w:r>
          </w:p>
        </w:tc>
        <w:tc>
          <w:tcPr>
            <w:tcW w:type="dxa" w:w="1003"/>
          </w:tcPr>
          <w:p>
            <w:pPr>
              <w:jc w:val="center"/>
            </w:pPr>
            <w:r/>
            <w:r>
              <w:rPr>
                <w:b w:val="0"/>
                <w:sz w:val="13"/>
              </w:rPr>
              <w:t>0.9553</w:t>
            </w:r>
          </w:p>
        </w:tc>
        <w:tc>
          <w:tcPr>
            <w:tcW w:type="dxa" w:w="1003"/>
          </w:tcPr>
          <w:p>
            <w:pPr>
              <w:jc w:val="center"/>
            </w:pPr>
            <w:r/>
            <w:r>
              <w:rPr>
                <w:b w:val="0"/>
                <w:sz w:val="13"/>
              </w:rPr>
              <w:t>0.5653</w:t>
            </w:r>
          </w:p>
        </w:tc>
        <w:tc>
          <w:tcPr>
            <w:tcW w:type="dxa" w:w="1003"/>
          </w:tcPr>
          <w:p>
            <w:pPr>
              <w:jc w:val="center"/>
            </w:pPr>
            <w:r/>
            <w:r>
              <w:rPr>
                <w:b w:val="0"/>
                <w:sz w:val="13"/>
              </w:rPr>
              <w:t>0.9897</w:t>
            </w:r>
          </w:p>
        </w:tc>
        <w:tc>
          <w:tcPr>
            <w:tcW w:type="dxa" w:w="1003"/>
          </w:tcPr>
          <w:p>
            <w:pPr>
              <w:jc w:val="center"/>
            </w:pPr>
            <w:r/>
            <w:r>
              <w:rPr>
                <w:b w:val="0"/>
                <w:sz w:val="13"/>
              </w:rPr>
              <w:t>296</w:t>
            </w:r>
          </w:p>
        </w:tc>
        <w:tc>
          <w:tcPr>
            <w:tcW w:type="dxa" w:w="1003"/>
          </w:tcPr>
          <w:p>
            <w:pPr>
              <w:jc w:val="center"/>
            </w:pPr>
            <w:r/>
            <w:r>
              <w:rPr>
                <w:b w:val="0"/>
                <w:sz w:val="13"/>
              </w:rPr>
              <w:t>37.9</w:t>
            </w:r>
          </w:p>
        </w:tc>
      </w:tr>
      <w:tr>
        <w:tc>
          <w:tcPr>
            <w:tcW w:type="dxa" w:w="1003"/>
          </w:tcPr>
          <w:p>
            <w:pPr>
              <w:jc w:val="center"/>
            </w:pPr>
            <w:r/>
            <w:r>
              <w:rPr>
                <w:b w:val="0"/>
                <w:sz w:val="13"/>
              </w:rPr>
              <w:t>XGBoost</w:t>
            </w:r>
          </w:p>
        </w:tc>
        <w:tc>
          <w:tcPr>
            <w:tcW w:type="dxa" w:w="1003"/>
          </w:tcPr>
          <w:p>
            <w:pPr>
              <w:jc w:val="center"/>
            </w:pPr>
            <w:r/>
            <w:r>
              <w:rPr>
                <w:b w:val="0"/>
                <w:sz w:val="13"/>
              </w:rPr>
              <w:t>Class weights</w:t>
            </w:r>
          </w:p>
        </w:tc>
        <w:tc>
          <w:tcPr>
            <w:tcW w:type="dxa" w:w="1003"/>
          </w:tcPr>
          <w:p>
            <w:pPr>
              <w:jc w:val="center"/>
            </w:pPr>
            <w:r/>
            <w:r>
              <w:rPr>
                <w:b w:val="0"/>
                <w:sz w:val="13"/>
              </w:rPr>
              <w:t>42</w:t>
            </w:r>
          </w:p>
        </w:tc>
        <w:tc>
          <w:tcPr>
            <w:tcW w:type="dxa" w:w="1003"/>
          </w:tcPr>
          <w:p>
            <w:pPr>
              <w:jc w:val="center"/>
            </w:pPr>
            <w:r/>
            <w:r>
              <w:rPr>
                <w:b w:val="0"/>
                <w:sz w:val="13"/>
              </w:rPr>
              <w:t>0.9498</w:t>
            </w:r>
          </w:p>
        </w:tc>
        <w:tc>
          <w:tcPr>
            <w:tcW w:type="dxa" w:w="1003"/>
          </w:tcPr>
          <w:p>
            <w:pPr>
              <w:jc w:val="center"/>
            </w:pPr>
            <w:r/>
            <w:r>
              <w:rPr>
                <w:b w:val="0"/>
                <w:sz w:val="13"/>
              </w:rPr>
              <w:t>0.9692</w:t>
            </w:r>
          </w:p>
        </w:tc>
        <w:tc>
          <w:tcPr>
            <w:tcW w:type="dxa" w:w="1003"/>
          </w:tcPr>
          <w:p>
            <w:pPr>
              <w:jc w:val="center"/>
            </w:pPr>
            <w:r/>
            <w:r>
              <w:rPr>
                <w:b w:val="0"/>
                <w:sz w:val="13"/>
              </w:rPr>
              <w:t>0.6690</w:t>
            </w:r>
          </w:p>
        </w:tc>
        <w:tc>
          <w:tcPr>
            <w:tcW w:type="dxa" w:w="1003"/>
          </w:tcPr>
          <w:p>
            <w:pPr>
              <w:jc w:val="center"/>
            </w:pPr>
            <w:r/>
            <w:r>
              <w:rPr>
                <w:b w:val="0"/>
                <w:sz w:val="13"/>
              </w:rPr>
              <w:t>0.9871</w:t>
            </w:r>
          </w:p>
        </w:tc>
        <w:tc>
          <w:tcPr>
            <w:tcW w:type="dxa" w:w="1003"/>
          </w:tcPr>
          <w:p>
            <w:pPr>
              <w:jc w:val="center"/>
            </w:pPr>
            <w:r/>
            <w:r>
              <w:rPr>
                <w:b w:val="0"/>
                <w:sz w:val="13"/>
              </w:rPr>
              <w:t>190</w:t>
            </w:r>
          </w:p>
        </w:tc>
        <w:tc>
          <w:tcPr>
            <w:tcW w:type="dxa" w:w="1003"/>
          </w:tcPr>
          <w:p>
            <w:pPr>
              <w:jc w:val="center"/>
            </w:pPr>
            <w:r/>
            <w:r>
              <w:rPr>
                <w:b w:val="0"/>
                <w:sz w:val="13"/>
              </w:rPr>
              <w:t>112.1</w:t>
            </w:r>
          </w:p>
        </w:tc>
      </w:tr>
      <w:tr>
        <w:tc>
          <w:tcPr>
            <w:tcW w:type="dxa" w:w="1003"/>
          </w:tcPr>
          <w:p>
            <w:pPr>
              <w:jc w:val="center"/>
            </w:pPr>
            <w:r/>
            <w:r>
              <w:rPr>
                <w:b w:val="0"/>
                <w:sz w:val="13"/>
              </w:rPr>
              <w:t>Random Forest</w:t>
            </w:r>
          </w:p>
        </w:tc>
        <w:tc>
          <w:tcPr>
            <w:tcW w:type="dxa" w:w="1003"/>
          </w:tcPr>
          <w:p>
            <w:pPr>
              <w:jc w:val="center"/>
            </w:pPr>
            <w:r/>
            <w:r>
              <w:rPr>
                <w:b w:val="0"/>
                <w:sz w:val="13"/>
              </w:rPr>
              <w:t>SMOTE</w:t>
            </w:r>
          </w:p>
        </w:tc>
        <w:tc>
          <w:tcPr>
            <w:tcW w:type="dxa" w:w="1003"/>
          </w:tcPr>
          <w:p>
            <w:pPr>
              <w:jc w:val="center"/>
            </w:pPr>
            <w:r/>
            <w:r>
              <w:rPr>
                <w:b w:val="0"/>
                <w:sz w:val="13"/>
              </w:rPr>
              <w:t>42</w:t>
            </w:r>
          </w:p>
        </w:tc>
        <w:tc>
          <w:tcPr>
            <w:tcW w:type="dxa" w:w="1003"/>
          </w:tcPr>
          <w:p>
            <w:pPr>
              <w:jc w:val="center"/>
            </w:pPr>
            <w:r/>
            <w:r>
              <w:rPr>
                <w:b w:val="0"/>
                <w:sz w:val="13"/>
              </w:rPr>
              <w:t>0.8819</w:t>
            </w:r>
          </w:p>
        </w:tc>
        <w:tc>
          <w:tcPr>
            <w:tcW w:type="dxa" w:w="1003"/>
          </w:tcPr>
          <w:p>
            <w:pPr>
              <w:jc w:val="center"/>
            </w:pPr>
            <w:r/>
            <w:r>
              <w:rPr>
                <w:b w:val="0"/>
                <w:sz w:val="13"/>
              </w:rPr>
              <w:t>0.9130</w:t>
            </w:r>
          </w:p>
        </w:tc>
        <w:tc>
          <w:tcPr>
            <w:tcW w:type="dxa" w:w="1003"/>
          </w:tcPr>
          <w:p>
            <w:pPr>
              <w:jc w:val="center"/>
            </w:pPr>
            <w:r/>
            <w:r>
              <w:rPr>
                <w:b w:val="0"/>
                <w:sz w:val="13"/>
              </w:rPr>
              <w:t>0.3025</w:t>
            </w:r>
          </w:p>
        </w:tc>
        <w:tc>
          <w:tcPr>
            <w:tcW w:type="dxa" w:w="1003"/>
          </w:tcPr>
          <w:p>
            <w:pPr>
              <w:jc w:val="center"/>
            </w:pPr>
            <w:r/>
            <w:r>
              <w:rPr>
                <w:b w:val="0"/>
                <w:sz w:val="13"/>
              </w:rPr>
              <w:t>0.9820</w:t>
            </w:r>
          </w:p>
        </w:tc>
        <w:tc>
          <w:tcPr>
            <w:tcW w:type="dxa" w:w="1003"/>
          </w:tcPr>
          <w:p>
            <w:pPr>
              <w:jc w:val="center"/>
            </w:pPr>
            <w:r/>
            <w:r>
              <w:rPr>
                <w:b w:val="0"/>
                <w:sz w:val="13"/>
              </w:rPr>
              <w:t>881</w:t>
            </w:r>
          </w:p>
        </w:tc>
        <w:tc>
          <w:tcPr>
            <w:tcW w:type="dxa" w:w="1003"/>
          </w:tcPr>
          <w:p>
            <w:pPr>
              <w:jc w:val="center"/>
            </w:pPr>
            <w:r/>
            <w:r>
              <w:rPr>
                <w:b w:val="0"/>
                <w:sz w:val="13"/>
              </w:rPr>
              <w:t>68.2</w:t>
            </w:r>
          </w:p>
        </w:tc>
      </w:tr>
      <w:tr>
        <w:tc>
          <w:tcPr>
            <w:tcW w:type="dxa" w:w="1003"/>
          </w:tcPr>
          <w:p>
            <w:pPr>
              <w:jc w:val="center"/>
            </w:pPr>
            <w:r/>
            <w:r>
              <w:rPr>
                <w:b w:val="0"/>
                <w:sz w:val="13"/>
              </w:rPr>
              <w:t>Random Forest</w:t>
            </w:r>
          </w:p>
        </w:tc>
        <w:tc>
          <w:tcPr>
            <w:tcW w:type="dxa" w:w="1003"/>
          </w:tcPr>
          <w:p>
            <w:pPr>
              <w:jc w:val="center"/>
            </w:pPr>
            <w:r/>
            <w:r>
              <w:rPr>
                <w:b w:val="0"/>
                <w:sz w:val="13"/>
              </w:rPr>
              <w:t>Class weights</w:t>
            </w:r>
          </w:p>
        </w:tc>
        <w:tc>
          <w:tcPr>
            <w:tcW w:type="dxa" w:w="1003"/>
          </w:tcPr>
          <w:p>
            <w:pPr>
              <w:jc w:val="center"/>
            </w:pPr>
            <w:r/>
            <w:r>
              <w:rPr>
                <w:b w:val="0"/>
                <w:sz w:val="13"/>
              </w:rPr>
              <w:t>42</w:t>
            </w:r>
          </w:p>
        </w:tc>
        <w:tc>
          <w:tcPr>
            <w:tcW w:type="dxa" w:w="1003"/>
          </w:tcPr>
          <w:p>
            <w:pPr>
              <w:jc w:val="center"/>
            </w:pPr>
            <w:r/>
            <w:r>
              <w:rPr>
                <w:b w:val="0"/>
                <w:sz w:val="13"/>
              </w:rPr>
              <w:t>0.8787</w:t>
            </w:r>
          </w:p>
        </w:tc>
        <w:tc>
          <w:tcPr>
            <w:tcW w:type="dxa" w:w="1003"/>
          </w:tcPr>
          <w:p>
            <w:pPr>
              <w:jc w:val="center"/>
            </w:pPr>
            <w:r/>
            <w:r>
              <w:rPr>
                <w:b w:val="0"/>
                <w:sz w:val="13"/>
              </w:rPr>
              <w:t>0.9002</w:t>
            </w:r>
          </w:p>
        </w:tc>
        <w:tc>
          <w:tcPr>
            <w:tcW w:type="dxa" w:w="1003"/>
          </w:tcPr>
          <w:p>
            <w:pPr>
              <w:jc w:val="center"/>
            </w:pPr>
            <w:r/>
            <w:r>
              <w:rPr>
                <w:b w:val="0"/>
                <w:sz w:val="13"/>
              </w:rPr>
              <w:t>0.1980</w:t>
            </w:r>
          </w:p>
        </w:tc>
        <w:tc>
          <w:tcPr>
            <w:tcW w:type="dxa" w:w="1003"/>
          </w:tcPr>
          <w:p>
            <w:pPr>
              <w:jc w:val="center"/>
            </w:pPr>
            <w:r/>
            <w:r>
              <w:rPr>
                <w:b w:val="0"/>
                <w:sz w:val="13"/>
              </w:rPr>
              <w:t>0.9846</w:t>
            </w:r>
          </w:p>
        </w:tc>
        <w:tc>
          <w:tcPr>
            <w:tcW w:type="dxa" w:w="1003"/>
          </w:tcPr>
          <w:p>
            <w:pPr>
              <w:jc w:val="center"/>
            </w:pPr>
            <w:r/>
            <w:r>
              <w:rPr>
                <w:b w:val="0"/>
                <w:sz w:val="13"/>
              </w:rPr>
              <w:t>1,551</w:t>
            </w:r>
          </w:p>
        </w:tc>
        <w:tc>
          <w:tcPr>
            <w:tcW w:type="dxa" w:w="1003"/>
          </w:tcPr>
          <w:p>
            <w:pPr>
              <w:jc w:val="center"/>
            </w:pPr>
            <w:r/>
            <w:r>
              <w:rPr>
                <w:b w:val="0"/>
                <w:sz w:val="13"/>
              </w:rPr>
              <w:t>144.6</w:t>
            </w:r>
          </w:p>
        </w:tc>
      </w:tr>
      <w:tr>
        <w:tc>
          <w:tcPr>
            <w:tcW w:type="dxa" w:w="1003"/>
          </w:tcPr>
          <w:p>
            <w:pPr>
              <w:jc w:val="center"/>
            </w:pPr>
            <w:r/>
            <w:r>
              <w:rPr>
                <w:b w:val="0"/>
                <w:sz w:val="13"/>
              </w:rPr>
              <w:t>XGBoost</w:t>
            </w:r>
          </w:p>
        </w:tc>
        <w:tc>
          <w:tcPr>
            <w:tcW w:type="dxa" w:w="1003"/>
          </w:tcPr>
          <w:p>
            <w:pPr>
              <w:jc w:val="center"/>
            </w:pPr>
            <w:r/>
            <w:r>
              <w:rPr>
                <w:b w:val="0"/>
                <w:sz w:val="13"/>
              </w:rPr>
              <w:t>SMOTE</w:t>
            </w:r>
          </w:p>
        </w:tc>
        <w:tc>
          <w:tcPr>
            <w:tcW w:type="dxa" w:w="1003"/>
          </w:tcPr>
          <w:p>
            <w:pPr>
              <w:jc w:val="center"/>
            </w:pPr>
            <w:r/>
            <w:r>
              <w:rPr>
                <w:b w:val="0"/>
                <w:sz w:val="13"/>
              </w:rPr>
              <w:t>7</w:t>
            </w:r>
          </w:p>
        </w:tc>
        <w:tc>
          <w:tcPr>
            <w:tcW w:type="dxa" w:w="1003"/>
          </w:tcPr>
          <w:p>
            <w:pPr>
              <w:jc w:val="center"/>
            </w:pPr>
            <w:r/>
            <w:r>
              <w:rPr>
                <w:b w:val="0"/>
                <w:sz w:val="13"/>
              </w:rPr>
              <w:t>0.9353</w:t>
            </w:r>
          </w:p>
        </w:tc>
        <w:tc>
          <w:tcPr>
            <w:tcW w:type="dxa" w:w="1003"/>
          </w:tcPr>
          <w:p>
            <w:pPr>
              <w:jc w:val="center"/>
            </w:pPr>
            <w:r/>
            <w:r>
              <w:rPr>
                <w:b w:val="0"/>
                <w:sz w:val="13"/>
              </w:rPr>
              <w:t>0.9595</w:t>
            </w:r>
          </w:p>
        </w:tc>
        <w:tc>
          <w:tcPr>
            <w:tcW w:type="dxa" w:w="1003"/>
          </w:tcPr>
          <w:p>
            <w:pPr>
              <w:jc w:val="center"/>
            </w:pPr>
            <w:r/>
            <w:r>
              <w:rPr>
                <w:b w:val="0"/>
                <w:sz w:val="13"/>
              </w:rPr>
              <w:t>0.5917</w:t>
            </w:r>
          </w:p>
        </w:tc>
        <w:tc>
          <w:tcPr>
            <w:tcW w:type="dxa" w:w="1003"/>
          </w:tcPr>
          <w:p>
            <w:pPr>
              <w:jc w:val="center"/>
            </w:pPr>
            <w:r/>
            <w:r>
              <w:rPr>
                <w:b w:val="0"/>
                <w:sz w:val="13"/>
              </w:rPr>
              <w:t>0.9949</w:t>
            </w:r>
          </w:p>
        </w:tc>
        <w:tc>
          <w:tcPr>
            <w:tcW w:type="dxa" w:w="1003"/>
          </w:tcPr>
          <w:p>
            <w:pPr>
              <w:jc w:val="center"/>
            </w:pPr>
            <w:r/>
            <w:r>
              <w:rPr>
                <w:b w:val="0"/>
                <w:sz w:val="13"/>
              </w:rPr>
              <w:t>267</w:t>
            </w:r>
          </w:p>
        </w:tc>
        <w:tc>
          <w:tcPr>
            <w:tcW w:type="dxa" w:w="1003"/>
          </w:tcPr>
          <w:p>
            <w:pPr>
              <w:jc w:val="center"/>
            </w:pPr>
            <w:r/>
            <w:r>
              <w:rPr>
                <w:b w:val="0"/>
                <w:sz w:val="13"/>
              </w:rPr>
              <w:t>45.0</w:t>
            </w:r>
          </w:p>
        </w:tc>
      </w:tr>
      <w:tr>
        <w:tc>
          <w:tcPr>
            <w:tcW w:type="dxa" w:w="1003"/>
          </w:tcPr>
          <w:p>
            <w:pPr>
              <w:jc w:val="center"/>
            </w:pPr>
            <w:r/>
            <w:r>
              <w:rPr>
                <w:b w:val="0"/>
                <w:sz w:val="13"/>
              </w:rPr>
              <w:t>XGBoost</w:t>
            </w:r>
          </w:p>
        </w:tc>
        <w:tc>
          <w:tcPr>
            <w:tcW w:type="dxa" w:w="1003"/>
          </w:tcPr>
          <w:p>
            <w:pPr>
              <w:jc w:val="center"/>
            </w:pPr>
            <w:r/>
            <w:r>
              <w:rPr>
                <w:b w:val="0"/>
                <w:sz w:val="13"/>
              </w:rPr>
              <w:t>Class weights</w:t>
            </w:r>
          </w:p>
        </w:tc>
        <w:tc>
          <w:tcPr>
            <w:tcW w:type="dxa" w:w="1003"/>
          </w:tcPr>
          <w:p>
            <w:pPr>
              <w:jc w:val="center"/>
            </w:pPr>
            <w:r/>
            <w:r>
              <w:rPr>
                <w:b w:val="0"/>
                <w:sz w:val="13"/>
              </w:rPr>
              <w:t>7</w:t>
            </w:r>
          </w:p>
        </w:tc>
        <w:tc>
          <w:tcPr>
            <w:tcW w:type="dxa" w:w="1003"/>
          </w:tcPr>
          <w:p>
            <w:pPr>
              <w:jc w:val="center"/>
            </w:pPr>
            <w:r/>
            <w:r>
              <w:rPr>
                <w:b w:val="0"/>
                <w:sz w:val="13"/>
              </w:rPr>
              <w:t>0.9519</w:t>
            </w:r>
          </w:p>
        </w:tc>
        <w:tc>
          <w:tcPr>
            <w:tcW w:type="dxa" w:w="1003"/>
          </w:tcPr>
          <w:p>
            <w:pPr>
              <w:jc w:val="center"/>
            </w:pPr>
            <w:r/>
            <w:r>
              <w:rPr>
                <w:b w:val="0"/>
                <w:sz w:val="13"/>
              </w:rPr>
              <w:t>0.9711</w:t>
            </w:r>
          </w:p>
        </w:tc>
        <w:tc>
          <w:tcPr>
            <w:tcW w:type="dxa" w:w="1003"/>
          </w:tcPr>
          <w:p>
            <w:pPr>
              <w:jc w:val="center"/>
            </w:pPr>
            <w:r/>
            <w:r>
              <w:rPr>
                <w:b w:val="0"/>
                <w:sz w:val="13"/>
              </w:rPr>
              <w:t>0.6898</w:t>
            </w:r>
          </w:p>
        </w:tc>
        <w:tc>
          <w:tcPr>
            <w:tcW w:type="dxa" w:w="1003"/>
          </w:tcPr>
          <w:p>
            <w:pPr>
              <w:jc w:val="center"/>
            </w:pPr>
            <w:r/>
            <w:r>
              <w:rPr>
                <w:b w:val="0"/>
                <w:sz w:val="13"/>
              </w:rPr>
              <w:t>0.9949</w:t>
            </w:r>
          </w:p>
        </w:tc>
        <w:tc>
          <w:tcPr>
            <w:tcW w:type="dxa" w:w="1003"/>
          </w:tcPr>
          <w:p>
            <w:pPr>
              <w:jc w:val="center"/>
            </w:pPr>
            <w:r/>
            <w:r>
              <w:rPr>
                <w:b w:val="0"/>
                <w:sz w:val="13"/>
              </w:rPr>
              <w:t>174</w:t>
            </w:r>
          </w:p>
        </w:tc>
        <w:tc>
          <w:tcPr>
            <w:tcW w:type="dxa" w:w="1003"/>
          </w:tcPr>
          <w:p>
            <w:pPr>
              <w:jc w:val="center"/>
            </w:pPr>
            <w:r/>
            <w:r>
              <w:rPr>
                <w:b w:val="0"/>
                <w:sz w:val="13"/>
              </w:rPr>
              <w:t>131.4</w:t>
            </w:r>
          </w:p>
        </w:tc>
      </w:tr>
      <w:tr>
        <w:tc>
          <w:tcPr>
            <w:tcW w:type="dxa" w:w="1003"/>
          </w:tcPr>
          <w:p>
            <w:pPr>
              <w:jc w:val="center"/>
            </w:pPr>
            <w:r/>
            <w:r>
              <w:rPr>
                <w:b w:val="0"/>
                <w:sz w:val="13"/>
              </w:rPr>
              <w:t>Random Forest</w:t>
            </w:r>
          </w:p>
        </w:tc>
        <w:tc>
          <w:tcPr>
            <w:tcW w:type="dxa" w:w="1003"/>
          </w:tcPr>
          <w:p>
            <w:pPr>
              <w:jc w:val="center"/>
            </w:pPr>
            <w:r/>
            <w:r>
              <w:rPr>
                <w:b w:val="0"/>
                <w:sz w:val="13"/>
              </w:rPr>
              <w:t>SMOTE</w:t>
            </w:r>
          </w:p>
        </w:tc>
        <w:tc>
          <w:tcPr>
            <w:tcW w:type="dxa" w:w="1003"/>
          </w:tcPr>
          <w:p>
            <w:pPr>
              <w:jc w:val="center"/>
            </w:pPr>
            <w:r/>
            <w:r>
              <w:rPr>
                <w:b w:val="0"/>
                <w:sz w:val="13"/>
              </w:rPr>
              <w:t>7</w:t>
            </w:r>
          </w:p>
        </w:tc>
        <w:tc>
          <w:tcPr>
            <w:tcW w:type="dxa" w:w="1003"/>
          </w:tcPr>
          <w:p>
            <w:pPr>
              <w:jc w:val="center"/>
            </w:pPr>
            <w:r/>
            <w:r>
              <w:rPr>
                <w:b w:val="0"/>
                <w:sz w:val="13"/>
              </w:rPr>
              <w:t>0.8861</w:t>
            </w:r>
          </w:p>
        </w:tc>
        <w:tc>
          <w:tcPr>
            <w:tcW w:type="dxa" w:w="1003"/>
          </w:tcPr>
          <w:p>
            <w:pPr>
              <w:jc w:val="center"/>
            </w:pPr>
            <w:r/>
            <w:r>
              <w:rPr>
                <w:b w:val="0"/>
                <w:sz w:val="13"/>
              </w:rPr>
              <w:t>0.9137</w:t>
            </w:r>
          </w:p>
        </w:tc>
        <w:tc>
          <w:tcPr>
            <w:tcW w:type="dxa" w:w="1003"/>
          </w:tcPr>
          <w:p>
            <w:pPr>
              <w:jc w:val="center"/>
            </w:pPr>
            <w:r/>
            <w:r>
              <w:rPr>
                <w:b w:val="0"/>
                <w:sz w:val="13"/>
              </w:rPr>
              <w:t>0.2911</w:t>
            </w:r>
          </w:p>
        </w:tc>
        <w:tc>
          <w:tcPr>
            <w:tcW w:type="dxa" w:w="1003"/>
          </w:tcPr>
          <w:p>
            <w:pPr>
              <w:jc w:val="center"/>
            </w:pPr>
            <w:r/>
            <w:r>
              <w:rPr>
                <w:b w:val="0"/>
                <w:sz w:val="13"/>
              </w:rPr>
              <w:t>0.9871</w:t>
            </w:r>
          </w:p>
        </w:tc>
        <w:tc>
          <w:tcPr>
            <w:tcW w:type="dxa" w:w="1003"/>
          </w:tcPr>
          <w:p>
            <w:pPr>
              <w:jc w:val="center"/>
            </w:pPr>
            <w:r/>
            <w:r>
              <w:rPr>
                <w:b w:val="0"/>
                <w:sz w:val="13"/>
              </w:rPr>
              <w:t>935</w:t>
            </w:r>
          </w:p>
        </w:tc>
        <w:tc>
          <w:tcPr>
            <w:tcW w:type="dxa" w:w="1003"/>
          </w:tcPr>
          <w:p>
            <w:pPr>
              <w:jc w:val="center"/>
            </w:pPr>
            <w:r/>
            <w:r>
              <w:rPr>
                <w:b w:val="0"/>
                <w:sz w:val="13"/>
              </w:rPr>
              <w:t>73.4</w:t>
            </w:r>
          </w:p>
        </w:tc>
      </w:tr>
      <w:tr>
        <w:tc>
          <w:tcPr>
            <w:tcW w:type="dxa" w:w="1003"/>
          </w:tcPr>
          <w:p>
            <w:pPr>
              <w:jc w:val="center"/>
            </w:pPr>
            <w:r/>
            <w:r>
              <w:rPr>
                <w:b w:val="0"/>
                <w:sz w:val="13"/>
              </w:rPr>
              <w:t>Random Forest</w:t>
            </w:r>
          </w:p>
        </w:tc>
        <w:tc>
          <w:tcPr>
            <w:tcW w:type="dxa" w:w="1003"/>
          </w:tcPr>
          <w:p>
            <w:pPr>
              <w:jc w:val="center"/>
            </w:pPr>
            <w:r/>
            <w:r>
              <w:rPr>
                <w:b w:val="0"/>
                <w:sz w:val="13"/>
              </w:rPr>
              <w:t>Class weights</w:t>
            </w:r>
          </w:p>
        </w:tc>
        <w:tc>
          <w:tcPr>
            <w:tcW w:type="dxa" w:w="1003"/>
          </w:tcPr>
          <w:p>
            <w:pPr>
              <w:jc w:val="center"/>
            </w:pPr>
            <w:r/>
            <w:r>
              <w:rPr>
                <w:b w:val="0"/>
                <w:sz w:val="13"/>
              </w:rPr>
              <w:t>7</w:t>
            </w:r>
          </w:p>
        </w:tc>
        <w:tc>
          <w:tcPr>
            <w:tcW w:type="dxa" w:w="1003"/>
          </w:tcPr>
          <w:p>
            <w:pPr>
              <w:jc w:val="center"/>
            </w:pPr>
            <w:r/>
            <w:r>
              <w:rPr>
                <w:b w:val="0"/>
                <w:sz w:val="13"/>
              </w:rPr>
              <w:t>0.8795</w:t>
            </w:r>
          </w:p>
        </w:tc>
        <w:tc>
          <w:tcPr>
            <w:tcW w:type="dxa" w:w="1003"/>
          </w:tcPr>
          <w:p>
            <w:pPr>
              <w:jc w:val="center"/>
            </w:pPr>
            <w:r/>
            <w:r>
              <w:rPr>
                <w:b w:val="0"/>
                <w:sz w:val="13"/>
              </w:rPr>
              <w:t>0.8984</w:t>
            </w:r>
          </w:p>
        </w:tc>
        <w:tc>
          <w:tcPr>
            <w:tcW w:type="dxa" w:w="1003"/>
          </w:tcPr>
          <w:p>
            <w:pPr>
              <w:jc w:val="center"/>
            </w:pPr>
            <w:r/>
            <w:r>
              <w:rPr>
                <w:b w:val="0"/>
                <w:sz w:val="13"/>
              </w:rPr>
              <w:t>0.1888</w:t>
            </w:r>
          </w:p>
        </w:tc>
        <w:tc>
          <w:tcPr>
            <w:tcW w:type="dxa" w:w="1003"/>
          </w:tcPr>
          <w:p>
            <w:pPr>
              <w:jc w:val="center"/>
            </w:pPr>
            <w:r/>
            <w:r>
              <w:rPr>
                <w:b w:val="0"/>
                <w:sz w:val="13"/>
              </w:rPr>
              <w:t>0.9871</w:t>
            </w:r>
          </w:p>
        </w:tc>
        <w:tc>
          <w:tcPr>
            <w:tcW w:type="dxa" w:w="1003"/>
          </w:tcPr>
          <w:p>
            <w:pPr>
              <w:jc w:val="center"/>
            </w:pPr>
            <w:r/>
            <w:r>
              <w:rPr>
                <w:b w:val="0"/>
                <w:sz w:val="13"/>
              </w:rPr>
              <w:t>1,650</w:t>
            </w:r>
          </w:p>
        </w:tc>
        <w:tc>
          <w:tcPr>
            <w:tcW w:type="dxa" w:w="1003"/>
          </w:tcPr>
          <w:p>
            <w:pPr>
              <w:jc w:val="center"/>
            </w:pPr>
            <w:r/>
            <w:r>
              <w:rPr>
                <w:b w:val="0"/>
                <w:sz w:val="13"/>
              </w:rPr>
              <w:t>168.7</w:t>
            </w:r>
          </w:p>
        </w:tc>
      </w:tr>
      <w:tr>
        <w:tc>
          <w:tcPr>
            <w:tcW w:type="dxa" w:w="1003"/>
          </w:tcPr>
          <w:p>
            <w:pPr>
              <w:jc w:val="center"/>
            </w:pPr>
            <w:r/>
            <w:r>
              <w:rPr>
                <w:b w:val="0"/>
                <w:sz w:val="13"/>
              </w:rPr>
              <w:t>XGBoost</w:t>
            </w:r>
          </w:p>
        </w:tc>
        <w:tc>
          <w:tcPr>
            <w:tcW w:type="dxa" w:w="1003"/>
          </w:tcPr>
          <w:p>
            <w:pPr>
              <w:jc w:val="center"/>
            </w:pPr>
            <w:r/>
            <w:r>
              <w:rPr>
                <w:b w:val="0"/>
                <w:sz w:val="13"/>
              </w:rPr>
              <w:t>SMOTE</w:t>
            </w:r>
          </w:p>
        </w:tc>
        <w:tc>
          <w:tcPr>
            <w:tcW w:type="dxa" w:w="1003"/>
          </w:tcPr>
          <w:p>
            <w:pPr>
              <w:jc w:val="center"/>
            </w:pPr>
            <w:r/>
            <w:r>
              <w:rPr>
                <w:b w:val="0"/>
                <w:sz w:val="13"/>
              </w:rPr>
              <w:t>123</w:t>
            </w:r>
          </w:p>
        </w:tc>
        <w:tc>
          <w:tcPr>
            <w:tcW w:type="dxa" w:w="1003"/>
          </w:tcPr>
          <w:p>
            <w:pPr>
              <w:jc w:val="center"/>
            </w:pPr>
            <w:r/>
            <w:r>
              <w:rPr>
                <w:b w:val="0"/>
                <w:sz w:val="13"/>
              </w:rPr>
              <w:t>0.9275</w:t>
            </w:r>
          </w:p>
        </w:tc>
        <w:tc>
          <w:tcPr>
            <w:tcW w:type="dxa" w:w="1003"/>
          </w:tcPr>
          <w:p>
            <w:pPr>
              <w:jc w:val="center"/>
            </w:pPr>
            <w:r/>
            <w:r>
              <w:rPr>
                <w:b w:val="0"/>
                <w:sz w:val="13"/>
              </w:rPr>
              <w:t>0.9546</w:t>
            </w:r>
          </w:p>
        </w:tc>
        <w:tc>
          <w:tcPr>
            <w:tcW w:type="dxa" w:w="1003"/>
          </w:tcPr>
          <w:p>
            <w:pPr>
              <w:jc w:val="center"/>
            </w:pPr>
            <w:r/>
            <w:r>
              <w:rPr>
                <w:b w:val="0"/>
                <w:sz w:val="13"/>
              </w:rPr>
              <w:t>0.5793</w:t>
            </w:r>
          </w:p>
        </w:tc>
        <w:tc>
          <w:tcPr>
            <w:tcW w:type="dxa" w:w="1003"/>
          </w:tcPr>
          <w:p>
            <w:pPr>
              <w:jc w:val="center"/>
            </w:pPr>
            <w:r/>
            <w:r>
              <w:rPr>
                <w:b w:val="0"/>
                <w:sz w:val="13"/>
              </w:rPr>
              <w:t>0.9949</w:t>
            </w:r>
          </w:p>
        </w:tc>
        <w:tc>
          <w:tcPr>
            <w:tcW w:type="dxa" w:w="1003"/>
          </w:tcPr>
          <w:p>
            <w:pPr>
              <w:jc w:val="center"/>
            </w:pPr>
            <w:r/>
            <w:r>
              <w:rPr>
                <w:b w:val="0"/>
                <w:sz w:val="13"/>
              </w:rPr>
              <w:t>281</w:t>
            </w:r>
          </w:p>
        </w:tc>
        <w:tc>
          <w:tcPr>
            <w:tcW w:type="dxa" w:w="1003"/>
          </w:tcPr>
          <w:p>
            <w:pPr>
              <w:jc w:val="center"/>
            </w:pPr>
            <w:r/>
            <w:r>
              <w:rPr>
                <w:b w:val="0"/>
                <w:sz w:val="13"/>
              </w:rPr>
              <w:t>55.7</w:t>
            </w:r>
          </w:p>
        </w:tc>
      </w:tr>
      <w:tr>
        <w:tc>
          <w:tcPr>
            <w:tcW w:type="dxa" w:w="1003"/>
          </w:tcPr>
          <w:p>
            <w:pPr>
              <w:jc w:val="center"/>
            </w:pPr>
            <w:r/>
            <w:r>
              <w:rPr>
                <w:b w:val="0"/>
                <w:sz w:val="13"/>
              </w:rPr>
              <w:t>XGBoost</w:t>
            </w:r>
          </w:p>
        </w:tc>
        <w:tc>
          <w:tcPr>
            <w:tcW w:type="dxa" w:w="1003"/>
          </w:tcPr>
          <w:p>
            <w:pPr>
              <w:jc w:val="center"/>
            </w:pPr>
            <w:r/>
            <w:r>
              <w:rPr>
                <w:b w:val="0"/>
                <w:sz w:val="13"/>
              </w:rPr>
              <w:t>Class weights</w:t>
            </w:r>
          </w:p>
        </w:tc>
        <w:tc>
          <w:tcPr>
            <w:tcW w:type="dxa" w:w="1003"/>
          </w:tcPr>
          <w:p>
            <w:pPr>
              <w:jc w:val="center"/>
            </w:pPr>
            <w:r/>
            <w:r>
              <w:rPr>
                <w:b w:val="0"/>
                <w:sz w:val="13"/>
              </w:rPr>
              <w:t>123</w:t>
            </w:r>
          </w:p>
        </w:tc>
        <w:tc>
          <w:tcPr>
            <w:tcW w:type="dxa" w:w="1003"/>
          </w:tcPr>
          <w:p>
            <w:pPr>
              <w:jc w:val="center"/>
            </w:pPr>
            <w:r/>
            <w:r>
              <w:rPr>
                <w:b w:val="0"/>
                <w:sz w:val="13"/>
              </w:rPr>
              <w:t>0.9462</w:t>
            </w:r>
          </w:p>
        </w:tc>
        <w:tc>
          <w:tcPr>
            <w:tcW w:type="dxa" w:w="1003"/>
          </w:tcPr>
          <w:p>
            <w:pPr>
              <w:jc w:val="center"/>
            </w:pPr>
            <w:r/>
            <w:r>
              <w:rPr>
                <w:b w:val="0"/>
                <w:sz w:val="13"/>
              </w:rPr>
              <w:t>0.9673</w:t>
            </w:r>
          </w:p>
        </w:tc>
        <w:tc>
          <w:tcPr>
            <w:tcW w:type="dxa" w:w="1003"/>
          </w:tcPr>
          <w:p>
            <w:pPr>
              <w:jc w:val="center"/>
            </w:pPr>
            <w:r/>
            <w:r>
              <w:rPr>
                <w:b w:val="0"/>
                <w:sz w:val="13"/>
              </w:rPr>
              <w:t>0.6672</w:t>
            </w:r>
          </w:p>
        </w:tc>
        <w:tc>
          <w:tcPr>
            <w:tcW w:type="dxa" w:w="1003"/>
          </w:tcPr>
          <w:p>
            <w:pPr>
              <w:jc w:val="center"/>
            </w:pPr>
            <w:r/>
            <w:r>
              <w:rPr>
                <w:b w:val="0"/>
                <w:sz w:val="13"/>
              </w:rPr>
              <w:t>0.9949</w:t>
            </w:r>
          </w:p>
        </w:tc>
        <w:tc>
          <w:tcPr>
            <w:tcW w:type="dxa" w:w="1003"/>
          </w:tcPr>
          <w:p>
            <w:pPr>
              <w:jc w:val="center"/>
            </w:pPr>
            <w:r/>
            <w:r>
              <w:rPr>
                <w:b w:val="0"/>
                <w:sz w:val="13"/>
              </w:rPr>
              <w:t>193</w:t>
            </w:r>
          </w:p>
        </w:tc>
        <w:tc>
          <w:tcPr>
            <w:tcW w:type="dxa" w:w="1003"/>
          </w:tcPr>
          <w:p>
            <w:pPr>
              <w:jc w:val="center"/>
            </w:pPr>
            <w:r/>
            <w:r>
              <w:rPr>
                <w:b w:val="0"/>
                <w:sz w:val="13"/>
              </w:rPr>
              <w:t>163.5</w:t>
            </w:r>
          </w:p>
        </w:tc>
      </w:tr>
      <w:tr>
        <w:tc>
          <w:tcPr>
            <w:tcW w:type="dxa" w:w="1003"/>
          </w:tcPr>
          <w:p>
            <w:pPr>
              <w:jc w:val="center"/>
            </w:pPr>
            <w:r/>
            <w:r>
              <w:rPr>
                <w:b w:val="0"/>
                <w:sz w:val="13"/>
              </w:rPr>
              <w:t>Random Forest</w:t>
            </w:r>
          </w:p>
        </w:tc>
        <w:tc>
          <w:tcPr>
            <w:tcW w:type="dxa" w:w="1003"/>
          </w:tcPr>
          <w:p>
            <w:pPr>
              <w:jc w:val="center"/>
            </w:pPr>
            <w:r/>
            <w:r>
              <w:rPr>
                <w:b w:val="0"/>
                <w:sz w:val="13"/>
              </w:rPr>
              <w:t>SMOTE</w:t>
            </w:r>
          </w:p>
        </w:tc>
        <w:tc>
          <w:tcPr>
            <w:tcW w:type="dxa" w:w="1003"/>
          </w:tcPr>
          <w:p>
            <w:pPr>
              <w:jc w:val="center"/>
            </w:pPr>
            <w:r/>
            <w:r>
              <w:rPr>
                <w:b w:val="0"/>
                <w:sz w:val="13"/>
              </w:rPr>
              <w:t>123</w:t>
            </w:r>
          </w:p>
        </w:tc>
        <w:tc>
          <w:tcPr>
            <w:tcW w:type="dxa" w:w="1003"/>
          </w:tcPr>
          <w:p>
            <w:pPr>
              <w:jc w:val="center"/>
            </w:pPr>
            <w:r/>
            <w:r>
              <w:rPr>
                <w:b w:val="0"/>
                <w:sz w:val="13"/>
              </w:rPr>
              <w:t>0.8817</w:t>
            </w:r>
          </w:p>
        </w:tc>
        <w:tc>
          <w:tcPr>
            <w:tcW w:type="dxa" w:w="1003"/>
          </w:tcPr>
          <w:p>
            <w:pPr>
              <w:jc w:val="center"/>
            </w:pPr>
            <w:r/>
            <w:r>
              <w:rPr>
                <w:b w:val="0"/>
                <w:sz w:val="13"/>
              </w:rPr>
              <w:t>0.9119</w:t>
            </w:r>
          </w:p>
        </w:tc>
        <w:tc>
          <w:tcPr>
            <w:tcW w:type="dxa" w:w="1003"/>
          </w:tcPr>
          <w:p>
            <w:pPr>
              <w:jc w:val="center"/>
            </w:pPr>
            <w:r/>
            <w:r>
              <w:rPr>
                <w:b w:val="0"/>
                <w:sz w:val="13"/>
              </w:rPr>
              <w:t>0.2942</w:t>
            </w:r>
          </w:p>
        </w:tc>
        <w:tc>
          <w:tcPr>
            <w:tcW w:type="dxa" w:w="1003"/>
          </w:tcPr>
          <w:p>
            <w:pPr>
              <w:jc w:val="center"/>
            </w:pPr>
            <w:r/>
            <w:r>
              <w:rPr>
                <w:b w:val="0"/>
                <w:sz w:val="13"/>
              </w:rPr>
              <w:t>0.9923</w:t>
            </w:r>
          </w:p>
        </w:tc>
        <w:tc>
          <w:tcPr>
            <w:tcW w:type="dxa" w:w="1003"/>
          </w:tcPr>
          <w:p>
            <w:pPr>
              <w:jc w:val="center"/>
            </w:pPr>
            <w:r/>
            <w:r>
              <w:rPr>
                <w:b w:val="0"/>
                <w:sz w:val="13"/>
              </w:rPr>
              <w:t>926</w:t>
            </w:r>
          </w:p>
        </w:tc>
        <w:tc>
          <w:tcPr>
            <w:tcW w:type="dxa" w:w="1003"/>
          </w:tcPr>
          <w:p>
            <w:pPr>
              <w:jc w:val="center"/>
            </w:pPr>
            <w:r/>
            <w:r>
              <w:rPr>
                <w:b w:val="0"/>
                <w:sz w:val="13"/>
              </w:rPr>
              <w:t>94.1</w:t>
            </w:r>
          </w:p>
        </w:tc>
      </w:tr>
      <w:tr>
        <w:tc>
          <w:tcPr>
            <w:tcW w:type="dxa" w:w="1003"/>
          </w:tcPr>
          <w:p>
            <w:pPr>
              <w:jc w:val="center"/>
            </w:pPr>
            <w:r/>
            <w:r>
              <w:rPr>
                <w:b w:val="0"/>
                <w:sz w:val="13"/>
              </w:rPr>
              <w:t>Random Forest</w:t>
            </w:r>
          </w:p>
        </w:tc>
        <w:tc>
          <w:tcPr>
            <w:tcW w:type="dxa" w:w="1003"/>
          </w:tcPr>
          <w:p>
            <w:pPr>
              <w:jc w:val="center"/>
            </w:pPr>
            <w:r/>
            <w:r>
              <w:rPr>
                <w:b w:val="0"/>
                <w:sz w:val="13"/>
              </w:rPr>
              <w:t>Class weights</w:t>
            </w:r>
          </w:p>
        </w:tc>
        <w:tc>
          <w:tcPr>
            <w:tcW w:type="dxa" w:w="1003"/>
          </w:tcPr>
          <w:p>
            <w:pPr>
              <w:jc w:val="center"/>
            </w:pPr>
            <w:r/>
            <w:r>
              <w:rPr>
                <w:b w:val="0"/>
                <w:sz w:val="13"/>
              </w:rPr>
              <w:t>123</w:t>
            </w:r>
          </w:p>
        </w:tc>
        <w:tc>
          <w:tcPr>
            <w:tcW w:type="dxa" w:w="1003"/>
          </w:tcPr>
          <w:p>
            <w:pPr>
              <w:jc w:val="center"/>
            </w:pPr>
            <w:r/>
            <w:r>
              <w:rPr>
                <w:b w:val="0"/>
                <w:sz w:val="13"/>
              </w:rPr>
              <w:t>0.8754</w:t>
            </w:r>
          </w:p>
        </w:tc>
        <w:tc>
          <w:tcPr>
            <w:tcW w:type="dxa" w:w="1003"/>
          </w:tcPr>
          <w:p>
            <w:pPr>
              <w:jc w:val="center"/>
            </w:pPr>
            <w:r/>
            <w:r>
              <w:rPr>
                <w:b w:val="0"/>
                <w:sz w:val="13"/>
              </w:rPr>
              <w:t>0.8952</w:t>
            </w:r>
          </w:p>
        </w:tc>
        <w:tc>
          <w:tcPr>
            <w:tcW w:type="dxa" w:w="1003"/>
          </w:tcPr>
          <w:p>
            <w:pPr>
              <w:jc w:val="center"/>
            </w:pPr>
            <w:r/>
            <w:r>
              <w:rPr>
                <w:b w:val="0"/>
                <w:sz w:val="13"/>
              </w:rPr>
              <w:t>0.1797</w:t>
            </w:r>
          </w:p>
        </w:tc>
        <w:tc>
          <w:tcPr>
            <w:tcW w:type="dxa" w:w="1003"/>
          </w:tcPr>
          <w:p>
            <w:pPr>
              <w:jc w:val="center"/>
            </w:pPr>
            <w:r/>
            <w:r>
              <w:rPr>
                <w:b w:val="0"/>
                <w:sz w:val="13"/>
              </w:rPr>
              <w:t>0.9897</w:t>
            </w:r>
          </w:p>
        </w:tc>
        <w:tc>
          <w:tcPr>
            <w:tcW w:type="dxa" w:w="1003"/>
          </w:tcPr>
          <w:p>
            <w:pPr>
              <w:jc w:val="center"/>
            </w:pPr>
            <w:r/>
            <w:r>
              <w:rPr>
                <w:b w:val="0"/>
                <w:sz w:val="13"/>
              </w:rPr>
              <w:t>1,757</w:t>
            </w:r>
          </w:p>
        </w:tc>
        <w:tc>
          <w:tcPr>
            <w:tcW w:type="dxa" w:w="1003"/>
          </w:tcPr>
          <w:p>
            <w:pPr>
              <w:jc w:val="center"/>
            </w:pPr>
            <w:r/>
            <w:r>
              <w:rPr>
                <w:b w:val="0"/>
                <w:sz w:val="13"/>
              </w:rPr>
              <w:t>206.2</w:t>
            </w:r>
          </w:p>
        </w:tc>
      </w:tr>
    </w:tbl>
    <w:p/>
    <w:p>
      <w:pPr>
        <w:pStyle w:val="Caption"/>
        <w:jc w:val="center"/>
      </w:pPr>
      <w:r>
        <w:t xml:space="preserve">Table </w:t>
      </w:r>
      <w:r>
        <w:fldChar w:fldCharType="begin"/>
      </w:r>
      <w:r>
        <w:instrText xml:space="preserve"> SEQ Table \* ARABIC </w:instrText>
      </w:r>
      <w:r>
        <w:fldChar w:fldCharType="separate"/>
      </w:r>
      <w:r>
        <w:t>1</w:t>
      </w:r>
      <w:r>
        <w:fldChar w:fldCharType="end"/>
      </w:r>
      <w:r>
        <w:t>. E4 — validation threshold sweep for the Bots class (selected rows; full sweep of 32 thresholds in docs/results/e4_threshold_sweep_val.csv; deployed threshold t=0.99 highlighted).</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44546A"/>
          </w:tcPr>
          <w:p>
            <w:pPr>
              <w:jc w:val="center"/>
            </w:pPr>
            <w:r/>
            <w:r>
              <w:rPr>
                <w:b/>
                <w:color w:val="FFFFFF"/>
                <w:sz w:val="15"/>
              </w:rPr>
              <w:t>t</w:t>
            </w:r>
          </w:p>
        </w:tc>
        <w:tc>
          <w:tcPr>
            <w:tcW w:type="dxa" w:w="1289"/>
            <w:shd w:val="clear" w:color="auto" w:fill="44546A"/>
          </w:tcPr>
          <w:p>
            <w:pPr>
              <w:jc w:val="center"/>
            </w:pPr>
            <w:r/>
            <w:r>
              <w:rPr>
                <w:b/>
                <w:color w:val="FFFFFF"/>
                <w:sz w:val="15"/>
              </w:rPr>
              <w:t>Bots P</w:t>
            </w:r>
          </w:p>
        </w:tc>
        <w:tc>
          <w:tcPr>
            <w:tcW w:type="dxa" w:w="1289"/>
            <w:shd w:val="clear" w:color="auto" w:fill="44546A"/>
          </w:tcPr>
          <w:p>
            <w:pPr>
              <w:jc w:val="center"/>
            </w:pPr>
            <w:r/>
            <w:r>
              <w:rPr>
                <w:b/>
                <w:color w:val="FFFFFF"/>
                <w:sz w:val="15"/>
              </w:rPr>
              <w:t>Bots R</w:t>
            </w:r>
          </w:p>
        </w:tc>
        <w:tc>
          <w:tcPr>
            <w:tcW w:type="dxa" w:w="1289"/>
            <w:shd w:val="clear" w:color="auto" w:fill="44546A"/>
          </w:tcPr>
          <w:p>
            <w:pPr>
              <w:jc w:val="center"/>
            </w:pPr>
            <w:r/>
            <w:r>
              <w:rPr>
                <w:b/>
                <w:color w:val="FFFFFF"/>
                <w:sz w:val="15"/>
              </w:rPr>
              <w:t>Bots F1</w:t>
            </w:r>
          </w:p>
        </w:tc>
        <w:tc>
          <w:tcPr>
            <w:tcW w:type="dxa" w:w="1289"/>
            <w:shd w:val="clear" w:color="auto" w:fill="44546A"/>
          </w:tcPr>
          <w:p>
            <w:pPr>
              <w:jc w:val="center"/>
            </w:pPr>
            <w:r/>
            <w:r>
              <w:rPr>
                <w:b/>
                <w:color w:val="FFFFFF"/>
                <w:sz w:val="15"/>
              </w:rPr>
              <w:t>Macro F1</w:t>
            </w:r>
          </w:p>
        </w:tc>
        <w:tc>
          <w:tcPr>
            <w:tcW w:type="dxa" w:w="1289"/>
            <w:shd w:val="clear" w:color="auto" w:fill="44546A"/>
          </w:tcPr>
          <w:p>
            <w:pPr>
              <w:jc w:val="center"/>
            </w:pPr>
            <w:r/>
            <w:r>
              <w:rPr>
                <w:b/>
                <w:color w:val="FFFFFF"/>
                <w:sz w:val="15"/>
              </w:rPr>
              <w:t>FP</w:t>
            </w:r>
          </w:p>
        </w:tc>
        <w:tc>
          <w:tcPr>
            <w:tcW w:type="dxa" w:w="1289"/>
            <w:shd w:val="clear" w:color="auto" w:fill="44546A"/>
          </w:tcPr>
          <w:p>
            <w:pPr>
              <w:jc w:val="center"/>
            </w:pPr>
            <w:r/>
            <w:r>
              <w:rPr>
                <w:b/>
                <w:color w:val="FFFFFF"/>
                <w:sz w:val="15"/>
              </w:rPr>
              <w:t>Missed</w:t>
            </w:r>
          </w:p>
        </w:tc>
      </w:tr>
      <w:tr>
        <w:tc>
          <w:tcPr>
            <w:tcW w:type="dxa" w:w="1289"/>
          </w:tcPr>
          <w:p>
            <w:pPr>
              <w:jc w:val="center"/>
            </w:pPr>
            <w:r/>
            <w:r>
              <w:rPr>
                <w:b w:val="0"/>
                <w:sz w:val="14"/>
              </w:rPr>
              <w:t>0.0500</w:t>
            </w:r>
          </w:p>
        </w:tc>
        <w:tc>
          <w:tcPr>
            <w:tcW w:type="dxa" w:w="1289"/>
          </w:tcPr>
          <w:p>
            <w:pPr>
              <w:jc w:val="center"/>
            </w:pPr>
            <w:r/>
            <w:r>
              <w:rPr>
                <w:b w:val="0"/>
                <w:sz w:val="14"/>
              </w:rPr>
              <w:t>0.5377</w:t>
            </w:r>
          </w:p>
        </w:tc>
        <w:tc>
          <w:tcPr>
            <w:tcW w:type="dxa" w:w="1289"/>
          </w:tcPr>
          <w:p>
            <w:pPr>
              <w:jc w:val="center"/>
            </w:pPr>
            <w:r/>
            <w:r>
              <w:rPr>
                <w:b w:val="0"/>
                <w:sz w:val="14"/>
              </w:rPr>
              <w:t>0.9897</w:t>
            </w:r>
          </w:p>
        </w:tc>
        <w:tc>
          <w:tcPr>
            <w:tcW w:type="dxa" w:w="1289"/>
          </w:tcPr>
          <w:p>
            <w:pPr>
              <w:jc w:val="center"/>
            </w:pPr>
            <w:r/>
            <w:r>
              <w:rPr>
                <w:b w:val="0"/>
                <w:sz w:val="14"/>
              </w:rPr>
              <w:t>0.6968</w:t>
            </w:r>
          </w:p>
        </w:tc>
        <w:tc>
          <w:tcPr>
            <w:tcW w:type="dxa" w:w="1289"/>
          </w:tcPr>
          <w:p>
            <w:pPr>
              <w:jc w:val="center"/>
            </w:pPr>
            <w:r/>
            <w:r>
              <w:rPr>
                <w:b w:val="0"/>
                <w:sz w:val="14"/>
              </w:rPr>
              <w:t>0.9533</w:t>
            </w:r>
          </w:p>
        </w:tc>
        <w:tc>
          <w:tcPr>
            <w:tcW w:type="dxa" w:w="1289"/>
          </w:tcPr>
          <w:p>
            <w:pPr>
              <w:jc w:val="center"/>
            </w:pPr>
            <w:r/>
            <w:r>
              <w:rPr>
                <w:b w:val="0"/>
                <w:sz w:val="14"/>
              </w:rPr>
              <w:t>331</w:t>
            </w:r>
          </w:p>
        </w:tc>
        <w:tc>
          <w:tcPr>
            <w:tcW w:type="dxa" w:w="1289"/>
          </w:tcPr>
          <w:p>
            <w:pPr>
              <w:jc w:val="center"/>
            </w:pPr>
            <w:r/>
            <w:r>
              <w:rPr>
                <w:b w:val="0"/>
                <w:sz w:val="14"/>
              </w:rPr>
              <w:t>4</w:t>
            </w:r>
          </w:p>
        </w:tc>
      </w:tr>
      <w:tr>
        <w:tc>
          <w:tcPr>
            <w:tcW w:type="dxa" w:w="1289"/>
          </w:tcPr>
          <w:p>
            <w:pPr>
              <w:jc w:val="center"/>
            </w:pPr>
            <w:r/>
            <w:r>
              <w:rPr>
                <w:b w:val="0"/>
                <w:sz w:val="14"/>
              </w:rPr>
              <w:t>0.1000</w:t>
            </w:r>
          </w:p>
        </w:tc>
        <w:tc>
          <w:tcPr>
            <w:tcW w:type="dxa" w:w="1289"/>
          </w:tcPr>
          <w:p>
            <w:pPr>
              <w:jc w:val="center"/>
            </w:pPr>
            <w:r/>
            <w:r>
              <w:rPr>
                <w:b w:val="0"/>
                <w:sz w:val="14"/>
              </w:rPr>
              <w:t>0.5865</w:t>
            </w:r>
          </w:p>
        </w:tc>
        <w:tc>
          <w:tcPr>
            <w:tcW w:type="dxa" w:w="1289"/>
          </w:tcPr>
          <w:p>
            <w:pPr>
              <w:jc w:val="center"/>
            </w:pPr>
            <w:r/>
            <w:r>
              <w:rPr>
                <w:b w:val="0"/>
                <w:sz w:val="14"/>
              </w:rPr>
              <w:t>0.9846</w:t>
            </w:r>
          </w:p>
        </w:tc>
        <w:tc>
          <w:tcPr>
            <w:tcW w:type="dxa" w:w="1289"/>
          </w:tcPr>
          <w:p>
            <w:pPr>
              <w:jc w:val="center"/>
            </w:pPr>
            <w:r/>
            <w:r>
              <w:rPr>
                <w:b w:val="0"/>
                <w:sz w:val="14"/>
              </w:rPr>
              <w:t>0.7351</w:t>
            </w:r>
          </w:p>
        </w:tc>
        <w:tc>
          <w:tcPr>
            <w:tcW w:type="dxa" w:w="1289"/>
          </w:tcPr>
          <w:p>
            <w:pPr>
              <w:jc w:val="center"/>
            </w:pPr>
            <w:r/>
            <w:r>
              <w:rPr>
                <w:b w:val="0"/>
                <w:sz w:val="14"/>
              </w:rPr>
              <w:t>0.9588</w:t>
            </w:r>
          </w:p>
        </w:tc>
        <w:tc>
          <w:tcPr>
            <w:tcW w:type="dxa" w:w="1289"/>
          </w:tcPr>
          <w:p>
            <w:pPr>
              <w:jc w:val="center"/>
            </w:pPr>
            <w:r/>
            <w:r>
              <w:rPr>
                <w:b w:val="0"/>
                <w:sz w:val="14"/>
              </w:rPr>
              <w:t>270</w:t>
            </w:r>
          </w:p>
        </w:tc>
        <w:tc>
          <w:tcPr>
            <w:tcW w:type="dxa" w:w="1289"/>
          </w:tcPr>
          <w:p>
            <w:pPr>
              <w:jc w:val="center"/>
            </w:pPr>
            <w:r/>
            <w:r>
              <w:rPr>
                <w:b w:val="0"/>
                <w:sz w:val="14"/>
              </w:rPr>
              <w:t>6</w:t>
            </w:r>
          </w:p>
        </w:tc>
      </w:tr>
      <w:tr>
        <w:tc>
          <w:tcPr>
            <w:tcW w:type="dxa" w:w="1289"/>
          </w:tcPr>
          <w:p>
            <w:pPr>
              <w:jc w:val="center"/>
            </w:pPr>
            <w:r/>
            <w:r>
              <w:rPr>
                <w:b w:val="0"/>
                <w:sz w:val="14"/>
              </w:rPr>
              <w:t>0.1500</w:t>
            </w:r>
          </w:p>
        </w:tc>
        <w:tc>
          <w:tcPr>
            <w:tcW w:type="dxa" w:w="1289"/>
          </w:tcPr>
          <w:p>
            <w:pPr>
              <w:jc w:val="center"/>
            </w:pPr>
            <w:r/>
            <w:r>
              <w:rPr>
                <w:b w:val="0"/>
                <w:sz w:val="14"/>
              </w:rPr>
              <w:t>0.6161</w:t>
            </w:r>
          </w:p>
        </w:tc>
        <w:tc>
          <w:tcPr>
            <w:tcW w:type="dxa" w:w="1289"/>
          </w:tcPr>
          <w:p>
            <w:pPr>
              <w:jc w:val="center"/>
            </w:pPr>
            <w:r/>
            <w:r>
              <w:rPr>
                <w:b w:val="0"/>
                <w:sz w:val="14"/>
              </w:rPr>
              <w:t>0.9820</w:t>
            </w:r>
          </w:p>
        </w:tc>
        <w:tc>
          <w:tcPr>
            <w:tcW w:type="dxa" w:w="1289"/>
          </w:tcPr>
          <w:p>
            <w:pPr>
              <w:jc w:val="center"/>
            </w:pPr>
            <w:r/>
            <w:r>
              <w:rPr>
                <w:b w:val="0"/>
                <w:sz w:val="14"/>
              </w:rPr>
              <w:t>0.7572</w:t>
            </w:r>
          </w:p>
        </w:tc>
        <w:tc>
          <w:tcPr>
            <w:tcW w:type="dxa" w:w="1289"/>
          </w:tcPr>
          <w:p>
            <w:pPr>
              <w:jc w:val="center"/>
            </w:pPr>
            <w:r/>
            <w:r>
              <w:rPr>
                <w:b w:val="0"/>
                <w:sz w:val="14"/>
              </w:rPr>
              <w:t>0.9620</w:t>
            </w:r>
          </w:p>
        </w:tc>
        <w:tc>
          <w:tcPr>
            <w:tcW w:type="dxa" w:w="1289"/>
          </w:tcPr>
          <w:p>
            <w:pPr>
              <w:jc w:val="center"/>
            </w:pPr>
            <w:r/>
            <w:r>
              <w:rPr>
                <w:b w:val="0"/>
                <w:sz w:val="14"/>
              </w:rPr>
              <w:t>238</w:t>
            </w:r>
          </w:p>
        </w:tc>
        <w:tc>
          <w:tcPr>
            <w:tcW w:type="dxa" w:w="1289"/>
          </w:tcPr>
          <w:p>
            <w:pPr>
              <w:jc w:val="center"/>
            </w:pPr>
            <w:r/>
            <w:r>
              <w:rPr>
                <w:b w:val="0"/>
                <w:sz w:val="14"/>
              </w:rPr>
              <w:t>7</w:t>
            </w:r>
          </w:p>
        </w:tc>
      </w:tr>
      <w:tr>
        <w:tc>
          <w:tcPr>
            <w:tcW w:type="dxa" w:w="1289"/>
          </w:tcPr>
          <w:p>
            <w:pPr>
              <w:jc w:val="center"/>
            </w:pPr>
            <w:r/>
            <w:r>
              <w:rPr>
                <w:b w:val="0"/>
                <w:sz w:val="14"/>
              </w:rPr>
              <w:t>0.2000</w:t>
            </w:r>
          </w:p>
        </w:tc>
        <w:tc>
          <w:tcPr>
            <w:tcW w:type="dxa" w:w="1289"/>
          </w:tcPr>
          <w:p>
            <w:pPr>
              <w:jc w:val="center"/>
            </w:pPr>
            <w:r/>
            <w:r>
              <w:rPr>
                <w:b w:val="0"/>
                <w:sz w:val="14"/>
              </w:rPr>
              <w:t>0.6409</w:t>
            </w:r>
          </w:p>
        </w:tc>
        <w:tc>
          <w:tcPr>
            <w:tcW w:type="dxa" w:w="1289"/>
          </w:tcPr>
          <w:p>
            <w:pPr>
              <w:jc w:val="center"/>
            </w:pPr>
            <w:r/>
            <w:r>
              <w:rPr>
                <w:b w:val="0"/>
                <w:sz w:val="14"/>
              </w:rPr>
              <w:t>0.9820</w:t>
            </w:r>
          </w:p>
        </w:tc>
        <w:tc>
          <w:tcPr>
            <w:tcW w:type="dxa" w:w="1289"/>
          </w:tcPr>
          <w:p>
            <w:pPr>
              <w:jc w:val="center"/>
            </w:pPr>
            <w:r/>
            <w:r>
              <w:rPr>
                <w:b w:val="0"/>
                <w:sz w:val="14"/>
              </w:rPr>
              <w:t>0.7756</w:t>
            </w:r>
          </w:p>
        </w:tc>
        <w:tc>
          <w:tcPr>
            <w:tcW w:type="dxa" w:w="1289"/>
          </w:tcPr>
          <w:p>
            <w:pPr>
              <w:jc w:val="center"/>
            </w:pPr>
            <w:r/>
            <w:r>
              <w:rPr>
                <w:b w:val="0"/>
                <w:sz w:val="14"/>
              </w:rPr>
              <w:t>0.9646</w:t>
            </w:r>
          </w:p>
        </w:tc>
        <w:tc>
          <w:tcPr>
            <w:tcW w:type="dxa" w:w="1289"/>
          </w:tcPr>
          <w:p>
            <w:pPr>
              <w:jc w:val="center"/>
            </w:pPr>
            <w:r/>
            <w:r>
              <w:rPr>
                <w:b w:val="0"/>
                <w:sz w:val="14"/>
              </w:rPr>
              <w:t>214</w:t>
            </w:r>
          </w:p>
        </w:tc>
        <w:tc>
          <w:tcPr>
            <w:tcW w:type="dxa" w:w="1289"/>
          </w:tcPr>
          <w:p>
            <w:pPr>
              <w:jc w:val="center"/>
            </w:pPr>
            <w:r/>
            <w:r>
              <w:rPr>
                <w:b w:val="0"/>
                <w:sz w:val="14"/>
              </w:rPr>
              <w:t>7</w:t>
            </w:r>
          </w:p>
        </w:tc>
      </w:tr>
      <w:tr>
        <w:tc>
          <w:tcPr>
            <w:tcW w:type="dxa" w:w="1289"/>
          </w:tcPr>
          <w:p>
            <w:pPr>
              <w:jc w:val="center"/>
            </w:pPr>
            <w:r/>
            <w:r>
              <w:rPr>
                <w:b w:val="0"/>
                <w:sz w:val="14"/>
              </w:rPr>
              <w:t>0.2500</w:t>
            </w:r>
          </w:p>
        </w:tc>
        <w:tc>
          <w:tcPr>
            <w:tcW w:type="dxa" w:w="1289"/>
          </w:tcPr>
          <w:p>
            <w:pPr>
              <w:jc w:val="center"/>
            </w:pPr>
            <w:r/>
            <w:r>
              <w:rPr>
                <w:b w:val="0"/>
                <w:sz w:val="14"/>
              </w:rPr>
              <w:t>0.6475</w:t>
            </w:r>
          </w:p>
        </w:tc>
        <w:tc>
          <w:tcPr>
            <w:tcW w:type="dxa" w:w="1289"/>
          </w:tcPr>
          <w:p>
            <w:pPr>
              <w:jc w:val="center"/>
            </w:pPr>
            <w:r/>
            <w:r>
              <w:rPr>
                <w:b w:val="0"/>
                <w:sz w:val="14"/>
              </w:rPr>
              <w:t>0.9820</w:t>
            </w:r>
          </w:p>
        </w:tc>
        <w:tc>
          <w:tcPr>
            <w:tcW w:type="dxa" w:w="1289"/>
          </w:tcPr>
          <w:p>
            <w:pPr>
              <w:jc w:val="center"/>
            </w:pPr>
            <w:r/>
            <w:r>
              <w:rPr>
                <w:b w:val="0"/>
                <w:sz w:val="14"/>
              </w:rPr>
              <w:t>0.7804</w:t>
            </w:r>
          </w:p>
        </w:tc>
        <w:tc>
          <w:tcPr>
            <w:tcW w:type="dxa" w:w="1289"/>
          </w:tcPr>
          <w:p>
            <w:pPr>
              <w:jc w:val="center"/>
            </w:pPr>
            <w:r/>
            <w:r>
              <w:rPr>
                <w:b w:val="0"/>
                <w:sz w:val="14"/>
              </w:rPr>
              <w:t>0.9653</w:t>
            </w:r>
          </w:p>
        </w:tc>
        <w:tc>
          <w:tcPr>
            <w:tcW w:type="dxa" w:w="1289"/>
          </w:tcPr>
          <w:p>
            <w:pPr>
              <w:jc w:val="center"/>
            </w:pPr>
            <w:r/>
            <w:r>
              <w:rPr>
                <w:b w:val="0"/>
                <w:sz w:val="14"/>
              </w:rPr>
              <w:t>208</w:t>
            </w:r>
          </w:p>
        </w:tc>
        <w:tc>
          <w:tcPr>
            <w:tcW w:type="dxa" w:w="1289"/>
          </w:tcPr>
          <w:p>
            <w:pPr>
              <w:jc w:val="center"/>
            </w:pPr>
            <w:r/>
            <w:r>
              <w:rPr>
                <w:b w:val="0"/>
                <w:sz w:val="14"/>
              </w:rPr>
              <w:t>7</w:t>
            </w:r>
          </w:p>
        </w:tc>
      </w:tr>
      <w:tr>
        <w:tc>
          <w:tcPr>
            <w:tcW w:type="dxa" w:w="1289"/>
          </w:tcPr>
          <w:p>
            <w:pPr>
              <w:jc w:val="center"/>
            </w:pPr>
            <w:r/>
            <w:r>
              <w:rPr>
                <w:b w:val="0"/>
                <w:sz w:val="14"/>
              </w:rPr>
              <w:t>0.3000</w:t>
            </w:r>
          </w:p>
        </w:tc>
        <w:tc>
          <w:tcPr>
            <w:tcW w:type="dxa" w:w="1289"/>
          </w:tcPr>
          <w:p>
            <w:pPr>
              <w:jc w:val="center"/>
            </w:pPr>
            <w:r/>
            <w:r>
              <w:rPr>
                <w:b w:val="0"/>
                <w:sz w:val="14"/>
              </w:rPr>
              <w:t>0.6519</w:t>
            </w:r>
          </w:p>
        </w:tc>
        <w:tc>
          <w:tcPr>
            <w:tcW w:type="dxa" w:w="1289"/>
          </w:tcPr>
          <w:p>
            <w:pPr>
              <w:jc w:val="center"/>
            </w:pPr>
            <w:r/>
            <w:r>
              <w:rPr>
                <w:b w:val="0"/>
                <w:sz w:val="14"/>
              </w:rPr>
              <w:t>0.9820</w:t>
            </w:r>
          </w:p>
        </w:tc>
        <w:tc>
          <w:tcPr>
            <w:tcW w:type="dxa" w:w="1289"/>
          </w:tcPr>
          <w:p>
            <w:pPr>
              <w:jc w:val="center"/>
            </w:pPr>
            <w:r/>
            <w:r>
              <w:rPr>
                <w:b w:val="0"/>
                <w:sz w:val="14"/>
              </w:rPr>
              <w:t>0.7836</w:t>
            </w:r>
          </w:p>
        </w:tc>
        <w:tc>
          <w:tcPr>
            <w:tcW w:type="dxa" w:w="1289"/>
          </w:tcPr>
          <w:p>
            <w:pPr>
              <w:jc w:val="center"/>
            </w:pPr>
            <w:r/>
            <w:r>
              <w:rPr>
                <w:b w:val="0"/>
                <w:sz w:val="14"/>
              </w:rPr>
              <w:t>0.9658</w:t>
            </w:r>
          </w:p>
        </w:tc>
        <w:tc>
          <w:tcPr>
            <w:tcW w:type="dxa" w:w="1289"/>
          </w:tcPr>
          <w:p>
            <w:pPr>
              <w:jc w:val="center"/>
            </w:pPr>
            <w:r/>
            <w:r>
              <w:rPr>
                <w:b w:val="0"/>
                <w:sz w:val="14"/>
              </w:rPr>
              <w:t>204</w:t>
            </w:r>
          </w:p>
        </w:tc>
        <w:tc>
          <w:tcPr>
            <w:tcW w:type="dxa" w:w="1289"/>
          </w:tcPr>
          <w:p>
            <w:pPr>
              <w:jc w:val="center"/>
            </w:pPr>
            <w:r/>
            <w:r>
              <w:rPr>
                <w:b w:val="0"/>
                <w:sz w:val="14"/>
              </w:rPr>
              <w:t>7</w:t>
            </w:r>
          </w:p>
        </w:tc>
      </w:tr>
      <w:tr>
        <w:tc>
          <w:tcPr>
            <w:tcW w:type="dxa" w:w="1289"/>
          </w:tcPr>
          <w:p>
            <w:pPr>
              <w:jc w:val="center"/>
            </w:pPr>
            <w:r/>
            <w:r>
              <w:rPr>
                <w:b w:val="0"/>
                <w:sz w:val="14"/>
              </w:rPr>
              <w:t>0.3500</w:t>
            </w:r>
          </w:p>
        </w:tc>
        <w:tc>
          <w:tcPr>
            <w:tcW w:type="dxa" w:w="1289"/>
          </w:tcPr>
          <w:p>
            <w:pPr>
              <w:jc w:val="center"/>
            </w:pPr>
            <w:r/>
            <w:r>
              <w:rPr>
                <w:b w:val="0"/>
                <w:sz w:val="14"/>
              </w:rPr>
              <w:t>0.6535</w:t>
            </w:r>
          </w:p>
        </w:tc>
        <w:tc>
          <w:tcPr>
            <w:tcW w:type="dxa" w:w="1289"/>
          </w:tcPr>
          <w:p>
            <w:pPr>
              <w:jc w:val="center"/>
            </w:pPr>
            <w:r/>
            <w:r>
              <w:rPr>
                <w:b w:val="0"/>
                <w:sz w:val="14"/>
              </w:rPr>
              <w:t>0.9794</w:t>
            </w:r>
          </w:p>
        </w:tc>
        <w:tc>
          <w:tcPr>
            <w:tcW w:type="dxa" w:w="1289"/>
          </w:tcPr>
          <w:p>
            <w:pPr>
              <w:jc w:val="center"/>
            </w:pPr>
            <w:r/>
            <w:r>
              <w:rPr>
                <w:b w:val="0"/>
                <w:sz w:val="14"/>
              </w:rPr>
              <w:t>0.7840</w:t>
            </w:r>
          </w:p>
        </w:tc>
        <w:tc>
          <w:tcPr>
            <w:tcW w:type="dxa" w:w="1289"/>
          </w:tcPr>
          <w:p>
            <w:pPr>
              <w:jc w:val="center"/>
            </w:pPr>
            <w:r/>
            <w:r>
              <w:rPr>
                <w:b w:val="0"/>
                <w:sz w:val="14"/>
              </w:rPr>
              <w:t>0.9658</w:t>
            </w:r>
          </w:p>
        </w:tc>
        <w:tc>
          <w:tcPr>
            <w:tcW w:type="dxa" w:w="1289"/>
          </w:tcPr>
          <w:p>
            <w:pPr>
              <w:jc w:val="center"/>
            </w:pPr>
            <w:r/>
            <w:r>
              <w:rPr>
                <w:b w:val="0"/>
                <w:sz w:val="14"/>
              </w:rPr>
              <w:t>202</w:t>
            </w:r>
          </w:p>
        </w:tc>
        <w:tc>
          <w:tcPr>
            <w:tcW w:type="dxa" w:w="1289"/>
          </w:tcPr>
          <w:p>
            <w:pPr>
              <w:jc w:val="center"/>
            </w:pPr>
            <w:r/>
            <w:r>
              <w:rPr>
                <w:b w:val="0"/>
                <w:sz w:val="14"/>
              </w:rPr>
              <w:t>8</w:t>
            </w:r>
          </w:p>
        </w:tc>
      </w:tr>
      <w:tr>
        <w:tc>
          <w:tcPr>
            <w:tcW w:type="dxa" w:w="1289"/>
          </w:tcPr>
          <w:p>
            <w:pPr>
              <w:jc w:val="center"/>
            </w:pPr>
            <w:r/>
            <w:r>
              <w:rPr>
                <w:b w:val="0"/>
                <w:sz w:val="14"/>
              </w:rPr>
              <w:t>0.4000</w:t>
            </w:r>
          </w:p>
        </w:tc>
        <w:tc>
          <w:tcPr>
            <w:tcW w:type="dxa" w:w="1289"/>
          </w:tcPr>
          <w:p>
            <w:pPr>
              <w:jc w:val="center"/>
            </w:pPr>
            <w:r/>
            <w:r>
              <w:rPr>
                <w:b w:val="0"/>
                <w:sz w:val="14"/>
              </w:rPr>
              <w:t>0.6592</w:t>
            </w:r>
          </w:p>
        </w:tc>
        <w:tc>
          <w:tcPr>
            <w:tcW w:type="dxa" w:w="1289"/>
          </w:tcPr>
          <w:p>
            <w:pPr>
              <w:jc w:val="center"/>
            </w:pPr>
            <w:r/>
            <w:r>
              <w:rPr>
                <w:b w:val="0"/>
                <w:sz w:val="14"/>
              </w:rPr>
              <w:t>0.9794</w:t>
            </w:r>
          </w:p>
        </w:tc>
        <w:tc>
          <w:tcPr>
            <w:tcW w:type="dxa" w:w="1289"/>
          </w:tcPr>
          <w:p>
            <w:pPr>
              <w:jc w:val="center"/>
            </w:pPr>
            <w:r/>
            <w:r>
              <w:rPr>
                <w:b w:val="0"/>
                <w:sz w:val="14"/>
              </w:rPr>
              <w:t>0.7880</w:t>
            </w:r>
          </w:p>
        </w:tc>
        <w:tc>
          <w:tcPr>
            <w:tcW w:type="dxa" w:w="1289"/>
          </w:tcPr>
          <w:p>
            <w:pPr>
              <w:jc w:val="center"/>
            </w:pPr>
            <w:r/>
            <w:r>
              <w:rPr>
                <w:b w:val="0"/>
                <w:sz w:val="14"/>
              </w:rPr>
              <w:t>0.9664</w:t>
            </w:r>
          </w:p>
        </w:tc>
        <w:tc>
          <w:tcPr>
            <w:tcW w:type="dxa" w:w="1289"/>
          </w:tcPr>
          <w:p>
            <w:pPr>
              <w:jc w:val="center"/>
            </w:pPr>
            <w:r/>
            <w:r>
              <w:rPr>
                <w:b w:val="0"/>
                <w:sz w:val="14"/>
              </w:rPr>
              <w:t>197</w:t>
            </w:r>
          </w:p>
        </w:tc>
        <w:tc>
          <w:tcPr>
            <w:tcW w:type="dxa" w:w="1289"/>
          </w:tcPr>
          <w:p>
            <w:pPr>
              <w:jc w:val="center"/>
            </w:pPr>
            <w:r/>
            <w:r>
              <w:rPr>
                <w:b w:val="0"/>
                <w:sz w:val="14"/>
              </w:rPr>
              <w:t>8</w:t>
            </w:r>
          </w:p>
        </w:tc>
      </w:tr>
      <w:tr>
        <w:tc>
          <w:tcPr>
            <w:tcW w:type="dxa" w:w="1289"/>
          </w:tcPr>
          <w:p>
            <w:pPr>
              <w:jc w:val="center"/>
            </w:pPr>
            <w:r/>
            <w:r>
              <w:rPr>
                <w:b w:val="0"/>
                <w:sz w:val="14"/>
              </w:rPr>
              <w:t>0.4500</w:t>
            </w:r>
          </w:p>
        </w:tc>
        <w:tc>
          <w:tcPr>
            <w:tcW w:type="dxa" w:w="1289"/>
          </w:tcPr>
          <w:p>
            <w:pPr>
              <w:jc w:val="center"/>
            </w:pPr>
            <w:r/>
            <w:r>
              <w:rPr>
                <w:b w:val="0"/>
                <w:sz w:val="14"/>
              </w:rPr>
              <w:t>0.6638</w:t>
            </w:r>
          </w:p>
        </w:tc>
        <w:tc>
          <w:tcPr>
            <w:tcW w:type="dxa" w:w="1289"/>
          </w:tcPr>
          <w:p>
            <w:pPr>
              <w:jc w:val="center"/>
            </w:pPr>
            <w:r/>
            <w:r>
              <w:rPr>
                <w:b w:val="0"/>
                <w:sz w:val="14"/>
              </w:rPr>
              <w:t>0.9794</w:t>
            </w:r>
          </w:p>
        </w:tc>
        <w:tc>
          <w:tcPr>
            <w:tcW w:type="dxa" w:w="1289"/>
          </w:tcPr>
          <w:p>
            <w:pPr>
              <w:jc w:val="center"/>
            </w:pPr>
            <w:r/>
            <w:r>
              <w:rPr>
                <w:b w:val="0"/>
                <w:sz w:val="14"/>
              </w:rPr>
              <w:t>0.7913</w:t>
            </w:r>
          </w:p>
        </w:tc>
        <w:tc>
          <w:tcPr>
            <w:tcW w:type="dxa" w:w="1289"/>
          </w:tcPr>
          <w:p>
            <w:pPr>
              <w:jc w:val="center"/>
            </w:pPr>
            <w:r/>
            <w:r>
              <w:rPr>
                <w:b w:val="0"/>
                <w:sz w:val="14"/>
              </w:rPr>
              <w:t>0.9669</w:t>
            </w:r>
          </w:p>
        </w:tc>
        <w:tc>
          <w:tcPr>
            <w:tcW w:type="dxa" w:w="1289"/>
          </w:tcPr>
          <w:p>
            <w:pPr>
              <w:jc w:val="center"/>
            </w:pPr>
            <w:r/>
            <w:r>
              <w:rPr>
                <w:b w:val="0"/>
                <w:sz w:val="14"/>
              </w:rPr>
              <w:t>193</w:t>
            </w:r>
          </w:p>
        </w:tc>
        <w:tc>
          <w:tcPr>
            <w:tcW w:type="dxa" w:w="1289"/>
          </w:tcPr>
          <w:p>
            <w:pPr>
              <w:jc w:val="center"/>
            </w:pPr>
            <w:r/>
            <w:r>
              <w:rPr>
                <w:b w:val="0"/>
                <w:sz w:val="14"/>
              </w:rPr>
              <w:t>8</w:t>
            </w:r>
          </w:p>
        </w:tc>
      </w:tr>
      <w:tr>
        <w:tc>
          <w:tcPr>
            <w:tcW w:type="dxa" w:w="1289"/>
          </w:tcPr>
          <w:p>
            <w:pPr>
              <w:jc w:val="center"/>
            </w:pPr>
            <w:r/>
            <w:r>
              <w:rPr>
                <w:b w:val="0"/>
                <w:sz w:val="14"/>
              </w:rPr>
              <w:t>0.5000</w:t>
            </w:r>
          </w:p>
        </w:tc>
        <w:tc>
          <w:tcPr>
            <w:tcW w:type="dxa" w:w="1289"/>
          </w:tcPr>
          <w:p>
            <w:pPr>
              <w:jc w:val="center"/>
            </w:pPr>
            <w:r/>
            <w:r>
              <w:rPr>
                <w:b w:val="0"/>
                <w:sz w:val="14"/>
              </w:rPr>
              <w:t>…</w:t>
            </w:r>
          </w:p>
        </w:tc>
        <w:tc>
          <w:tcPr>
            <w:tcW w:type="dxa" w:w="1289"/>
          </w:tcPr>
          <w:p>
            <w:pPr>
              <w:jc w:val="center"/>
            </w:pPr>
            <w:r/>
            <w:r>
              <w:rPr>
                <w:b w:val="0"/>
                <w:sz w:val="14"/>
              </w:rPr>
              <w:t>…</w:t>
            </w:r>
          </w:p>
        </w:tc>
        <w:tc>
          <w:tcPr>
            <w:tcW w:type="dxa" w:w="1289"/>
          </w:tcPr>
          <w:p>
            <w:pPr>
              <w:jc w:val="center"/>
            </w:pPr>
            <w:r/>
            <w:r>
              <w:rPr>
                <w:b w:val="0"/>
                <w:sz w:val="14"/>
              </w:rPr>
              <w:t>…</w:t>
            </w:r>
          </w:p>
        </w:tc>
        <w:tc>
          <w:tcPr>
            <w:tcW w:type="dxa" w:w="1289"/>
          </w:tcPr>
          <w:p>
            <w:pPr>
              <w:jc w:val="center"/>
            </w:pPr>
            <w:r/>
            <w:r>
              <w:rPr>
                <w:b w:val="0"/>
                <w:sz w:val="14"/>
              </w:rPr>
              <w:t>…</w:t>
            </w:r>
          </w:p>
        </w:tc>
        <w:tc>
          <w:tcPr>
            <w:tcW w:type="dxa" w:w="1289"/>
          </w:tcPr>
          <w:p>
            <w:pPr>
              <w:jc w:val="center"/>
            </w:pPr>
            <w:r/>
            <w:r>
              <w:rPr>
                <w:b w:val="0"/>
                <w:sz w:val="14"/>
              </w:rPr>
              <w:t>…</w:t>
            </w:r>
          </w:p>
        </w:tc>
        <w:tc>
          <w:tcPr>
            <w:tcW w:type="dxa" w:w="1289"/>
          </w:tcPr>
          <w:p>
            <w:pPr>
              <w:jc w:val="center"/>
            </w:pPr>
            <w:r/>
            <w:r>
              <w:rPr>
                <w:b w:val="0"/>
                <w:sz w:val="14"/>
              </w:rPr>
              <w:t>…</w:t>
            </w:r>
          </w:p>
        </w:tc>
      </w:tr>
      <w:tr>
        <w:tc>
          <w:tcPr>
            <w:tcW w:type="dxa" w:w="1289"/>
          </w:tcPr>
          <w:p>
            <w:pPr>
              <w:jc w:val="center"/>
            </w:pPr>
            <w:r/>
            <w:r>
              <w:rPr>
                <w:b w:val="0"/>
                <w:sz w:val="14"/>
              </w:rPr>
              <w:t>0.9500</w:t>
            </w:r>
          </w:p>
        </w:tc>
        <w:tc>
          <w:tcPr>
            <w:tcW w:type="dxa" w:w="1289"/>
          </w:tcPr>
          <w:p>
            <w:pPr>
              <w:jc w:val="center"/>
            </w:pPr>
            <w:r/>
            <w:r>
              <w:rPr>
                <w:b w:val="0"/>
                <w:sz w:val="14"/>
              </w:rPr>
              <w:t>…</w:t>
            </w:r>
          </w:p>
        </w:tc>
        <w:tc>
          <w:tcPr>
            <w:tcW w:type="dxa" w:w="1289"/>
          </w:tcPr>
          <w:p>
            <w:pPr>
              <w:jc w:val="center"/>
            </w:pPr>
            <w:r/>
            <w:r>
              <w:rPr>
                <w:b w:val="0"/>
                <w:sz w:val="14"/>
              </w:rPr>
              <w:t>…</w:t>
            </w:r>
          </w:p>
        </w:tc>
        <w:tc>
          <w:tcPr>
            <w:tcW w:type="dxa" w:w="1289"/>
          </w:tcPr>
          <w:p>
            <w:pPr>
              <w:jc w:val="center"/>
            </w:pPr>
            <w:r/>
            <w:r>
              <w:rPr>
                <w:b w:val="0"/>
                <w:sz w:val="14"/>
              </w:rPr>
              <w:t>…</w:t>
            </w:r>
          </w:p>
        </w:tc>
        <w:tc>
          <w:tcPr>
            <w:tcW w:type="dxa" w:w="1289"/>
          </w:tcPr>
          <w:p>
            <w:pPr>
              <w:jc w:val="center"/>
            </w:pPr>
            <w:r/>
            <w:r>
              <w:rPr>
                <w:b w:val="0"/>
                <w:sz w:val="14"/>
              </w:rPr>
              <w:t>…</w:t>
            </w:r>
          </w:p>
        </w:tc>
        <w:tc>
          <w:tcPr>
            <w:tcW w:type="dxa" w:w="1289"/>
          </w:tcPr>
          <w:p>
            <w:pPr>
              <w:jc w:val="center"/>
            </w:pPr>
            <w:r/>
            <w:r>
              <w:rPr>
                <w:b w:val="0"/>
                <w:sz w:val="14"/>
              </w:rPr>
              <w:t>…</w:t>
            </w:r>
          </w:p>
        </w:tc>
        <w:tc>
          <w:tcPr>
            <w:tcW w:type="dxa" w:w="1289"/>
          </w:tcPr>
          <w:p>
            <w:pPr>
              <w:jc w:val="center"/>
            </w:pPr>
            <w:r/>
            <w:r>
              <w:rPr>
                <w:b w:val="0"/>
                <w:sz w:val="14"/>
              </w:rPr>
              <w:t>…</w:t>
            </w:r>
          </w:p>
        </w:tc>
      </w:tr>
      <w:tr>
        <w:tc>
          <w:tcPr>
            <w:tcW w:type="dxa" w:w="1289"/>
          </w:tcPr>
          <w:p>
            <w:pPr>
              <w:jc w:val="center"/>
            </w:pPr>
            <w:r/>
            <w:r>
              <w:rPr>
                <w:b w:val="0"/>
                <w:sz w:val="14"/>
              </w:rPr>
              <w:t>0.9900</w:t>
            </w:r>
          </w:p>
        </w:tc>
        <w:tc>
          <w:tcPr>
            <w:tcW w:type="dxa" w:w="1289"/>
          </w:tcPr>
          <w:p>
            <w:pPr>
              <w:jc w:val="center"/>
            </w:pPr>
            <w:r/>
            <w:r>
              <w:rPr>
                <w:b w:val="0"/>
                <w:sz w:val="14"/>
              </w:rPr>
              <w:t>0.7420</w:t>
            </w:r>
          </w:p>
        </w:tc>
        <w:tc>
          <w:tcPr>
            <w:tcW w:type="dxa" w:w="1289"/>
          </w:tcPr>
          <w:p>
            <w:pPr>
              <w:jc w:val="center"/>
            </w:pPr>
            <w:r/>
            <w:r>
              <w:rPr>
                <w:b w:val="0"/>
                <w:sz w:val="14"/>
              </w:rPr>
              <w:t>0.9385</w:t>
            </w:r>
          </w:p>
        </w:tc>
        <w:tc>
          <w:tcPr>
            <w:tcW w:type="dxa" w:w="1289"/>
          </w:tcPr>
          <w:p>
            <w:pPr>
              <w:jc w:val="center"/>
            </w:pPr>
            <w:r/>
            <w:r>
              <w:rPr>
                <w:b w:val="0"/>
                <w:sz w:val="14"/>
              </w:rPr>
              <w:t>0.8290</w:t>
            </w:r>
          </w:p>
        </w:tc>
        <w:tc>
          <w:tcPr>
            <w:tcW w:type="dxa" w:w="1289"/>
          </w:tcPr>
          <w:p>
            <w:pPr>
              <w:jc w:val="center"/>
            </w:pPr>
            <w:r/>
            <w:r>
              <w:rPr>
                <w:b w:val="0"/>
                <w:sz w:val="14"/>
              </w:rPr>
              <w:t>0.9721</w:t>
            </w:r>
          </w:p>
        </w:tc>
        <w:tc>
          <w:tcPr>
            <w:tcW w:type="dxa" w:w="1289"/>
          </w:tcPr>
          <w:p>
            <w:pPr>
              <w:jc w:val="center"/>
            </w:pPr>
            <w:r/>
            <w:r>
              <w:rPr>
                <w:b w:val="0"/>
                <w:sz w:val="14"/>
              </w:rPr>
              <w:t>127</w:t>
            </w:r>
          </w:p>
        </w:tc>
        <w:tc>
          <w:tcPr>
            <w:tcW w:type="dxa" w:w="1289"/>
          </w:tcPr>
          <w:p>
            <w:pPr>
              <w:jc w:val="center"/>
            </w:pPr>
            <w:r/>
            <w:r>
              <w:rPr>
                <w:b w:val="0"/>
                <w:sz w:val="14"/>
              </w:rPr>
              <w:t>24</w:t>
            </w:r>
          </w:p>
        </w:tc>
      </w:tr>
      <w:tr>
        <w:tc>
          <w:tcPr>
            <w:tcW w:type="dxa" w:w="1289"/>
          </w:tcPr>
          <w:p>
            <w:pPr>
              <w:jc w:val="center"/>
            </w:pPr>
            <w:r/>
            <w:r>
              <w:rPr>
                <w:b w:val="0"/>
                <w:sz w:val="14"/>
              </w:rPr>
              <w:t>0.9950</w:t>
            </w:r>
          </w:p>
        </w:tc>
        <w:tc>
          <w:tcPr>
            <w:tcW w:type="dxa" w:w="1289"/>
          </w:tcPr>
          <w:p>
            <w:pPr>
              <w:jc w:val="center"/>
            </w:pPr>
            <w:r/>
            <w:r>
              <w:rPr>
                <w:b w:val="0"/>
                <w:sz w:val="14"/>
              </w:rPr>
              <w:t>0.7612</w:t>
            </w:r>
          </w:p>
        </w:tc>
        <w:tc>
          <w:tcPr>
            <w:tcW w:type="dxa" w:w="1289"/>
          </w:tcPr>
          <w:p>
            <w:pPr>
              <w:jc w:val="center"/>
            </w:pPr>
            <w:r/>
            <w:r>
              <w:rPr>
                <w:b w:val="0"/>
                <w:sz w:val="14"/>
              </w:rPr>
              <w:t>0.8766</w:t>
            </w:r>
          </w:p>
        </w:tc>
        <w:tc>
          <w:tcPr>
            <w:tcW w:type="dxa" w:w="1289"/>
          </w:tcPr>
          <w:p>
            <w:pPr>
              <w:jc w:val="center"/>
            </w:pPr>
            <w:r/>
            <w:r>
              <w:rPr>
                <w:b w:val="0"/>
                <w:sz w:val="14"/>
              </w:rPr>
              <w:t>0.8148</w:t>
            </w:r>
          </w:p>
        </w:tc>
        <w:tc>
          <w:tcPr>
            <w:tcW w:type="dxa" w:w="1289"/>
          </w:tcPr>
          <w:p>
            <w:pPr>
              <w:jc w:val="center"/>
            </w:pPr>
            <w:r/>
            <w:r>
              <w:rPr>
                <w:b w:val="0"/>
                <w:sz w:val="14"/>
              </w:rPr>
              <w:t>0.9702</w:t>
            </w:r>
          </w:p>
        </w:tc>
        <w:tc>
          <w:tcPr>
            <w:tcW w:type="dxa" w:w="1289"/>
          </w:tcPr>
          <w:p>
            <w:pPr>
              <w:jc w:val="center"/>
            </w:pPr>
            <w:r/>
            <w:r>
              <w:rPr>
                <w:b w:val="0"/>
                <w:sz w:val="14"/>
              </w:rPr>
              <w:t>107</w:t>
            </w:r>
          </w:p>
        </w:tc>
        <w:tc>
          <w:tcPr>
            <w:tcW w:type="dxa" w:w="1289"/>
          </w:tcPr>
          <w:p>
            <w:pPr>
              <w:jc w:val="center"/>
            </w:pPr>
            <w:r/>
            <w:r>
              <w:rPr>
                <w:b w:val="0"/>
                <w:sz w:val="14"/>
              </w:rPr>
              <w:t>48</w:t>
            </w:r>
          </w:p>
        </w:tc>
      </w:tr>
      <w:tr>
        <w:tc>
          <w:tcPr>
            <w:tcW w:type="dxa" w:w="1289"/>
          </w:tcPr>
          <w:p>
            <w:pPr>
              <w:jc w:val="center"/>
            </w:pPr>
            <w:r/>
            <w:r>
              <w:rPr>
                <w:b w:val="0"/>
                <w:sz w:val="14"/>
              </w:rPr>
              <w:t>0.9990</w:t>
            </w:r>
          </w:p>
        </w:tc>
        <w:tc>
          <w:tcPr>
            <w:tcW w:type="dxa" w:w="1289"/>
          </w:tcPr>
          <w:p>
            <w:pPr>
              <w:jc w:val="center"/>
            </w:pPr>
            <w:r/>
            <w:r>
              <w:rPr>
                <w:b w:val="0"/>
                <w:sz w:val="14"/>
              </w:rPr>
              <w:t>0.9221</w:t>
            </w:r>
          </w:p>
        </w:tc>
        <w:tc>
          <w:tcPr>
            <w:tcW w:type="dxa" w:w="1289"/>
          </w:tcPr>
          <w:p>
            <w:pPr>
              <w:jc w:val="center"/>
            </w:pPr>
            <w:r/>
            <w:r>
              <w:rPr>
                <w:b w:val="0"/>
                <w:sz w:val="14"/>
              </w:rPr>
              <w:t>0.7301</w:t>
            </w:r>
          </w:p>
        </w:tc>
        <w:tc>
          <w:tcPr>
            <w:tcW w:type="dxa" w:w="1289"/>
          </w:tcPr>
          <w:p>
            <w:pPr>
              <w:jc w:val="center"/>
            </w:pPr>
            <w:r/>
            <w:r>
              <w:rPr>
                <w:b w:val="0"/>
                <w:sz w:val="14"/>
              </w:rPr>
              <w:t>0.8149</w:t>
            </w:r>
          </w:p>
        </w:tc>
        <w:tc>
          <w:tcPr>
            <w:tcW w:type="dxa" w:w="1289"/>
          </w:tcPr>
          <w:p>
            <w:pPr>
              <w:jc w:val="center"/>
            </w:pPr>
            <w:r/>
            <w:r>
              <w:rPr>
                <w:b w:val="0"/>
                <w:sz w:val="14"/>
              </w:rPr>
              <w:t>0.9702</w:t>
            </w:r>
          </w:p>
        </w:tc>
        <w:tc>
          <w:tcPr>
            <w:tcW w:type="dxa" w:w="1289"/>
          </w:tcPr>
          <w:p>
            <w:pPr>
              <w:jc w:val="center"/>
            </w:pPr>
            <w:r/>
            <w:r>
              <w:rPr>
                <w:b w:val="0"/>
                <w:sz w:val="14"/>
              </w:rPr>
              <w:t>24</w:t>
            </w:r>
          </w:p>
        </w:tc>
        <w:tc>
          <w:tcPr>
            <w:tcW w:type="dxa" w:w="1289"/>
          </w:tcPr>
          <w:p>
            <w:pPr>
              <w:jc w:val="center"/>
            </w:pPr>
            <w:r/>
            <w:r>
              <w:rPr>
                <w:b w:val="0"/>
                <w:sz w:val="14"/>
              </w:rPr>
              <w:t>105</w:t>
            </w:r>
          </w:p>
        </w:tc>
      </w:tr>
      <w:tr>
        <w:tc>
          <w:tcPr>
            <w:tcW w:type="dxa" w:w="1289"/>
          </w:tcPr>
          <w:p>
            <w:pPr>
              <w:jc w:val="center"/>
            </w:pPr>
            <w:r/>
            <w:r>
              <w:rPr>
                <w:b w:val="0"/>
                <w:sz w:val="14"/>
              </w:rPr>
              <w:t>0.9995</w:t>
            </w:r>
          </w:p>
        </w:tc>
        <w:tc>
          <w:tcPr>
            <w:tcW w:type="dxa" w:w="1289"/>
          </w:tcPr>
          <w:p>
            <w:pPr>
              <w:jc w:val="center"/>
            </w:pPr>
            <w:r/>
            <w:r>
              <w:rPr>
                <w:b w:val="0"/>
                <w:sz w:val="14"/>
              </w:rPr>
              <w:t>0.9776</w:t>
            </w:r>
          </w:p>
        </w:tc>
        <w:tc>
          <w:tcPr>
            <w:tcW w:type="dxa" w:w="1289"/>
          </w:tcPr>
          <w:p>
            <w:pPr>
              <w:jc w:val="center"/>
            </w:pPr>
            <w:r/>
            <w:r>
              <w:rPr>
                <w:b w:val="0"/>
                <w:sz w:val="14"/>
              </w:rPr>
              <w:t>0.6735</w:t>
            </w:r>
          </w:p>
        </w:tc>
        <w:tc>
          <w:tcPr>
            <w:tcW w:type="dxa" w:w="1289"/>
          </w:tcPr>
          <w:p>
            <w:pPr>
              <w:jc w:val="center"/>
            </w:pPr>
            <w:r/>
            <w:r>
              <w:rPr>
                <w:b w:val="0"/>
                <w:sz w:val="14"/>
              </w:rPr>
              <w:t>0.7976</w:t>
            </w:r>
          </w:p>
        </w:tc>
        <w:tc>
          <w:tcPr>
            <w:tcW w:type="dxa" w:w="1289"/>
          </w:tcPr>
          <w:p>
            <w:pPr>
              <w:jc w:val="center"/>
            </w:pPr>
            <w:r/>
            <w:r>
              <w:rPr>
                <w:b w:val="0"/>
                <w:sz w:val="14"/>
              </w:rPr>
              <w:t>0.9678</w:t>
            </w:r>
          </w:p>
        </w:tc>
        <w:tc>
          <w:tcPr>
            <w:tcW w:type="dxa" w:w="1289"/>
          </w:tcPr>
          <w:p>
            <w:pPr>
              <w:jc w:val="center"/>
            </w:pPr>
            <w:r/>
            <w:r>
              <w:rPr>
                <w:b w:val="0"/>
                <w:sz w:val="14"/>
              </w:rPr>
              <w:t>6</w:t>
            </w:r>
          </w:p>
        </w:tc>
        <w:tc>
          <w:tcPr>
            <w:tcW w:type="dxa" w:w="1289"/>
          </w:tcPr>
          <w:p>
            <w:pPr>
              <w:jc w:val="center"/>
            </w:pPr>
            <w:r/>
            <w:r>
              <w:rPr>
                <w:b w:val="0"/>
                <w:sz w:val="14"/>
              </w:rPr>
              <w:t>127</w:t>
            </w:r>
          </w:p>
        </w:tc>
      </w:tr>
      <w:tr>
        <w:tc>
          <w:tcPr>
            <w:tcW w:type="dxa" w:w="1289"/>
          </w:tcPr>
          <w:p>
            <w:pPr>
              <w:jc w:val="center"/>
            </w:pPr>
            <w:r/>
            <w:r>
              <w:rPr>
                <w:b w:val="0"/>
                <w:sz w:val="14"/>
              </w:rPr>
              <w:t>0.9999</w:t>
            </w:r>
          </w:p>
        </w:tc>
        <w:tc>
          <w:tcPr>
            <w:tcW w:type="dxa" w:w="1289"/>
          </w:tcPr>
          <w:p>
            <w:pPr>
              <w:jc w:val="center"/>
            </w:pPr>
            <w:r/>
            <w:r>
              <w:rPr>
                <w:b w:val="0"/>
                <w:sz w:val="14"/>
              </w:rPr>
              <w:t>0.9958</w:t>
            </w:r>
          </w:p>
        </w:tc>
        <w:tc>
          <w:tcPr>
            <w:tcW w:type="dxa" w:w="1289"/>
          </w:tcPr>
          <w:p>
            <w:pPr>
              <w:jc w:val="center"/>
            </w:pPr>
            <w:r/>
            <w:r>
              <w:rPr>
                <w:b w:val="0"/>
                <w:sz w:val="14"/>
              </w:rPr>
              <w:t>0.6041</w:t>
            </w:r>
          </w:p>
        </w:tc>
        <w:tc>
          <w:tcPr>
            <w:tcW w:type="dxa" w:w="1289"/>
          </w:tcPr>
          <w:p>
            <w:pPr>
              <w:jc w:val="center"/>
            </w:pPr>
            <w:r/>
            <w:r>
              <w:rPr>
                <w:b w:val="0"/>
                <w:sz w:val="14"/>
              </w:rPr>
              <w:t>0.7520</w:t>
            </w:r>
          </w:p>
        </w:tc>
        <w:tc>
          <w:tcPr>
            <w:tcW w:type="dxa" w:w="1289"/>
          </w:tcPr>
          <w:p>
            <w:pPr>
              <w:jc w:val="center"/>
            </w:pPr>
            <w:r/>
            <w:r>
              <w:rPr>
                <w:b w:val="0"/>
                <w:sz w:val="14"/>
              </w:rPr>
              <w:t>0.9613</w:t>
            </w:r>
          </w:p>
        </w:tc>
        <w:tc>
          <w:tcPr>
            <w:tcW w:type="dxa" w:w="1289"/>
          </w:tcPr>
          <w:p>
            <w:pPr>
              <w:jc w:val="center"/>
            </w:pPr>
            <w:r/>
            <w:r>
              <w:rPr>
                <w:b w:val="0"/>
                <w:sz w:val="14"/>
              </w:rPr>
              <w:t>1</w:t>
            </w:r>
          </w:p>
        </w:tc>
        <w:tc>
          <w:tcPr>
            <w:tcW w:type="dxa" w:w="1289"/>
          </w:tcPr>
          <w:p>
            <w:pPr>
              <w:jc w:val="center"/>
            </w:pPr>
            <w:r/>
            <w:r>
              <w:rPr>
                <w:b w:val="0"/>
                <w:sz w:val="14"/>
              </w:rPr>
              <w:t>154</w:t>
            </w:r>
          </w:p>
        </w:tc>
      </w:tr>
      <w:tr>
        <w:tc>
          <w:tcPr>
            <w:tcW w:type="dxa" w:w="1289"/>
          </w:tcPr>
          <w:p>
            <w:pPr>
              <w:jc w:val="center"/>
            </w:pPr>
            <w:r/>
            <w:r>
              <w:rPr>
                <w:b w:val="0"/>
                <w:sz w:val="14"/>
              </w:rPr>
              <w:t>1.0000</w:t>
            </w:r>
          </w:p>
        </w:tc>
        <w:tc>
          <w:tcPr>
            <w:tcW w:type="dxa" w:w="1289"/>
          </w:tcPr>
          <w:p>
            <w:pPr>
              <w:jc w:val="center"/>
            </w:pPr>
            <w:r/>
            <w:r>
              <w:rPr>
                <w:b w:val="0"/>
                <w:sz w:val="14"/>
              </w:rPr>
              <w:t>1.0000</w:t>
            </w:r>
          </w:p>
        </w:tc>
        <w:tc>
          <w:tcPr>
            <w:tcW w:type="dxa" w:w="1289"/>
          </w:tcPr>
          <w:p>
            <w:pPr>
              <w:jc w:val="center"/>
            </w:pPr>
            <w:r/>
            <w:r>
              <w:rPr>
                <w:b w:val="0"/>
                <w:sz w:val="14"/>
              </w:rPr>
              <w:t>0.5219</w:t>
            </w:r>
          </w:p>
        </w:tc>
        <w:tc>
          <w:tcPr>
            <w:tcW w:type="dxa" w:w="1289"/>
          </w:tcPr>
          <w:p>
            <w:pPr>
              <w:jc w:val="center"/>
            </w:pPr>
            <w:r/>
            <w:r>
              <w:rPr>
                <w:b w:val="0"/>
                <w:sz w:val="14"/>
              </w:rPr>
              <w:t>0.6858</w:t>
            </w:r>
          </w:p>
        </w:tc>
        <w:tc>
          <w:tcPr>
            <w:tcW w:type="dxa" w:w="1289"/>
          </w:tcPr>
          <w:p>
            <w:pPr>
              <w:jc w:val="center"/>
            </w:pPr>
            <w:r/>
            <w:r>
              <w:rPr>
                <w:b w:val="0"/>
                <w:sz w:val="14"/>
              </w:rPr>
              <w:t>0.9518</w:t>
            </w:r>
          </w:p>
        </w:tc>
        <w:tc>
          <w:tcPr>
            <w:tcW w:type="dxa" w:w="1289"/>
          </w:tcPr>
          <w:p>
            <w:pPr>
              <w:jc w:val="center"/>
            </w:pPr>
            <w:r/>
            <w:r>
              <w:rPr>
                <w:b w:val="0"/>
                <w:sz w:val="14"/>
              </w:rPr>
              <w:t>0</w:t>
            </w:r>
          </w:p>
        </w:tc>
        <w:tc>
          <w:tcPr>
            <w:tcW w:type="dxa" w:w="1289"/>
          </w:tcPr>
          <w:p>
            <w:pPr>
              <w:jc w:val="center"/>
            </w:pPr>
            <w:r/>
            <w:r>
              <w:rPr>
                <w:b w:val="0"/>
                <w:sz w:val="14"/>
              </w:rPr>
              <w:t>186</w:t>
            </w:r>
          </w:p>
        </w:tc>
      </w:tr>
    </w:tbl>
    <w:p/>
    <w:p>
      <w:pPr>
        <w:pStyle w:val="Caption"/>
        <w:jc w:val="center"/>
      </w:pPr>
      <w:r>
        <w:t xml:space="preserve">Table </w:t>
      </w:r>
      <w:r>
        <w:fldChar w:fldCharType="begin"/>
      </w:r>
      <w:r>
        <w:instrText xml:space="preserve"> SEQ Table \* ARABIC </w:instrText>
      </w:r>
      <w:r>
        <w:fldChar w:fldCharType="separate"/>
      </w:r>
      <w:r>
        <w:t>1</w:t>
      </w:r>
      <w:r>
        <w:fldChar w:fldCharType="end"/>
      </w:r>
      <w:r>
        <w:t>. E5 — most-exploited features under the constrained (realistic) condition.</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44546A"/>
          </w:tcPr>
          <w:p>
            <w:pPr>
              <w:jc w:val="center"/>
            </w:pPr>
            <w:r/>
            <w:r>
              <w:rPr>
                <w:b/>
                <w:color w:val="FFFFFF"/>
                <w:sz w:val="16"/>
              </w:rPr>
              <w:t>Feature</w:t>
            </w:r>
          </w:p>
        </w:tc>
        <w:tc>
          <w:tcPr>
            <w:tcW w:type="dxa" w:w="4513"/>
            <w:shd w:val="clear" w:color="auto" w:fill="44546A"/>
          </w:tcPr>
          <w:p>
            <w:pPr>
              <w:jc w:val="center"/>
            </w:pPr>
            <w:r/>
            <w:r>
              <w:rPr>
                <w:b/>
                <w:color w:val="FFFFFF"/>
                <w:sz w:val="16"/>
              </w:rPr>
              <w:t>Share of total perturbation</w:t>
            </w:r>
          </w:p>
        </w:tc>
      </w:tr>
      <w:tr>
        <w:tc>
          <w:tcPr>
            <w:tcW w:type="dxa" w:w="4513"/>
          </w:tcPr>
          <w:p>
            <w:r/>
            <w:r>
              <w:rPr>
                <w:b/>
                <w:sz w:val="15"/>
              </w:rPr>
              <w:t>Flow Duration</w:t>
            </w:r>
          </w:p>
        </w:tc>
        <w:tc>
          <w:tcPr>
            <w:tcW w:type="dxa" w:w="4513"/>
          </w:tcPr>
          <w:p>
            <w:pPr>
              <w:jc w:val="center"/>
            </w:pPr>
            <w:r/>
            <w:r>
              <w:rPr>
                <w:b w:val="0"/>
                <w:sz w:val="15"/>
              </w:rPr>
              <w:t>4.52%</w:t>
            </w:r>
          </w:p>
        </w:tc>
      </w:tr>
      <w:tr>
        <w:tc>
          <w:tcPr>
            <w:tcW w:type="dxa" w:w="4513"/>
          </w:tcPr>
          <w:p>
            <w:r/>
            <w:r>
              <w:rPr>
                <w:b/>
                <w:sz w:val="15"/>
              </w:rPr>
              <w:t>Fwd IAT Max</w:t>
            </w:r>
          </w:p>
        </w:tc>
        <w:tc>
          <w:tcPr>
            <w:tcW w:type="dxa" w:w="4513"/>
          </w:tcPr>
          <w:p>
            <w:pPr>
              <w:jc w:val="center"/>
            </w:pPr>
            <w:r/>
            <w:r>
              <w:rPr>
                <w:b w:val="0"/>
                <w:sz w:val="15"/>
              </w:rPr>
              <w:t>4.42%</w:t>
            </w:r>
          </w:p>
        </w:tc>
      </w:tr>
      <w:tr>
        <w:tc>
          <w:tcPr>
            <w:tcW w:type="dxa" w:w="4513"/>
          </w:tcPr>
          <w:p>
            <w:r/>
            <w:r>
              <w:rPr>
                <w:b/>
                <w:sz w:val="15"/>
              </w:rPr>
              <w:t>Flow IAT Mean</w:t>
            </w:r>
          </w:p>
        </w:tc>
        <w:tc>
          <w:tcPr>
            <w:tcW w:type="dxa" w:w="4513"/>
          </w:tcPr>
          <w:p>
            <w:pPr>
              <w:jc w:val="center"/>
            </w:pPr>
            <w:r/>
            <w:r>
              <w:rPr>
                <w:b w:val="0"/>
                <w:sz w:val="15"/>
              </w:rPr>
              <w:t>4.34%</w:t>
            </w:r>
          </w:p>
        </w:tc>
      </w:tr>
      <w:tr>
        <w:tc>
          <w:tcPr>
            <w:tcW w:type="dxa" w:w="4513"/>
          </w:tcPr>
          <w:p>
            <w:r/>
            <w:r>
              <w:rPr>
                <w:b/>
                <w:sz w:val="15"/>
              </w:rPr>
              <w:t>Flow IAT Max</w:t>
            </w:r>
          </w:p>
        </w:tc>
        <w:tc>
          <w:tcPr>
            <w:tcW w:type="dxa" w:w="4513"/>
          </w:tcPr>
          <w:p>
            <w:pPr>
              <w:jc w:val="center"/>
            </w:pPr>
            <w:r/>
            <w:r>
              <w:rPr>
                <w:b w:val="0"/>
                <w:sz w:val="15"/>
              </w:rPr>
              <w:t>4.33%</w:t>
            </w:r>
          </w:p>
        </w:tc>
      </w:tr>
      <w:tr>
        <w:tc>
          <w:tcPr>
            <w:tcW w:type="dxa" w:w="4513"/>
          </w:tcPr>
          <w:p>
            <w:r/>
            <w:r>
              <w:rPr>
                <w:b/>
                <w:sz w:val="15"/>
              </w:rPr>
              <w:t>Fwd IAT Total</w:t>
            </w:r>
          </w:p>
        </w:tc>
        <w:tc>
          <w:tcPr>
            <w:tcW w:type="dxa" w:w="4513"/>
          </w:tcPr>
          <w:p>
            <w:pPr>
              <w:jc w:val="center"/>
            </w:pPr>
            <w:r/>
            <w:r>
              <w:rPr>
                <w:b w:val="0"/>
                <w:sz w:val="15"/>
              </w:rPr>
              <w:t>4.31%</w:t>
            </w:r>
          </w:p>
        </w:tc>
      </w:tr>
      <w:tr>
        <w:tc>
          <w:tcPr>
            <w:tcW w:type="dxa" w:w="4513"/>
          </w:tcPr>
          <w:p>
            <w:r/>
            <w:r>
              <w:rPr>
                <w:b/>
                <w:sz w:val="15"/>
              </w:rPr>
              <w:t>Fwd IAT Mean</w:t>
            </w:r>
          </w:p>
        </w:tc>
        <w:tc>
          <w:tcPr>
            <w:tcW w:type="dxa" w:w="4513"/>
          </w:tcPr>
          <w:p>
            <w:pPr>
              <w:jc w:val="center"/>
            </w:pPr>
            <w:r/>
            <w:r>
              <w:rPr>
                <w:b w:val="0"/>
                <w:sz w:val="15"/>
              </w:rPr>
              <w:t>4.24%</w:t>
            </w:r>
          </w:p>
        </w:tc>
      </w:tr>
      <w:tr>
        <w:tc>
          <w:tcPr>
            <w:tcW w:type="dxa" w:w="4513"/>
          </w:tcPr>
          <w:p>
            <w:r/>
            <w:r>
              <w:rPr>
                <w:b/>
                <w:sz w:val="15"/>
              </w:rPr>
              <w:t>Fwd IAT Std</w:t>
            </w:r>
          </w:p>
        </w:tc>
        <w:tc>
          <w:tcPr>
            <w:tcW w:type="dxa" w:w="4513"/>
          </w:tcPr>
          <w:p>
            <w:pPr>
              <w:jc w:val="center"/>
            </w:pPr>
            <w:r/>
            <w:r>
              <w:rPr>
                <w:b w:val="0"/>
                <w:sz w:val="15"/>
              </w:rPr>
              <w:t>4.08%</w:t>
            </w:r>
          </w:p>
        </w:tc>
      </w:tr>
      <w:tr>
        <w:tc>
          <w:tcPr>
            <w:tcW w:type="dxa" w:w="4513"/>
          </w:tcPr>
          <w:p>
            <w:r/>
            <w:r>
              <w:rPr>
                <w:b/>
                <w:sz w:val="15"/>
              </w:rPr>
              <w:t>Flow IAT Std</w:t>
            </w:r>
          </w:p>
        </w:tc>
        <w:tc>
          <w:tcPr>
            <w:tcW w:type="dxa" w:w="4513"/>
          </w:tcPr>
          <w:p>
            <w:pPr>
              <w:jc w:val="center"/>
            </w:pPr>
            <w:r/>
            <w:r>
              <w:rPr>
                <w:b w:val="0"/>
                <w:sz w:val="15"/>
              </w:rPr>
              <w:t>3.95%</w:t>
            </w:r>
          </w:p>
        </w:tc>
      </w:tr>
      <w:tr>
        <w:tc>
          <w:tcPr>
            <w:tcW w:type="dxa" w:w="4513"/>
          </w:tcPr>
          <w:p>
            <w:r/>
            <w:r>
              <w:rPr>
                <w:b/>
                <w:sz w:val="15"/>
              </w:rPr>
              <w:t>Fwd IAT Min</w:t>
            </w:r>
          </w:p>
        </w:tc>
        <w:tc>
          <w:tcPr>
            <w:tcW w:type="dxa" w:w="4513"/>
          </w:tcPr>
          <w:p>
            <w:pPr>
              <w:jc w:val="center"/>
            </w:pPr>
            <w:r/>
            <w:r>
              <w:rPr>
                <w:b w:val="0"/>
                <w:sz w:val="15"/>
              </w:rPr>
              <w:t>3.88%</w:t>
            </w:r>
          </w:p>
        </w:tc>
      </w:tr>
      <w:tr>
        <w:tc>
          <w:tcPr>
            <w:tcW w:type="dxa" w:w="4513"/>
          </w:tcPr>
          <w:p>
            <w:r/>
            <w:r>
              <w:rPr>
                <w:b/>
                <w:sz w:val="15"/>
              </w:rPr>
              <w:t>Fwd Packet Length Std</w:t>
            </w:r>
          </w:p>
        </w:tc>
        <w:tc>
          <w:tcPr>
            <w:tcW w:type="dxa" w:w="4513"/>
          </w:tcPr>
          <w:p>
            <w:pPr>
              <w:jc w:val="center"/>
            </w:pPr>
            <w:r/>
            <w:r>
              <w:rPr>
                <w:b w:val="0"/>
                <w:sz w:val="15"/>
              </w:rPr>
              <w:t>3.75%</w:t>
            </w:r>
          </w:p>
        </w:tc>
      </w:tr>
    </w:tbl>
    <w:p/>
    <w:p>
      <w:pPr>
        <w:pStyle w:val="Caption"/>
        <w:jc w:val="center"/>
      </w:pPr>
      <w:r>
        <w:t xml:space="preserve">Table </w:t>
      </w:r>
      <w:r>
        <w:fldChar w:fldCharType="begin"/>
      </w:r>
      <w:r>
        <w:instrText xml:space="preserve"> SEQ Table \* ARABIC </w:instrText>
      </w:r>
      <w:r>
        <w:fldChar w:fldCharType="separate"/>
      </w:r>
      <w:r>
        <w:t>1</w:t>
      </w:r>
      <w:r>
        <w:fldChar w:fldCharType="end"/>
      </w:r>
      <w:r>
        <w:t>. E6 — full semantically-consistent evasion results, both padding conditions.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44546A"/>
          </w:tcPr>
          <w:p>
            <w:pPr>
              <w:jc w:val="center"/>
            </w:pPr>
            <w:r/>
            <w:r>
              <w:rPr>
                <w:b/>
                <w:color w:val="FFFFFF"/>
                <w:sz w:val="15"/>
              </w:rPr>
              <w:t>Condition</w:t>
            </w:r>
          </w:p>
        </w:tc>
        <w:tc>
          <w:tcPr>
            <w:tcW w:type="dxa" w:w="1504"/>
            <w:shd w:val="clear" w:color="auto" w:fill="44546A"/>
          </w:tcPr>
          <w:p>
            <w:pPr>
              <w:jc w:val="center"/>
            </w:pPr>
            <w:r/>
            <w:r>
              <w:rPr>
                <w:b/>
                <w:color w:val="FFFFFF"/>
                <w:sz w:val="15"/>
              </w:rPr>
              <w:t>Class</w:t>
            </w:r>
          </w:p>
        </w:tc>
        <w:tc>
          <w:tcPr>
            <w:tcW w:type="dxa" w:w="1504"/>
            <w:shd w:val="clear" w:color="auto" w:fill="44546A"/>
          </w:tcPr>
          <w:p>
            <w:pPr>
              <w:jc w:val="center"/>
            </w:pPr>
            <w:r/>
            <w:r>
              <w:rPr>
                <w:b/>
                <w:color w:val="FFFFFF"/>
                <w:sz w:val="15"/>
              </w:rPr>
              <w:t>Evasion</w:t>
            </w:r>
          </w:p>
        </w:tc>
        <w:tc>
          <w:tcPr>
            <w:tcW w:type="dxa" w:w="1504"/>
            <w:shd w:val="clear" w:color="auto" w:fill="44546A"/>
          </w:tcPr>
          <w:p>
            <w:pPr>
              <w:jc w:val="center"/>
            </w:pPr>
            <w:r/>
            <w:r>
              <w:rPr>
                <w:b/>
                <w:color w:val="FFFFFF"/>
                <w:sz w:val="15"/>
              </w:rPr>
              <w:t>Median slowdown</w:t>
            </w:r>
          </w:p>
        </w:tc>
        <w:tc>
          <w:tcPr>
            <w:tcW w:type="dxa" w:w="1504"/>
            <w:shd w:val="clear" w:color="auto" w:fill="44546A"/>
          </w:tcPr>
          <w:p>
            <w:pPr>
              <w:jc w:val="center"/>
            </w:pPr>
            <w:r/>
            <w:r>
              <w:rPr>
                <w:b/>
                <w:color w:val="FFFFFF"/>
                <w:sz w:val="15"/>
              </w:rPr>
              <w:t>Min slowdown</w:t>
            </w:r>
          </w:p>
        </w:tc>
        <w:tc>
          <w:tcPr>
            <w:tcW w:type="dxa" w:w="1504"/>
            <w:shd w:val="clear" w:color="auto" w:fill="44546A"/>
          </w:tcPr>
          <w:p>
            <w:pPr>
              <w:jc w:val="center"/>
            </w:pPr>
            <w:r/>
            <w:r>
              <w:rPr>
                <w:b/>
                <w:color w:val="FFFFFF"/>
                <w:sz w:val="15"/>
              </w:rPr>
              <w:t>P90 slowdown</w:t>
            </w:r>
          </w:p>
        </w:tc>
      </w:tr>
      <w:tr>
        <w:tc>
          <w:tcPr>
            <w:tcW w:type="dxa" w:w="1504"/>
          </w:tcPr>
          <w:p>
            <w:pPr>
              <w:jc w:val="center"/>
            </w:pPr>
            <w:r/>
            <w:r>
              <w:rPr>
                <w:b w:val="0"/>
                <w:sz w:val="14"/>
              </w:rPr>
              <w:t>No padding</w:t>
            </w:r>
          </w:p>
        </w:tc>
        <w:tc>
          <w:tcPr>
            <w:tcW w:type="dxa" w:w="1504"/>
          </w:tcPr>
          <w:p>
            <w:pPr>
              <w:jc w:val="center"/>
            </w:pPr>
            <w:r/>
            <w:r>
              <w:rPr>
                <w:b w:val="0"/>
                <w:sz w:val="14"/>
              </w:rPr>
              <w:t>Bots</w:t>
            </w:r>
          </w:p>
        </w:tc>
        <w:tc>
          <w:tcPr>
            <w:tcW w:type="dxa" w:w="1504"/>
          </w:tcPr>
          <w:p>
            <w:pPr>
              <w:jc w:val="center"/>
            </w:pPr>
            <w:r/>
            <w:r>
              <w:rPr>
                <w:b w:val="0"/>
                <w:sz w:val="14"/>
              </w:rPr>
              <w:t>100%</w:t>
            </w:r>
          </w:p>
        </w:tc>
        <w:tc>
          <w:tcPr>
            <w:tcW w:type="dxa" w:w="1504"/>
          </w:tcPr>
          <w:p>
            <w:pPr>
              <w:jc w:val="center"/>
            </w:pPr>
            <w:r/>
            <w:r>
              <w:rPr>
                <w:b w:val="0"/>
                <w:sz w:val="14"/>
              </w:rPr>
              <w:t>10.88x</w:t>
            </w:r>
          </w:p>
        </w:tc>
        <w:tc>
          <w:tcPr>
            <w:tcW w:type="dxa" w:w="1504"/>
          </w:tcPr>
          <w:p>
            <w:pPr>
              <w:jc w:val="center"/>
            </w:pPr>
            <w:r/>
            <w:r>
              <w:rPr>
                <w:b w:val="0"/>
                <w:sz w:val="14"/>
              </w:rPr>
              <w:t>1.15x</w:t>
            </w:r>
          </w:p>
        </w:tc>
        <w:tc>
          <w:tcPr>
            <w:tcW w:type="dxa" w:w="1504"/>
          </w:tcPr>
          <w:p>
            <w:pPr>
              <w:jc w:val="center"/>
            </w:pPr>
            <w:r/>
            <w:r>
              <w:rPr>
                <w:b w:val="0"/>
                <w:sz w:val="14"/>
              </w:rPr>
              <w:t>14.16x</w:t>
            </w:r>
          </w:p>
        </w:tc>
      </w:tr>
      <w:tr>
        <w:tc>
          <w:tcPr>
            <w:tcW w:type="dxa" w:w="1504"/>
          </w:tcPr>
          <w:p>
            <w:pPr>
              <w:jc w:val="center"/>
            </w:pPr>
            <w:r/>
            <w:r>
              <w:rPr>
                <w:b w:val="0"/>
                <w:sz w:val="14"/>
              </w:rPr>
              <w:t>No padding</w:t>
            </w:r>
          </w:p>
        </w:tc>
        <w:tc>
          <w:tcPr>
            <w:tcW w:type="dxa" w:w="1504"/>
          </w:tcPr>
          <w:p>
            <w:pPr>
              <w:jc w:val="center"/>
            </w:pPr>
            <w:r/>
            <w:r>
              <w:rPr>
                <w:b w:val="0"/>
                <w:sz w:val="14"/>
              </w:rPr>
              <w:t>Brute Force</w:t>
            </w:r>
          </w:p>
        </w:tc>
        <w:tc>
          <w:tcPr>
            <w:tcW w:type="dxa" w:w="1504"/>
          </w:tcPr>
          <w:p>
            <w:pPr>
              <w:jc w:val="center"/>
            </w:pPr>
            <w:r/>
            <w:r>
              <w:rPr>
                <w:b w:val="0"/>
                <w:sz w:val="14"/>
              </w:rPr>
              <w:t>0%</w:t>
            </w:r>
          </w:p>
        </w:tc>
        <w:tc>
          <w:tcPr>
            <w:tcW w:type="dxa" w:w="1504"/>
          </w:tcPr>
          <w:p>
            <w:pPr>
              <w:jc w:val="center"/>
            </w:pPr>
            <w:r/>
            <w:r>
              <w:rPr>
                <w:b w:val="0"/>
                <w:sz w:val="14"/>
              </w:rPr>
              <w:t>—</w:t>
            </w:r>
          </w:p>
        </w:tc>
        <w:tc>
          <w:tcPr>
            <w:tcW w:type="dxa" w:w="1504"/>
          </w:tcPr>
          <w:p>
            <w:pPr>
              <w:jc w:val="center"/>
            </w:pPr>
            <w:r/>
            <w:r>
              <w:rPr>
                <w:b w:val="0"/>
                <w:sz w:val="14"/>
              </w:rPr>
              <w:t>—</w:t>
            </w:r>
          </w:p>
        </w:tc>
        <w:tc>
          <w:tcPr>
            <w:tcW w:type="dxa" w:w="1504"/>
          </w:tcPr>
          <w:p>
            <w:pPr>
              <w:jc w:val="center"/>
            </w:pPr>
            <w:r/>
            <w:r>
              <w:rPr>
                <w:b w:val="0"/>
                <w:sz w:val="14"/>
              </w:rPr>
              <w:t>—</w:t>
            </w:r>
          </w:p>
        </w:tc>
      </w:tr>
      <w:tr>
        <w:tc>
          <w:tcPr>
            <w:tcW w:type="dxa" w:w="1504"/>
          </w:tcPr>
          <w:p>
            <w:pPr>
              <w:jc w:val="center"/>
            </w:pPr>
            <w:r/>
            <w:r>
              <w:rPr>
                <w:b w:val="0"/>
                <w:sz w:val="14"/>
              </w:rPr>
              <w:t>No padding</w:t>
            </w:r>
          </w:p>
        </w:tc>
        <w:tc>
          <w:tcPr>
            <w:tcW w:type="dxa" w:w="1504"/>
          </w:tcPr>
          <w:p>
            <w:pPr>
              <w:jc w:val="center"/>
            </w:pPr>
            <w:r/>
            <w:r>
              <w:rPr>
                <w:b w:val="0"/>
                <w:sz w:val="14"/>
              </w:rPr>
              <w:t>DDoS</w:t>
            </w:r>
          </w:p>
        </w:tc>
        <w:tc>
          <w:tcPr>
            <w:tcW w:type="dxa" w:w="1504"/>
          </w:tcPr>
          <w:p>
            <w:pPr>
              <w:jc w:val="center"/>
            </w:pPr>
            <w:r/>
            <w:r>
              <w:rPr>
                <w:b w:val="0"/>
                <w:sz w:val="14"/>
              </w:rPr>
              <w:t>0%</w:t>
            </w:r>
          </w:p>
        </w:tc>
        <w:tc>
          <w:tcPr>
            <w:tcW w:type="dxa" w:w="1504"/>
          </w:tcPr>
          <w:p>
            <w:pPr>
              <w:jc w:val="center"/>
            </w:pPr>
            <w:r/>
            <w:r>
              <w:rPr>
                <w:b w:val="0"/>
                <w:sz w:val="14"/>
              </w:rPr>
              <w:t>—</w:t>
            </w:r>
          </w:p>
        </w:tc>
        <w:tc>
          <w:tcPr>
            <w:tcW w:type="dxa" w:w="1504"/>
          </w:tcPr>
          <w:p>
            <w:pPr>
              <w:jc w:val="center"/>
            </w:pPr>
            <w:r/>
            <w:r>
              <w:rPr>
                <w:b w:val="0"/>
                <w:sz w:val="14"/>
              </w:rPr>
              <w:t>—</w:t>
            </w:r>
          </w:p>
        </w:tc>
        <w:tc>
          <w:tcPr>
            <w:tcW w:type="dxa" w:w="1504"/>
          </w:tcPr>
          <w:p>
            <w:pPr>
              <w:jc w:val="center"/>
            </w:pPr>
            <w:r/>
            <w:r>
              <w:rPr>
                <w:b w:val="0"/>
                <w:sz w:val="14"/>
              </w:rPr>
              <w:t>—</w:t>
            </w:r>
          </w:p>
        </w:tc>
      </w:tr>
      <w:tr>
        <w:tc>
          <w:tcPr>
            <w:tcW w:type="dxa" w:w="1504"/>
          </w:tcPr>
          <w:p>
            <w:pPr>
              <w:jc w:val="center"/>
            </w:pPr>
            <w:r/>
            <w:r>
              <w:rPr>
                <w:b w:val="0"/>
                <w:sz w:val="14"/>
              </w:rPr>
              <w:t>No padding</w:t>
            </w:r>
          </w:p>
        </w:tc>
        <w:tc>
          <w:tcPr>
            <w:tcW w:type="dxa" w:w="1504"/>
          </w:tcPr>
          <w:p>
            <w:pPr>
              <w:jc w:val="center"/>
            </w:pPr>
            <w:r/>
            <w:r>
              <w:rPr>
                <w:b w:val="0"/>
                <w:sz w:val="14"/>
              </w:rPr>
              <w:t>DoS</w:t>
            </w:r>
          </w:p>
        </w:tc>
        <w:tc>
          <w:tcPr>
            <w:tcW w:type="dxa" w:w="1504"/>
          </w:tcPr>
          <w:p>
            <w:pPr>
              <w:jc w:val="center"/>
            </w:pPr>
            <w:r/>
            <w:r>
              <w:rPr>
                <w:b w:val="0"/>
                <w:sz w:val="14"/>
              </w:rPr>
              <w:t>12%</w:t>
            </w:r>
          </w:p>
        </w:tc>
        <w:tc>
          <w:tcPr>
            <w:tcW w:type="dxa" w:w="1504"/>
          </w:tcPr>
          <w:p>
            <w:pPr>
              <w:jc w:val="center"/>
            </w:pPr>
            <w:r/>
            <w:r>
              <w:rPr>
                <w:b w:val="0"/>
                <w:sz w:val="14"/>
              </w:rPr>
              <w:t>38.92x</w:t>
            </w:r>
          </w:p>
        </w:tc>
        <w:tc>
          <w:tcPr>
            <w:tcW w:type="dxa" w:w="1504"/>
          </w:tcPr>
          <w:p>
            <w:pPr>
              <w:jc w:val="center"/>
            </w:pPr>
            <w:r/>
            <w:r>
              <w:rPr>
                <w:b w:val="0"/>
                <w:sz w:val="14"/>
              </w:rPr>
              <w:t>1.05x</w:t>
            </w:r>
          </w:p>
        </w:tc>
        <w:tc>
          <w:tcPr>
            <w:tcW w:type="dxa" w:w="1504"/>
          </w:tcPr>
          <w:p>
            <w:pPr>
              <w:jc w:val="center"/>
            </w:pPr>
            <w:r/>
            <w:r>
              <w:rPr>
                <w:b w:val="0"/>
                <w:sz w:val="14"/>
              </w:rPr>
              <w:t>47.97x</w:t>
            </w:r>
          </w:p>
        </w:tc>
      </w:tr>
      <w:tr>
        <w:tc>
          <w:tcPr>
            <w:tcW w:type="dxa" w:w="1504"/>
          </w:tcPr>
          <w:p>
            <w:pPr>
              <w:jc w:val="center"/>
            </w:pPr>
            <w:r/>
            <w:r>
              <w:rPr>
                <w:b w:val="0"/>
                <w:sz w:val="14"/>
              </w:rPr>
              <w:t>No padding</w:t>
            </w:r>
          </w:p>
        </w:tc>
        <w:tc>
          <w:tcPr>
            <w:tcW w:type="dxa" w:w="1504"/>
          </w:tcPr>
          <w:p>
            <w:pPr>
              <w:jc w:val="center"/>
            </w:pPr>
            <w:r/>
            <w:r>
              <w:rPr>
                <w:b w:val="0"/>
                <w:sz w:val="14"/>
              </w:rPr>
              <w:t>Port Scanning</w:t>
            </w:r>
          </w:p>
        </w:tc>
        <w:tc>
          <w:tcPr>
            <w:tcW w:type="dxa" w:w="1504"/>
          </w:tcPr>
          <w:p>
            <w:pPr>
              <w:jc w:val="center"/>
            </w:pPr>
            <w:r/>
            <w:r>
              <w:rPr>
                <w:b w:val="0"/>
                <w:sz w:val="14"/>
              </w:rPr>
              <w:t>96%</w:t>
            </w:r>
          </w:p>
        </w:tc>
        <w:tc>
          <w:tcPr>
            <w:tcW w:type="dxa" w:w="1504"/>
          </w:tcPr>
          <w:p>
            <w:pPr>
              <w:jc w:val="center"/>
            </w:pPr>
            <w:r/>
            <w:r>
              <w:rPr>
                <w:b w:val="0"/>
                <w:sz w:val="14"/>
              </w:rPr>
              <w:t>14.65x</w:t>
            </w:r>
          </w:p>
        </w:tc>
        <w:tc>
          <w:tcPr>
            <w:tcW w:type="dxa" w:w="1504"/>
          </w:tcPr>
          <w:p>
            <w:pPr>
              <w:jc w:val="center"/>
            </w:pPr>
            <w:r/>
            <w:r>
              <w:rPr>
                <w:b w:val="0"/>
                <w:sz w:val="14"/>
              </w:rPr>
              <w:t>5.5x</w:t>
            </w:r>
          </w:p>
        </w:tc>
        <w:tc>
          <w:tcPr>
            <w:tcW w:type="dxa" w:w="1504"/>
          </w:tcPr>
          <w:p>
            <w:pPr>
              <w:jc w:val="center"/>
            </w:pPr>
            <w:r/>
            <w:r>
              <w:rPr>
                <w:b w:val="0"/>
                <w:sz w:val="14"/>
              </w:rPr>
              <w:t>26.06x</w:t>
            </w:r>
          </w:p>
        </w:tc>
      </w:tr>
      <w:tr>
        <w:tc>
          <w:tcPr>
            <w:tcW w:type="dxa" w:w="1504"/>
          </w:tcPr>
          <w:p>
            <w:pPr>
              <w:jc w:val="center"/>
            </w:pPr>
            <w:r/>
            <w:r>
              <w:rPr>
                <w:b w:val="0"/>
                <w:sz w:val="14"/>
              </w:rPr>
              <w:t>No padding</w:t>
            </w:r>
          </w:p>
        </w:tc>
        <w:tc>
          <w:tcPr>
            <w:tcW w:type="dxa" w:w="1504"/>
          </w:tcPr>
          <w:p>
            <w:pPr>
              <w:jc w:val="center"/>
            </w:pPr>
            <w:r/>
            <w:r>
              <w:rPr>
                <w:b w:val="0"/>
                <w:sz w:val="14"/>
              </w:rPr>
              <w:t>Web Attacks</w:t>
            </w:r>
          </w:p>
        </w:tc>
        <w:tc>
          <w:tcPr>
            <w:tcW w:type="dxa" w:w="1504"/>
          </w:tcPr>
          <w:p>
            <w:pPr>
              <w:jc w:val="center"/>
            </w:pPr>
            <w:r/>
            <w:r>
              <w:rPr>
                <w:b w:val="0"/>
                <w:sz w:val="14"/>
              </w:rPr>
              <w:t>100%</w:t>
            </w:r>
          </w:p>
        </w:tc>
        <w:tc>
          <w:tcPr>
            <w:tcW w:type="dxa" w:w="1504"/>
          </w:tcPr>
          <w:p>
            <w:pPr>
              <w:jc w:val="center"/>
            </w:pPr>
            <w:r/>
            <w:r>
              <w:rPr>
                <w:b w:val="0"/>
                <w:sz w:val="14"/>
              </w:rPr>
              <w:t>11.85x</w:t>
            </w:r>
          </w:p>
        </w:tc>
        <w:tc>
          <w:tcPr>
            <w:tcW w:type="dxa" w:w="1504"/>
          </w:tcPr>
          <w:p>
            <w:pPr>
              <w:jc w:val="center"/>
            </w:pPr>
            <w:r/>
            <w:r>
              <w:rPr>
                <w:b w:val="0"/>
                <w:sz w:val="14"/>
              </w:rPr>
              <w:t>1.5x</w:t>
            </w:r>
          </w:p>
        </w:tc>
        <w:tc>
          <w:tcPr>
            <w:tcW w:type="dxa" w:w="1504"/>
          </w:tcPr>
          <w:p>
            <w:pPr>
              <w:jc w:val="center"/>
            </w:pPr>
            <w:r/>
            <w:r>
              <w:rPr>
                <w:b w:val="0"/>
                <w:sz w:val="14"/>
              </w:rPr>
              <w:t>15.27x</w:t>
            </w:r>
          </w:p>
        </w:tc>
      </w:tr>
      <w:tr>
        <w:tc>
          <w:tcPr>
            <w:tcW w:type="dxa" w:w="1504"/>
          </w:tcPr>
          <w:p>
            <w:pPr>
              <w:jc w:val="center"/>
            </w:pPr>
            <w:r/>
            <w:r>
              <w:rPr>
                <w:b w:val="0"/>
                <w:sz w:val="14"/>
              </w:rPr>
              <w:t>20B/pkt padding</w:t>
            </w:r>
          </w:p>
        </w:tc>
        <w:tc>
          <w:tcPr>
            <w:tcW w:type="dxa" w:w="1504"/>
          </w:tcPr>
          <w:p>
            <w:pPr>
              <w:jc w:val="center"/>
            </w:pPr>
            <w:r/>
            <w:r>
              <w:rPr>
                <w:b w:val="0"/>
                <w:sz w:val="14"/>
              </w:rPr>
              <w:t>Bots</w:t>
            </w:r>
          </w:p>
        </w:tc>
        <w:tc>
          <w:tcPr>
            <w:tcW w:type="dxa" w:w="1504"/>
          </w:tcPr>
          <w:p>
            <w:pPr>
              <w:jc w:val="center"/>
            </w:pPr>
            <w:r/>
            <w:r>
              <w:rPr>
                <w:b w:val="0"/>
                <w:sz w:val="14"/>
              </w:rPr>
              <w:t>100%</w:t>
            </w:r>
          </w:p>
        </w:tc>
        <w:tc>
          <w:tcPr>
            <w:tcW w:type="dxa" w:w="1504"/>
          </w:tcPr>
          <w:p>
            <w:pPr>
              <w:jc w:val="center"/>
            </w:pPr>
            <w:r/>
            <w:r>
              <w:rPr>
                <w:b w:val="0"/>
                <w:sz w:val="14"/>
              </w:rPr>
              <w:t>9.38x</w:t>
            </w:r>
          </w:p>
        </w:tc>
        <w:tc>
          <w:tcPr>
            <w:tcW w:type="dxa" w:w="1504"/>
          </w:tcPr>
          <w:p>
            <w:pPr>
              <w:jc w:val="center"/>
            </w:pPr>
            <w:r/>
            <w:r>
              <w:rPr>
                <w:b w:val="0"/>
                <w:sz w:val="14"/>
              </w:rPr>
              <w:t>1.0x</w:t>
            </w:r>
          </w:p>
        </w:tc>
        <w:tc>
          <w:tcPr>
            <w:tcW w:type="dxa" w:w="1504"/>
          </w:tcPr>
          <w:p>
            <w:pPr>
              <w:jc w:val="center"/>
            </w:pPr>
            <w:r/>
            <w:r>
              <w:rPr>
                <w:b w:val="0"/>
                <w:sz w:val="14"/>
              </w:rPr>
              <w:t>12.74x</w:t>
            </w:r>
          </w:p>
        </w:tc>
      </w:tr>
      <w:tr>
        <w:tc>
          <w:tcPr>
            <w:tcW w:type="dxa" w:w="1504"/>
          </w:tcPr>
          <w:p>
            <w:pPr>
              <w:jc w:val="center"/>
            </w:pPr>
            <w:r/>
            <w:r>
              <w:rPr>
                <w:b w:val="0"/>
                <w:sz w:val="14"/>
              </w:rPr>
              <w:t>20B/pkt padding</w:t>
            </w:r>
          </w:p>
        </w:tc>
        <w:tc>
          <w:tcPr>
            <w:tcW w:type="dxa" w:w="1504"/>
          </w:tcPr>
          <w:p>
            <w:pPr>
              <w:jc w:val="center"/>
            </w:pPr>
            <w:r/>
            <w:r>
              <w:rPr>
                <w:b w:val="0"/>
                <w:sz w:val="14"/>
              </w:rPr>
              <w:t>Brute Force</w:t>
            </w:r>
          </w:p>
        </w:tc>
        <w:tc>
          <w:tcPr>
            <w:tcW w:type="dxa" w:w="1504"/>
          </w:tcPr>
          <w:p>
            <w:pPr>
              <w:jc w:val="center"/>
            </w:pPr>
            <w:r/>
            <w:r>
              <w:rPr>
                <w:b w:val="0"/>
                <w:sz w:val="14"/>
              </w:rPr>
              <w:t>4%</w:t>
            </w:r>
          </w:p>
        </w:tc>
        <w:tc>
          <w:tcPr>
            <w:tcW w:type="dxa" w:w="1504"/>
          </w:tcPr>
          <w:p>
            <w:pPr>
              <w:jc w:val="center"/>
            </w:pPr>
            <w:r/>
            <w:r>
              <w:rPr>
                <w:b w:val="0"/>
                <w:sz w:val="14"/>
              </w:rPr>
              <w:t>358.43x</w:t>
            </w:r>
          </w:p>
        </w:tc>
        <w:tc>
          <w:tcPr>
            <w:tcW w:type="dxa" w:w="1504"/>
          </w:tcPr>
          <w:p>
            <w:pPr>
              <w:jc w:val="center"/>
            </w:pPr>
            <w:r/>
            <w:r>
              <w:rPr>
                <w:b w:val="0"/>
                <w:sz w:val="14"/>
              </w:rPr>
              <w:t>233.57x</w:t>
            </w:r>
          </w:p>
        </w:tc>
        <w:tc>
          <w:tcPr>
            <w:tcW w:type="dxa" w:w="1504"/>
          </w:tcPr>
          <w:p>
            <w:pPr>
              <w:jc w:val="center"/>
            </w:pPr>
            <w:r/>
            <w:r>
              <w:rPr>
                <w:b w:val="0"/>
                <w:sz w:val="14"/>
              </w:rPr>
              <w:t>458.32x</w:t>
            </w:r>
          </w:p>
        </w:tc>
      </w:tr>
      <w:tr>
        <w:tc>
          <w:tcPr>
            <w:tcW w:type="dxa" w:w="1504"/>
          </w:tcPr>
          <w:p>
            <w:pPr>
              <w:jc w:val="center"/>
            </w:pPr>
            <w:r/>
            <w:r>
              <w:rPr>
                <w:b w:val="0"/>
                <w:sz w:val="14"/>
              </w:rPr>
              <w:t>20B/pkt padding</w:t>
            </w:r>
          </w:p>
        </w:tc>
        <w:tc>
          <w:tcPr>
            <w:tcW w:type="dxa" w:w="1504"/>
          </w:tcPr>
          <w:p>
            <w:pPr>
              <w:jc w:val="center"/>
            </w:pPr>
            <w:r/>
            <w:r>
              <w:rPr>
                <w:b w:val="0"/>
                <w:sz w:val="14"/>
              </w:rPr>
              <w:t>DDoS</w:t>
            </w:r>
          </w:p>
        </w:tc>
        <w:tc>
          <w:tcPr>
            <w:tcW w:type="dxa" w:w="1504"/>
          </w:tcPr>
          <w:p>
            <w:pPr>
              <w:jc w:val="center"/>
            </w:pPr>
            <w:r/>
            <w:r>
              <w:rPr>
                <w:b w:val="0"/>
                <w:sz w:val="14"/>
              </w:rPr>
              <w:t>88%</w:t>
            </w:r>
          </w:p>
        </w:tc>
        <w:tc>
          <w:tcPr>
            <w:tcW w:type="dxa" w:w="1504"/>
          </w:tcPr>
          <w:p>
            <w:pPr>
              <w:jc w:val="center"/>
            </w:pPr>
            <w:r/>
            <w:r>
              <w:rPr>
                <w:b w:val="0"/>
                <w:sz w:val="14"/>
              </w:rPr>
              <w:t>7.0x</w:t>
            </w:r>
          </w:p>
        </w:tc>
        <w:tc>
          <w:tcPr>
            <w:tcW w:type="dxa" w:w="1504"/>
          </w:tcPr>
          <w:p>
            <w:pPr>
              <w:jc w:val="center"/>
            </w:pPr>
            <w:r/>
            <w:r>
              <w:rPr>
                <w:b w:val="0"/>
                <w:sz w:val="14"/>
              </w:rPr>
              <w:t>1.0x</w:t>
            </w:r>
          </w:p>
        </w:tc>
        <w:tc>
          <w:tcPr>
            <w:tcW w:type="dxa" w:w="1504"/>
          </w:tcPr>
          <w:p>
            <w:pPr>
              <w:jc w:val="center"/>
            </w:pPr>
            <w:r/>
            <w:r>
              <w:rPr>
                <w:b w:val="0"/>
                <w:sz w:val="14"/>
              </w:rPr>
              <w:t>78.38x</w:t>
            </w:r>
          </w:p>
        </w:tc>
      </w:tr>
      <w:tr>
        <w:tc>
          <w:tcPr>
            <w:tcW w:type="dxa" w:w="1504"/>
          </w:tcPr>
          <w:p>
            <w:pPr>
              <w:jc w:val="center"/>
            </w:pPr>
            <w:r/>
            <w:r>
              <w:rPr>
                <w:b w:val="0"/>
                <w:sz w:val="14"/>
              </w:rPr>
              <w:t>20B/pkt padding</w:t>
            </w:r>
          </w:p>
        </w:tc>
        <w:tc>
          <w:tcPr>
            <w:tcW w:type="dxa" w:w="1504"/>
          </w:tcPr>
          <w:p>
            <w:pPr>
              <w:jc w:val="center"/>
            </w:pPr>
            <w:r/>
            <w:r>
              <w:rPr>
                <w:b w:val="0"/>
                <w:sz w:val="14"/>
              </w:rPr>
              <w:t>DoS</w:t>
            </w:r>
          </w:p>
        </w:tc>
        <w:tc>
          <w:tcPr>
            <w:tcW w:type="dxa" w:w="1504"/>
          </w:tcPr>
          <w:p>
            <w:pPr>
              <w:jc w:val="center"/>
            </w:pPr>
            <w:r/>
            <w:r>
              <w:rPr>
                <w:b w:val="0"/>
                <w:sz w:val="14"/>
              </w:rPr>
              <w:t>20%</w:t>
            </w:r>
          </w:p>
        </w:tc>
        <w:tc>
          <w:tcPr>
            <w:tcW w:type="dxa" w:w="1504"/>
          </w:tcPr>
          <w:p>
            <w:pPr>
              <w:jc w:val="center"/>
            </w:pPr>
            <w:r/>
            <w:r>
              <w:rPr>
                <w:b w:val="0"/>
                <w:sz w:val="14"/>
              </w:rPr>
              <w:t>7.25x</w:t>
            </w:r>
          </w:p>
        </w:tc>
        <w:tc>
          <w:tcPr>
            <w:tcW w:type="dxa" w:w="1504"/>
          </w:tcPr>
          <w:p>
            <w:pPr>
              <w:jc w:val="center"/>
            </w:pPr>
            <w:r/>
            <w:r>
              <w:rPr>
                <w:b w:val="0"/>
                <w:sz w:val="14"/>
              </w:rPr>
              <w:t>1.05x</w:t>
            </w:r>
          </w:p>
        </w:tc>
        <w:tc>
          <w:tcPr>
            <w:tcW w:type="dxa" w:w="1504"/>
          </w:tcPr>
          <w:p>
            <w:pPr>
              <w:jc w:val="center"/>
            </w:pPr>
            <w:r/>
            <w:r>
              <w:rPr>
                <w:b w:val="0"/>
                <w:sz w:val="14"/>
              </w:rPr>
              <w:t>1000.0x</w:t>
            </w:r>
          </w:p>
        </w:tc>
      </w:tr>
      <w:tr>
        <w:tc>
          <w:tcPr>
            <w:tcW w:type="dxa" w:w="1504"/>
          </w:tcPr>
          <w:p>
            <w:pPr>
              <w:jc w:val="center"/>
            </w:pPr>
            <w:r/>
            <w:r>
              <w:rPr>
                <w:b w:val="0"/>
                <w:sz w:val="14"/>
              </w:rPr>
              <w:t>20B/pkt padding</w:t>
            </w:r>
          </w:p>
        </w:tc>
        <w:tc>
          <w:tcPr>
            <w:tcW w:type="dxa" w:w="1504"/>
          </w:tcPr>
          <w:p>
            <w:pPr>
              <w:jc w:val="center"/>
            </w:pPr>
            <w:r/>
            <w:r>
              <w:rPr>
                <w:b w:val="0"/>
                <w:sz w:val="14"/>
              </w:rPr>
              <w:t>Port Scanning</w:t>
            </w:r>
          </w:p>
        </w:tc>
        <w:tc>
          <w:tcPr>
            <w:tcW w:type="dxa" w:w="1504"/>
          </w:tcPr>
          <w:p>
            <w:pPr>
              <w:jc w:val="center"/>
            </w:pPr>
            <w:r/>
            <w:r>
              <w:rPr>
                <w:b w:val="0"/>
                <w:sz w:val="14"/>
              </w:rPr>
              <w:t>100%</w:t>
            </w:r>
          </w:p>
        </w:tc>
        <w:tc>
          <w:tcPr>
            <w:tcW w:type="dxa" w:w="1504"/>
          </w:tcPr>
          <w:p>
            <w:pPr>
              <w:jc w:val="center"/>
            </w:pPr>
            <w:r/>
            <w:r>
              <w:rPr>
                <w:b w:val="0"/>
                <w:sz w:val="14"/>
              </w:rPr>
              <w:t>2.88x</w:t>
            </w:r>
          </w:p>
        </w:tc>
        <w:tc>
          <w:tcPr>
            <w:tcW w:type="dxa" w:w="1504"/>
          </w:tcPr>
          <w:p>
            <w:pPr>
              <w:jc w:val="center"/>
            </w:pPr>
            <w:r/>
            <w:r>
              <w:rPr>
                <w:b w:val="0"/>
                <w:sz w:val="14"/>
              </w:rPr>
              <w:t>1.0x</w:t>
            </w:r>
          </w:p>
        </w:tc>
        <w:tc>
          <w:tcPr>
            <w:tcW w:type="dxa" w:w="1504"/>
          </w:tcPr>
          <w:p>
            <w:pPr>
              <w:jc w:val="center"/>
            </w:pPr>
            <w:r/>
            <w:r>
              <w:rPr>
                <w:b w:val="0"/>
                <w:sz w:val="14"/>
              </w:rPr>
              <w:t>4.5x</w:t>
            </w:r>
          </w:p>
        </w:tc>
      </w:tr>
      <w:tr>
        <w:tc>
          <w:tcPr>
            <w:tcW w:type="dxa" w:w="1504"/>
          </w:tcPr>
          <w:p>
            <w:pPr>
              <w:jc w:val="center"/>
            </w:pPr>
            <w:r/>
            <w:r>
              <w:rPr>
                <w:b w:val="0"/>
                <w:sz w:val="14"/>
              </w:rPr>
              <w:t>20B/pkt padding</w:t>
            </w:r>
          </w:p>
        </w:tc>
        <w:tc>
          <w:tcPr>
            <w:tcW w:type="dxa" w:w="1504"/>
          </w:tcPr>
          <w:p>
            <w:pPr>
              <w:jc w:val="center"/>
            </w:pPr>
            <w:r/>
            <w:r>
              <w:rPr>
                <w:b w:val="0"/>
                <w:sz w:val="14"/>
              </w:rPr>
              <w:t>Web Attacks</w:t>
            </w:r>
          </w:p>
        </w:tc>
        <w:tc>
          <w:tcPr>
            <w:tcW w:type="dxa" w:w="1504"/>
          </w:tcPr>
          <w:p>
            <w:pPr>
              <w:jc w:val="center"/>
            </w:pPr>
            <w:r/>
            <w:r>
              <w:rPr>
                <w:b w:val="0"/>
                <w:sz w:val="14"/>
              </w:rPr>
              <w:t>100%</w:t>
            </w:r>
          </w:p>
        </w:tc>
        <w:tc>
          <w:tcPr>
            <w:tcW w:type="dxa" w:w="1504"/>
          </w:tcPr>
          <w:p>
            <w:pPr>
              <w:jc w:val="center"/>
            </w:pPr>
            <w:r/>
            <w:r>
              <w:rPr>
                <w:b w:val="0"/>
                <w:sz w:val="14"/>
              </w:rPr>
              <w:t>1.65x</w:t>
            </w:r>
          </w:p>
        </w:tc>
        <w:tc>
          <w:tcPr>
            <w:tcW w:type="dxa" w:w="1504"/>
          </w:tcPr>
          <w:p>
            <w:pPr>
              <w:jc w:val="center"/>
            </w:pPr>
            <w:r/>
            <w:r>
              <w:rPr>
                <w:b w:val="0"/>
                <w:sz w:val="14"/>
              </w:rPr>
              <w:t>1.45x</w:t>
            </w:r>
          </w:p>
        </w:tc>
        <w:tc>
          <w:tcPr>
            <w:tcW w:type="dxa" w:w="1504"/>
          </w:tcPr>
          <w:p>
            <w:pPr>
              <w:jc w:val="center"/>
            </w:pPr>
            <w:r/>
            <w:r>
              <w:rPr>
                <w:b w:val="0"/>
                <w:sz w:val="14"/>
              </w:rPr>
              <w:t>1.95x</w:t>
            </w:r>
          </w:p>
        </w:tc>
      </w:tr>
    </w:tbl>
    <w:p/>
    <w:p>
      <w:pPr>
        <w:pStyle w:val="Heading2"/>
      </w:pPr>
      <w:r>
        <w:rPr>
          <w:rFonts w:ascii="Arial" w:hAnsi="Arial"/>
          <w:sz w:val="28"/>
        </w:rPr>
        <w:t xml:space="preserve">Appendix E: Selected source code</w:t>
      </w:r>
    </w:p>
    <w:p>
      <w:pPr/>
      <w:r/>
      <w:r>
        <w:t>Two excerpts, chosen for what they demonstrate rather than for coverage: the deployed inference entrypoint (in full), and the core transformation function behind the E6 semantically-consistent evasion experiment. The remainder of the codebase (14 experiment and pipeline scripts, the Streamlit console, and the infrastructure scripts) is available in the project repository.</w:t>
      </w:r>
    </w:p>
    <w:p>
      <w:pPr>
        <w:pStyle w:val="Caption"/>
        <w:jc w:val="center"/>
      </w:pPr>
      <w:r>
        <w:t>Listing E1. lambda/handler.py — the deployed inference entrypoint (in full).</w:t>
      </w:r>
    </w:p>
    <w:p>
      <w:pPr>
        <w:shd w:val="clear" w:color="auto" w:fill="F2F2F2"/>
        <w:ind w:left="216"/>
        <w:jc w:val="left"/>
      </w:pPr>
      <w:r>
        <w:rPr>
          <w:rFonts w:ascii="Courier New" w:hAnsi="Courier New"/>
          <w:sz w:val="15"/>
        </w:rPr>
        <w:t>"""</w:t>
        <w:br/>
      </w:r>
      <w:r>
        <w:rPr>
          <w:rFonts w:ascii="Courier New" w:hAnsi="Courier New"/>
          <w:sz w:val="15"/>
        </w:rPr>
        <w:t>Lambda inference handler for the cloud NIDS.</w:t>
        <w:br/>
      </w:r>
      <w:r>
        <w:rPr>
          <w:rFonts w:ascii="Courier New" w:hAnsi="Courier New"/>
          <w:sz w:val="15"/>
        </w:rPr>
        <w:t xml:space="preserve"> </w:t>
        <w:br/>
      </w:r>
      <w:r>
        <w:rPr>
          <w:rFonts w:ascii="Courier New" w:hAnsi="Courier New"/>
          <w:sz w:val="15"/>
        </w:rPr>
        <w:t>Loads the ONNX model and scaler parameters from S3 on cold start, caches</w:t>
        <w:br/>
      </w:r>
      <w:r>
        <w:rPr>
          <w:rFonts w:ascii="Courier New" w:hAnsi="Courier New"/>
          <w:sz w:val="15"/>
        </w:rPr>
        <w:t>them in the execution environment, and scores incoming network flow</w:t>
        <w:br/>
      </w:r>
      <w:r>
        <w:rPr>
          <w:rFonts w:ascii="Courier New" w:hAnsi="Courier New"/>
          <w:sz w:val="15"/>
        </w:rPr>
        <w:t>feature vectors.</w:t>
        <w:br/>
      </w:r>
      <w:r>
        <w:rPr>
          <w:rFonts w:ascii="Courier New" w:hAnsi="Courier New"/>
          <w:sz w:val="15"/>
        </w:rPr>
        <w:t xml:space="preserve"> </w:t>
        <w:br/>
      </w:r>
      <w:r>
        <w:rPr>
          <w:rFonts w:ascii="Courier New" w:hAnsi="Courier New"/>
          <w:sz w:val="15"/>
        </w:rPr>
        <w:t>Applies the Bots decision threshold selected on validation in E4 (t=0.99):</w:t>
        <w:br/>
      </w:r>
      <w:r>
        <w:rPr>
          <w:rFonts w:ascii="Courier New" w:hAnsi="Courier New"/>
          <w:sz w:val="15"/>
        </w:rPr>
        <w:t>predict Bots only if P(Bots) &gt;= t, else argmax over the remaining classes.</w:t>
        <w:br/>
      </w:r>
      <w:r>
        <w:rPr>
          <w:rFonts w:ascii="Courier New" w:hAnsi="Courier New"/>
          <w:sz w:val="15"/>
        </w:rPr>
        <w:t>"""</w:t>
        <w:br/>
      </w:r>
      <w:r>
        <w:rPr>
          <w:rFonts w:ascii="Courier New" w:hAnsi="Courier New"/>
          <w:sz w:val="15"/>
        </w:rPr>
        <w:t>import os</w:t>
        <w:br/>
      </w:r>
      <w:r>
        <w:rPr>
          <w:rFonts w:ascii="Courier New" w:hAnsi="Courier New"/>
          <w:sz w:val="15"/>
        </w:rPr>
        <w:t>import json</w:t>
        <w:br/>
      </w:r>
      <w:r>
        <w:rPr>
          <w:rFonts w:ascii="Courier New" w:hAnsi="Courier New"/>
          <w:sz w:val="15"/>
        </w:rPr>
        <w:t>import logging</w:t>
        <w:br/>
      </w:r>
      <w:r>
        <w:rPr>
          <w:rFonts w:ascii="Courier New" w:hAnsi="Courier New"/>
          <w:sz w:val="15"/>
        </w:rPr>
        <w:t xml:space="preserve"> </w:t>
        <w:br/>
      </w:r>
      <w:r>
        <w:rPr>
          <w:rFonts w:ascii="Courier New" w:hAnsi="Courier New"/>
          <w:sz w:val="15"/>
        </w:rPr>
        <w:t>import boto3</w:t>
        <w:br/>
      </w:r>
      <w:r>
        <w:rPr>
          <w:rFonts w:ascii="Courier New" w:hAnsi="Courier New"/>
          <w:sz w:val="15"/>
        </w:rPr>
        <w:t>import numpy as np</w:t>
        <w:br/>
      </w:r>
      <w:r>
        <w:rPr>
          <w:rFonts w:ascii="Courier New" w:hAnsi="Courier New"/>
          <w:sz w:val="15"/>
        </w:rPr>
        <w:t>import onnxruntime as ort</w:t>
        <w:br/>
      </w:r>
      <w:r>
        <w:rPr>
          <w:rFonts w:ascii="Courier New" w:hAnsi="Courier New"/>
          <w:sz w:val="15"/>
        </w:rPr>
        <w:t xml:space="preserve"> </w:t>
        <w:br/>
      </w:r>
      <w:r>
        <w:rPr>
          <w:rFonts w:ascii="Courier New" w:hAnsi="Courier New"/>
          <w:sz w:val="15"/>
        </w:rPr>
        <w:t>logger = logging.getLogger()</w:t>
        <w:br/>
      </w:r>
      <w:r>
        <w:rPr>
          <w:rFonts w:ascii="Courier New" w:hAnsi="Courier New"/>
          <w:sz w:val="15"/>
        </w:rPr>
        <w:t>logger.setLevel(logging.INFO)</w:t>
        <w:br/>
      </w:r>
      <w:r>
        <w:rPr>
          <w:rFonts w:ascii="Courier New" w:hAnsi="Courier New"/>
          <w:sz w:val="15"/>
        </w:rPr>
        <w:t xml:space="preserve"> </w:t>
        <w:br/>
      </w:r>
      <w:r>
        <w:rPr>
          <w:rFonts w:ascii="Courier New" w:hAnsi="Courier New"/>
          <w:sz w:val="15"/>
        </w:rPr>
        <w:t>BUCKET = os.environ["MODEL_BUCKET"]</w:t>
        <w:br/>
      </w:r>
      <w:r>
        <w:rPr>
          <w:rFonts w:ascii="Courier New" w:hAnsi="Courier New"/>
          <w:sz w:val="15"/>
        </w:rPr>
        <w:t>MODEL_KEY = os.environ.get("MODEL_KEY", "model/nids_model.onnx")</w:t>
        <w:br/>
      </w:r>
      <w:r>
        <w:rPr>
          <w:rFonts w:ascii="Courier New" w:hAnsi="Courier New"/>
          <w:sz w:val="15"/>
        </w:rPr>
        <w:t>SCALER_KEY = os.environ.get("SCALER_KEY", "model/scaler.json")</w:t>
        <w:br/>
      </w:r>
      <w:r>
        <w:rPr>
          <w:rFonts w:ascii="Courier New" w:hAnsi="Courier New"/>
          <w:sz w:val="15"/>
        </w:rPr>
        <w:t>BOTS_THRESHOLD = float(os.environ.get("BOTS_THRESHOLD", "0.99"))</w:t>
        <w:br/>
      </w:r>
      <w:r>
        <w:rPr>
          <w:rFonts w:ascii="Courier New" w:hAnsi="Courier New"/>
          <w:sz w:val="15"/>
        </w:rPr>
        <w:t xml:space="preserve"> </w:t>
        <w:br/>
      </w:r>
      <w:r>
        <w:rPr>
          <w:rFonts w:ascii="Courier New" w:hAnsi="Courier New"/>
          <w:sz w:val="15"/>
        </w:rPr>
        <w:t>CLASSES = ["Bots", "Brute Force", "DDoS", "DoS",</w:t>
        <w:br/>
      </w:r>
      <w:r>
        <w:rPr>
          <w:rFonts w:ascii="Courier New" w:hAnsi="Courier New"/>
          <w:sz w:val="15"/>
        </w:rPr>
        <w:t xml:space="preserve">           "Normal Traffic", "Port Scanning", "Web Attacks"]</w:t>
        <w:br/>
      </w:r>
      <w:r>
        <w:rPr>
          <w:rFonts w:ascii="Courier New" w:hAnsi="Courier New"/>
          <w:sz w:val="15"/>
        </w:rPr>
        <w:t>BOTS_IDX = CLASSES.index("Bots")</w:t>
        <w:br/>
      </w:r>
      <w:r>
        <w:rPr>
          <w:rFonts w:ascii="Courier New" w:hAnsi="Courier New"/>
          <w:sz w:val="15"/>
        </w:rPr>
        <w:t xml:space="preserve"> </w:t>
        <w:br/>
      </w:r>
      <w:r>
        <w:rPr>
          <w:rFonts w:ascii="Courier New" w:hAnsi="Courier New"/>
          <w:sz w:val="15"/>
        </w:rPr>
        <w:t>_session = None</w:t>
        <w:br/>
      </w:r>
      <w:r>
        <w:rPr>
          <w:rFonts w:ascii="Courier New" w:hAnsi="Courier New"/>
          <w:sz w:val="15"/>
        </w:rPr>
        <w:t>_mean = None</w:t>
        <w:br/>
      </w:r>
      <w:r>
        <w:rPr>
          <w:rFonts w:ascii="Courier New" w:hAnsi="Courier New"/>
          <w:sz w:val="15"/>
        </w:rPr>
        <w:t>_scale = None</w:t>
        <w:br/>
      </w:r>
      <w:r>
        <w:rPr>
          <w:rFonts w:ascii="Courier New" w:hAnsi="Courier New"/>
          <w:sz w:val="15"/>
        </w:rPr>
        <w:t xml:space="preserve"> </w:t>
        <w:br/>
      </w:r>
      <w:r>
        <w:rPr>
          <w:rFonts w:ascii="Courier New" w:hAnsi="Courier New"/>
          <w:sz w:val="15"/>
        </w:rPr>
        <w:t xml:space="preserve"> </w:t>
        <w:br/>
      </w:r>
      <w:r>
        <w:rPr>
          <w:rFonts w:ascii="Courier New" w:hAnsi="Courier New"/>
          <w:sz w:val="15"/>
        </w:rPr>
        <w:t>def _load():</w:t>
        <w:br/>
      </w:r>
      <w:r>
        <w:rPr>
          <w:rFonts w:ascii="Courier New" w:hAnsi="Courier New"/>
          <w:sz w:val="15"/>
        </w:rPr>
        <w:t xml:space="preserve">    """Cold-start load. Cached across warm invocations."""</w:t>
        <w:br/>
      </w:r>
      <w:r>
        <w:rPr>
          <w:rFonts w:ascii="Courier New" w:hAnsi="Courier New"/>
          <w:sz w:val="15"/>
        </w:rPr>
        <w:t xml:space="preserve">    global _session, _mean, _scale</w:t>
        <w:br/>
      </w:r>
      <w:r>
        <w:rPr>
          <w:rFonts w:ascii="Courier New" w:hAnsi="Courier New"/>
          <w:sz w:val="15"/>
        </w:rPr>
        <w:t xml:space="preserve">    if _session is not None:</w:t>
        <w:br/>
      </w:r>
      <w:r>
        <w:rPr>
          <w:rFonts w:ascii="Courier New" w:hAnsi="Courier New"/>
          <w:sz w:val="15"/>
        </w:rPr>
        <w:t xml:space="preserve">        return</w:t>
        <w:br/>
      </w:r>
      <w:r>
        <w:rPr>
          <w:rFonts w:ascii="Courier New" w:hAnsi="Courier New"/>
          <w:sz w:val="15"/>
        </w:rPr>
        <w:t xml:space="preserve"> </w:t>
        <w:br/>
      </w:r>
      <w:r>
        <w:rPr>
          <w:rFonts w:ascii="Courier New" w:hAnsi="Courier New"/>
          <w:sz w:val="15"/>
        </w:rPr>
        <w:t xml:space="preserve">    s3 = boto3.client("s3")</w:t>
        <w:br/>
      </w:r>
      <w:r>
        <w:rPr>
          <w:rFonts w:ascii="Courier New" w:hAnsi="Courier New"/>
          <w:sz w:val="15"/>
        </w:rPr>
        <w:t xml:space="preserve">    tmp_model = "/tmp/model.onnx"</w:t>
        <w:br/>
      </w:r>
      <w:r>
        <w:rPr>
          <w:rFonts w:ascii="Courier New" w:hAnsi="Courier New"/>
          <w:sz w:val="15"/>
        </w:rPr>
        <w:t xml:space="preserve"> </w:t>
        <w:br/>
      </w:r>
      <w:r>
        <w:rPr>
          <w:rFonts w:ascii="Courier New" w:hAnsi="Courier New"/>
          <w:sz w:val="15"/>
        </w:rPr>
        <w:t xml:space="preserve">    logger.info("Cold start: loading model from s3://%s/%s", BUCKET, MODEL_KEY)</w:t>
        <w:br/>
      </w:r>
      <w:r>
        <w:rPr>
          <w:rFonts w:ascii="Courier New" w:hAnsi="Courier New"/>
          <w:sz w:val="15"/>
        </w:rPr>
        <w:t xml:space="preserve">    s3.download_file(BUCKET, MODEL_KEY, tmp_model)</w:t>
        <w:br/>
      </w:r>
      <w:r>
        <w:rPr>
          <w:rFonts w:ascii="Courier New" w:hAnsi="Courier New"/>
          <w:sz w:val="15"/>
        </w:rPr>
        <w:t xml:space="preserve">    _session = ort.InferenceSession(tmp_model, providers=["CPUExecutionProvider"])</w:t>
        <w:br/>
      </w:r>
      <w:r>
        <w:rPr>
          <w:rFonts w:ascii="Courier New" w:hAnsi="Courier New"/>
          <w:sz w:val="15"/>
        </w:rPr>
        <w:t xml:space="preserve"> </w:t>
        <w:br/>
      </w:r>
      <w:r>
        <w:rPr>
          <w:rFonts w:ascii="Courier New" w:hAnsi="Courier New"/>
          <w:sz w:val="15"/>
        </w:rPr>
        <w:t xml:space="preserve">    obj = s3.get_object(Bucket=BUCKET, Key=SCALER_KEY)</w:t>
        <w:br/>
      </w:r>
      <w:r>
        <w:rPr>
          <w:rFonts w:ascii="Courier New" w:hAnsi="Courier New"/>
          <w:sz w:val="15"/>
        </w:rPr>
        <w:t xml:space="preserve">    params = json.loads(obj["Body"].read())</w:t>
        <w:br/>
      </w:r>
      <w:r>
        <w:rPr>
          <w:rFonts w:ascii="Courier New" w:hAnsi="Courier New"/>
          <w:sz w:val="15"/>
        </w:rPr>
        <w:t xml:space="preserve">    _mean = np.array(params["mean"], dtype=np.float32)</w:t>
        <w:br/>
      </w:r>
      <w:r>
        <w:rPr>
          <w:rFonts w:ascii="Courier New" w:hAnsi="Courier New"/>
          <w:sz w:val="15"/>
        </w:rPr>
        <w:t xml:space="preserve">    _scale = np.array(params["scale"], dtype=np.float32)</w:t>
        <w:br/>
      </w:r>
      <w:r>
        <w:rPr>
          <w:rFonts w:ascii="Courier New" w:hAnsi="Courier New"/>
          <w:sz w:val="15"/>
        </w:rPr>
        <w:t xml:space="preserve">    logger.info("Model loaded: %d features", len(_mean))</w:t>
        <w:br/>
      </w:r>
      <w:r>
        <w:rPr>
          <w:rFonts w:ascii="Courier New" w:hAnsi="Courier New"/>
          <w:sz w:val="15"/>
        </w:rPr>
        <w:t xml:space="preserve"> </w:t>
        <w:br/>
      </w:r>
      <w:r>
        <w:rPr>
          <w:rFonts w:ascii="Courier New" w:hAnsi="Courier New"/>
          <w:sz w:val="15"/>
        </w:rPr>
        <w:t xml:space="preserve"> </w:t>
        <w:br/>
      </w:r>
      <w:r>
        <w:rPr>
          <w:rFonts w:ascii="Courier New" w:hAnsi="Courier New"/>
          <w:sz w:val="15"/>
        </w:rPr>
        <w:t>def predict(features):</w:t>
        <w:br/>
      </w:r>
      <w:r>
        <w:rPr>
          <w:rFonts w:ascii="Courier New" w:hAnsi="Courier New"/>
          <w:sz w:val="15"/>
        </w:rPr>
        <w:t xml:space="preserve">    _load()</w:t>
        <w:br/>
      </w:r>
      <w:r>
        <w:rPr>
          <w:rFonts w:ascii="Courier New" w:hAnsi="Courier New"/>
          <w:sz w:val="15"/>
        </w:rPr>
        <w:t xml:space="preserve">    X = np.asarray(features, dtype=np.float32)</w:t>
        <w:br/>
      </w:r>
      <w:r>
        <w:rPr>
          <w:rFonts w:ascii="Courier New" w:hAnsi="Courier New"/>
          <w:sz w:val="15"/>
        </w:rPr>
        <w:t xml:space="preserve">    if X.ndim == 1:</w:t>
        <w:br/>
      </w:r>
      <w:r>
        <w:rPr>
          <w:rFonts w:ascii="Courier New" w:hAnsi="Courier New"/>
          <w:sz w:val="15"/>
        </w:rPr>
        <w:t xml:space="preserve">        X = X.reshape(1, -1)</w:t>
        <w:br/>
      </w:r>
      <w:r>
        <w:rPr>
          <w:rFonts w:ascii="Courier New" w:hAnsi="Courier New"/>
          <w:sz w:val="15"/>
        </w:rPr>
        <w:t xml:space="preserve">    if X.shape[1] != len(_mean):</w:t>
        <w:br/>
      </w:r>
      <w:r>
        <w:rPr>
          <w:rFonts w:ascii="Courier New" w:hAnsi="Courier New"/>
          <w:sz w:val="15"/>
        </w:rPr>
        <w:t xml:space="preserve">        raise ValueError(f"Expected {len(_mean)} features, got {X.shape[1]}")</w:t>
        <w:br/>
      </w:r>
      <w:r>
        <w:rPr>
          <w:rFonts w:ascii="Courier New" w:hAnsi="Courier New"/>
          <w:sz w:val="15"/>
        </w:rPr>
        <w:t xml:space="preserve"> </w:t>
        <w:br/>
      </w:r>
      <w:r>
        <w:rPr>
          <w:rFonts w:ascii="Courier New" w:hAnsi="Courier New"/>
          <w:sz w:val="15"/>
        </w:rPr>
        <w:t xml:space="preserve">    X = ((X - _mean) / _scale).astype(np.float32)</w:t>
        <w:br/>
      </w:r>
      <w:r>
        <w:rPr>
          <w:rFonts w:ascii="Courier New" w:hAnsi="Courier New"/>
          <w:sz w:val="15"/>
        </w:rPr>
        <w:t xml:space="preserve"> </w:t>
        <w:br/>
      </w:r>
      <w:r>
        <w:rPr>
          <w:rFonts w:ascii="Courier New" w:hAnsi="Courier New"/>
          <w:sz w:val="15"/>
        </w:rPr>
        <w:t xml:space="preserve">    input_name = _session.get_inputs()[0].name</w:t>
        <w:br/>
      </w:r>
      <w:r>
        <w:rPr>
          <w:rFonts w:ascii="Courier New" w:hAnsi="Courier New"/>
          <w:sz w:val="15"/>
        </w:rPr>
        <w:t xml:space="preserve">    outputs = _session.run(None, {input_name: X})</w:t>
        <w:br/>
      </w:r>
      <w:r>
        <w:rPr>
          <w:rFonts w:ascii="Courier New" w:hAnsi="Courier New"/>
          <w:sz w:val="15"/>
        </w:rPr>
        <w:t xml:space="preserve">    proba = _probabilities(outputs[1])</w:t>
        <w:br/>
      </w:r>
      <w:r>
        <w:rPr>
          <w:rFonts w:ascii="Courier New" w:hAnsi="Courier New"/>
          <w:sz w:val="15"/>
        </w:rPr>
        <w:t xml:space="preserve"> </w:t>
        <w:br/>
      </w:r>
      <w:r>
        <w:rPr>
          <w:rFonts w:ascii="Courier New" w:hAnsi="Courier New"/>
          <w:sz w:val="15"/>
        </w:rPr>
        <w:t xml:space="preserve">    masked = proba.copy()</w:t>
        <w:br/>
      </w:r>
      <w:r>
        <w:rPr>
          <w:rFonts w:ascii="Courier New" w:hAnsi="Courier New"/>
          <w:sz w:val="15"/>
        </w:rPr>
        <w:t xml:space="preserve">    masked[:, BOTS_IDX] = -np.inf</w:t>
        <w:br/>
      </w:r>
      <w:r>
        <w:rPr>
          <w:rFonts w:ascii="Courier New" w:hAnsi="Courier New"/>
          <w:sz w:val="15"/>
        </w:rPr>
        <w:t xml:space="preserve">    fallback = masked.argmax(axis=1)</w:t>
        <w:br/>
      </w:r>
      <w:r>
        <w:rPr>
          <w:rFonts w:ascii="Courier New" w:hAnsi="Courier New"/>
          <w:sz w:val="15"/>
        </w:rPr>
        <w:t xml:space="preserve">    labels = np.where(proba[:, BOTS_IDX] &gt;= BOTS_THRESHOLD, BOTS_IDX, fallback)</w:t>
        <w:br/>
      </w:r>
      <w:r>
        <w:rPr>
          <w:rFonts w:ascii="Courier New" w:hAnsi="Courier New"/>
          <w:sz w:val="15"/>
        </w:rPr>
        <w:t xml:space="preserve"> </w:t>
        <w:br/>
      </w:r>
      <w:r>
        <w:rPr>
          <w:rFonts w:ascii="Courier New" w:hAnsi="Courier New"/>
          <w:sz w:val="15"/>
        </w:rPr>
        <w:t xml:space="preserve">    return [</w:t>
        <w:br/>
      </w:r>
      <w:r>
        <w:rPr>
          <w:rFonts w:ascii="Courier New" w:hAnsi="Courier New"/>
          <w:sz w:val="15"/>
        </w:rPr>
        <w:t xml:space="preserve">        {</w:t>
        <w:br/>
      </w:r>
      <w:r>
        <w:rPr>
          <w:rFonts w:ascii="Courier New" w:hAnsi="Courier New"/>
          <w:sz w:val="15"/>
        </w:rPr>
        <w:t xml:space="preserve">            "prediction": CLASSES[int(i)],</w:t>
        <w:br/>
      </w:r>
      <w:r>
        <w:rPr>
          <w:rFonts w:ascii="Courier New" w:hAnsi="Courier New"/>
          <w:sz w:val="15"/>
        </w:rPr>
        <w:t xml:space="preserve">            "confidence": round(float(proba[n, int(i)]), 6),</w:t>
        <w:br/>
      </w:r>
      <w:r>
        <w:rPr>
          <w:rFonts w:ascii="Courier New" w:hAnsi="Courier New"/>
          <w:sz w:val="15"/>
        </w:rPr>
        <w:t xml:space="preserve">            "is_attack": CLASSES[int(i)] != "Normal Traffic",</w:t>
        <w:br/>
      </w:r>
      <w:r>
        <w:rPr>
          <w:rFonts w:ascii="Courier New" w:hAnsi="Courier New"/>
          <w:sz w:val="15"/>
        </w:rPr>
        <w:t xml:space="preserve">        }</w:t>
        <w:br/>
      </w:r>
      <w:r>
        <w:rPr>
          <w:rFonts w:ascii="Courier New" w:hAnsi="Courier New"/>
          <w:sz w:val="15"/>
        </w:rPr>
        <w:t xml:space="preserve">        for n, i in enumerate(labels)</w:t>
        <w:br/>
      </w:r>
      <w:r>
        <w:rPr>
          <w:rFonts w:ascii="Courier New" w:hAnsi="Courier New"/>
          <w:sz w:val="15"/>
        </w:rPr>
        <w:t xml:space="preserve">    ]</w:t>
        <w:br/>
      </w:r>
      <w:r>
        <w:rPr>
          <w:rFonts w:ascii="Courier New" w:hAnsi="Courier New"/>
          <w:sz w:val="15"/>
        </w:rPr>
        <w:t xml:space="preserve"> </w:t>
        <w:br/>
      </w:r>
      <w:r>
        <w:rPr>
          <w:rFonts w:ascii="Courier New" w:hAnsi="Courier New"/>
          <w:sz w:val="15"/>
        </w:rPr>
        <w:t xml:space="preserve"> </w:t>
        <w:br/>
      </w:r>
      <w:r>
        <w:rPr>
          <w:rFonts w:ascii="Courier New" w:hAnsi="Courier New"/>
          <w:sz w:val="15"/>
        </w:rPr>
        <w:t>def lambda_handler(event, context):</w:t>
        <w:br/>
      </w:r>
      <w:r>
        <w:rPr>
          <w:rFonts w:ascii="Courier New" w:hAnsi="Courier New"/>
          <w:sz w:val="15"/>
        </w:rPr>
        <w:t xml:space="preserve">    try:</w:t>
        <w:br/>
      </w:r>
      <w:r>
        <w:rPr>
          <w:rFonts w:ascii="Courier New" w:hAnsi="Courier New"/>
          <w:sz w:val="15"/>
        </w:rPr>
        <w:t xml:space="preserve">        body = event.get("body", event)</w:t>
        <w:br/>
      </w:r>
      <w:r>
        <w:rPr>
          <w:rFonts w:ascii="Courier New" w:hAnsi="Courier New"/>
          <w:sz w:val="15"/>
        </w:rPr>
        <w:t xml:space="preserve">        if isinstance(body, str):</w:t>
        <w:br/>
      </w:r>
      <w:r>
        <w:rPr>
          <w:rFonts w:ascii="Courier New" w:hAnsi="Courier New"/>
          <w:sz w:val="15"/>
        </w:rPr>
        <w:t xml:space="preserve">            body = json.loads(body)</w:t>
        <w:br/>
      </w:r>
      <w:r>
        <w:rPr>
          <w:rFonts w:ascii="Courier New" w:hAnsi="Courier New"/>
          <w:sz w:val="15"/>
        </w:rPr>
        <w:t xml:space="preserve"> </w:t>
        <w:br/>
      </w:r>
      <w:r>
        <w:rPr>
          <w:rFonts w:ascii="Courier New" w:hAnsi="Courier New"/>
          <w:sz w:val="15"/>
        </w:rPr>
        <w:t xml:space="preserve">        features = body.get("features")</w:t>
        <w:br/>
      </w:r>
      <w:r>
        <w:rPr>
          <w:rFonts w:ascii="Courier New" w:hAnsi="Courier New"/>
          <w:sz w:val="15"/>
        </w:rPr>
        <w:t xml:space="preserve">        if features is None:</w:t>
        <w:br/>
      </w:r>
      <w:r>
        <w:rPr>
          <w:rFonts w:ascii="Courier New" w:hAnsi="Courier New"/>
          <w:sz w:val="15"/>
        </w:rPr>
        <w:t xml:space="preserve">            return {"statusCode": 400,</w:t>
        <w:br/>
      </w:r>
      <w:r>
        <w:rPr>
          <w:rFonts w:ascii="Courier New" w:hAnsi="Courier New"/>
          <w:sz w:val="15"/>
        </w:rPr>
        <w:t xml:space="preserve">                    "body": json.dumps({"error": "Missing 'features'"})}</w:t>
        <w:br/>
      </w:r>
      <w:r>
        <w:rPr>
          <w:rFonts w:ascii="Courier New" w:hAnsi="Courier New"/>
          <w:sz w:val="15"/>
        </w:rPr>
        <w:t xml:space="preserve"> </w:t>
        <w:br/>
      </w:r>
      <w:r>
        <w:rPr>
          <w:rFonts w:ascii="Courier New" w:hAnsi="Courier New"/>
          <w:sz w:val="15"/>
        </w:rPr>
        <w:t xml:space="preserve">        results = predict(features)</w:t>
        <w:br/>
      </w:r>
      <w:r>
        <w:rPr>
          <w:rFonts w:ascii="Courier New" w:hAnsi="Courier New"/>
          <w:sz w:val="15"/>
        </w:rPr>
        <w:t xml:space="preserve">        n_attacks = sum(r["is_attack"] for r in results)</w:t>
        <w:br/>
      </w:r>
      <w:r>
        <w:rPr>
          <w:rFonts w:ascii="Courier New" w:hAnsi="Courier New"/>
          <w:sz w:val="15"/>
        </w:rPr>
        <w:t xml:space="preserve"> </w:t>
        <w:br/>
      </w:r>
      <w:r>
        <w:rPr>
          <w:rFonts w:ascii="Courier New" w:hAnsi="Courier New"/>
          <w:sz w:val="15"/>
        </w:rPr>
        <w:t xml:space="preserve">        return {</w:t>
        <w:br/>
      </w:r>
      <w:r>
        <w:rPr>
          <w:rFonts w:ascii="Courier New" w:hAnsi="Courier New"/>
          <w:sz w:val="15"/>
        </w:rPr>
        <w:t xml:space="preserve">            "statusCode": 200,</w:t>
        <w:br/>
      </w:r>
      <w:r>
        <w:rPr>
          <w:rFonts w:ascii="Courier New" w:hAnsi="Courier New"/>
          <w:sz w:val="15"/>
        </w:rPr>
        <w:t xml:space="preserve">            "headers": {"Content-Type": "application/json"},</w:t>
        <w:br/>
      </w:r>
      <w:r>
        <w:rPr>
          <w:rFonts w:ascii="Courier New" w:hAnsi="Courier New"/>
          <w:sz w:val="15"/>
        </w:rPr>
        <w:t xml:space="preserve">            "body": json.dumps({"results": results,</w:t>
        <w:br/>
      </w:r>
      <w:r>
        <w:rPr>
          <w:rFonts w:ascii="Courier New" w:hAnsi="Courier New"/>
          <w:sz w:val="15"/>
        </w:rPr>
        <w:t xml:space="preserve">                                "flows_scored": len(results),</w:t>
        <w:br/>
      </w:r>
      <w:r>
        <w:rPr>
          <w:rFonts w:ascii="Courier New" w:hAnsi="Courier New"/>
          <w:sz w:val="15"/>
        </w:rPr>
        <w:t xml:space="preserve">                                "attacks_detected": n_attacks}),</w:t>
        <w:br/>
      </w:r>
      <w:r>
        <w:rPr>
          <w:rFonts w:ascii="Courier New" w:hAnsi="Courier New"/>
          <w:sz w:val="15"/>
        </w:rPr>
        <w:t xml:space="preserve">        }</w:t>
        <w:br/>
      </w:r>
      <w:r>
        <w:rPr>
          <w:rFonts w:ascii="Courier New" w:hAnsi="Courier New"/>
          <w:sz w:val="15"/>
        </w:rPr>
        <w:t xml:space="preserve">    except ValueError as e:</w:t>
        <w:br/>
      </w:r>
      <w:r>
        <w:rPr>
          <w:rFonts w:ascii="Courier New" w:hAnsi="Courier New"/>
          <w:sz w:val="15"/>
        </w:rPr>
        <w:t xml:space="preserve">        return {"statusCode": 400, "body": json.dumps({"error": str(e)})}</w:t>
        <w:br/>
      </w:r>
      <w:r>
        <w:rPr>
          <w:rFonts w:ascii="Courier New" w:hAnsi="Courier New"/>
          <w:sz w:val="15"/>
        </w:rPr>
        <w:t xml:space="preserve">    except Exception:</w:t>
        <w:br/>
      </w:r>
      <w:r>
        <w:rPr>
          <w:rFonts w:ascii="Courier New" w:hAnsi="Courier New"/>
          <w:sz w:val="15"/>
        </w:rPr>
        <w:t xml:space="preserve">        logger.exception("Inference failed")</w:t>
        <w:br/>
      </w:r>
      <w:r>
        <w:rPr>
          <w:rFonts w:ascii="Courier New" w:hAnsi="Courier New"/>
          <w:sz w:val="15"/>
        </w:rPr>
        <w:t xml:space="preserve">        return {"statusCode": 500,</w:t>
        <w:br/>
      </w:r>
      <w:r>
        <w:rPr>
          <w:rFonts w:ascii="Courier New" w:hAnsi="Courier New"/>
          <w:sz w:val="15"/>
        </w:rPr>
        <w:t xml:space="preserve">                "body": json.dumps({"error": "Internal error"})}</w:t>
      </w:r>
    </w:p>
    <w:p>
      <w:pPr/>
    </w:p>
    <w:p>
      <w:pPr>
        <w:jc w:val="both"/>
      </w:pPr>
      <w:r>
        <w:t>The second excerpt is the core of src/experiment_evasion_semantic.py (E6): the function that recomputes every dependent feature consistently from the two physically realisable attacker knobs, time_scale and pad_bytes (Section: Adversarial evaluation, Project Development).</w:t>
      </w:r>
    </w:p>
    <w:p>
      <w:pPr>
        <w:pStyle w:val="Caption"/>
        <w:jc w:val="center"/>
      </w:pPr>
      <w:r>
        <w:t>Listing E2. src/experiment_evasion_semantic.py — apply_attack().</w:t>
      </w:r>
    </w:p>
    <w:p>
      <w:pPr>
        <w:shd w:val="clear" w:color="auto" w:fill="F2F2F2"/>
        <w:ind w:left="216"/>
        <w:jc w:val="left"/>
      </w:pPr>
      <w:r>
        <w:rPr>
          <w:rFonts w:ascii="Courier New" w:hAnsi="Courier New"/>
          <w:sz w:val="15"/>
        </w:rPr>
        <w:t>def apply_attack(raw_batch, idx, time_scale, pad_bytes):</w:t>
        <w:br/>
      </w:r>
      <w:r>
        <w:rPr>
          <w:rFonts w:ascii="Courier New" w:hAnsi="Courier New"/>
          <w:sz w:val="15"/>
        </w:rPr>
        <w:t xml:space="preserve">    """</w:t>
        <w:br/>
      </w:r>
      <w:r>
        <w:rPr>
          <w:rFonts w:ascii="Courier New" w:hAnsi="Courier New"/>
          <w:sz w:val="15"/>
        </w:rPr>
        <w:t xml:space="preserve">    Apply a physically consistent transformation to a batch of raw flows.</w:t>
        <w:br/>
      </w:r>
      <w:r>
        <w:rPr>
          <w:rFonts w:ascii="Courier New" w:hAnsi="Courier New"/>
          <w:sz w:val="15"/>
        </w:rPr>
        <w:t xml:space="preserve">    raw_batch: (n, n_features) in original units.</w:t>
        <w:br/>
      </w:r>
      <w:r>
        <w:rPr>
          <w:rFonts w:ascii="Courier New" w:hAnsi="Courier New"/>
          <w:sz w:val="15"/>
        </w:rPr>
        <w:t xml:space="preserve">    """</w:t>
        <w:br/>
      </w:r>
      <w:r>
        <w:rPr>
          <w:rFonts w:ascii="Courier New" w:hAnsi="Courier New"/>
          <w:sz w:val="15"/>
        </w:rPr>
        <w:t xml:space="preserve">    out = raw_batch.copy()</w:t>
        <w:br/>
      </w:r>
      <w:r>
        <w:rPr>
          <w:rFonts w:ascii="Courier New" w:hAnsi="Courier New"/>
          <w:sz w:val="15"/>
        </w:rPr>
        <w:t xml:space="preserve"> </w:t>
        <w:br/>
      </w:r>
      <w:r>
        <w:rPr>
          <w:rFonts w:ascii="Courier New" w:hAnsi="Courier New"/>
          <w:sz w:val="15"/>
        </w:rPr>
        <w:t xml:space="preserve">    if time_scale != 1.0:</w:t>
        <w:br/>
      </w:r>
      <w:r>
        <w:rPr>
          <w:rFonts w:ascii="Courier New" w:hAnsi="Courier New"/>
          <w:sz w:val="15"/>
        </w:rPr>
        <w:t xml:space="preserve">        for f in TIME_FEATURES:</w:t>
        <w:br/>
      </w:r>
      <w:r>
        <w:rPr>
          <w:rFonts w:ascii="Courier New" w:hAnsi="Courier New"/>
          <w:sz w:val="15"/>
        </w:rPr>
        <w:t xml:space="preserve">            if f in idx:</w:t>
        <w:br/>
      </w:r>
      <w:r>
        <w:rPr>
          <w:rFonts w:ascii="Courier New" w:hAnsi="Courier New"/>
          <w:sz w:val="15"/>
        </w:rPr>
        <w:t xml:space="preserve">                out[:, idx[f]] *= time_scale</w:t>
        <w:br/>
      </w:r>
      <w:r>
        <w:rPr>
          <w:rFonts w:ascii="Courier New" w:hAnsi="Courier New"/>
          <w:sz w:val="15"/>
        </w:rPr>
        <w:t xml:space="preserve">        for f in RATE_FEATURES:</w:t>
        <w:br/>
      </w:r>
      <w:r>
        <w:rPr>
          <w:rFonts w:ascii="Courier New" w:hAnsi="Courier New"/>
          <w:sz w:val="15"/>
        </w:rPr>
        <w:t xml:space="preserve">            if f in idx:</w:t>
        <w:br/>
      </w:r>
      <w:r>
        <w:rPr>
          <w:rFonts w:ascii="Courier New" w:hAnsi="Courier New"/>
          <w:sz w:val="15"/>
        </w:rPr>
        <w:t xml:space="preserve">                out[:, idx[f]] /= time_scale</w:t>
        <w:br/>
      </w:r>
      <w:r>
        <w:rPr>
          <w:rFonts w:ascii="Courier New" w:hAnsi="Courier New"/>
          <w:sz w:val="15"/>
        </w:rPr>
        <w:t xml:space="preserve"> </w:t>
        <w:br/>
      </w:r>
      <w:r>
        <w:rPr>
          <w:rFonts w:ascii="Courier New" w:hAnsi="Courier New"/>
          <w:sz w:val="15"/>
        </w:rPr>
        <w:t xml:space="preserve">    if pad_bytes &gt; 0:</w:t>
        <w:br/>
      </w:r>
      <w:r>
        <w:rPr>
          <w:rFonts w:ascii="Courier New" w:hAnsi="Courier New"/>
          <w:sz w:val="15"/>
        </w:rPr>
        <w:t xml:space="preserve">        n_fwd = out[:, idx["Total Fwd Packets"]] if "Total Fwd Packets" in idx else None</w:t>
        <w:br/>
      </w:r>
      <w:r>
        <w:rPr>
          <w:rFonts w:ascii="Courier New" w:hAnsi="Courier New"/>
          <w:sz w:val="15"/>
        </w:rPr>
        <w:t xml:space="preserve">        for f in FWD_LEN_FEATURES:</w:t>
        <w:br/>
      </w:r>
      <w:r>
        <w:rPr>
          <w:rFonts w:ascii="Courier New" w:hAnsi="Courier New"/>
          <w:sz w:val="15"/>
        </w:rPr>
        <w:t xml:space="preserve">            if f in idx:</w:t>
        <w:br/>
      </w:r>
      <w:r>
        <w:rPr>
          <w:rFonts w:ascii="Courier New" w:hAnsi="Courier New"/>
          <w:sz w:val="15"/>
        </w:rPr>
        <w:t xml:space="preserve">                out[:, idx[f]] += pad_bytes</w:t>
        <w:br/>
      </w:r>
      <w:r>
        <w:rPr>
          <w:rFonts w:ascii="Courier New" w:hAnsi="Courier New"/>
          <w:sz w:val="15"/>
        </w:rPr>
        <w:t xml:space="preserve">        if n_fwd is not None:</w:t>
        <w:br/>
      </w:r>
      <w:r>
        <w:rPr>
          <w:rFonts w:ascii="Courier New" w:hAnsi="Courier New"/>
          <w:sz w:val="15"/>
        </w:rPr>
        <w:t xml:space="preserve">            for f in FWD_TOTAL_FEATURES:</w:t>
        <w:br/>
      </w:r>
      <w:r>
        <w:rPr>
          <w:rFonts w:ascii="Courier New" w:hAnsi="Courier New"/>
          <w:sz w:val="15"/>
        </w:rPr>
        <w:t xml:space="preserve">                if f in idx:</w:t>
        <w:br/>
      </w:r>
      <w:r>
        <w:rPr>
          <w:rFonts w:ascii="Courier New" w:hAnsi="Courier New"/>
          <w:sz w:val="15"/>
        </w:rPr>
        <w:t xml:space="preserve">                    out[:, idx[f]] += pad_bytes * n_fwd</w:t>
        <w:br/>
      </w:r>
      <w:r>
        <w:rPr>
          <w:rFonts w:ascii="Courier New" w:hAnsi="Courier New"/>
          <w:sz w:val="15"/>
        </w:rPr>
        <w:t xml:space="preserve">        # Mixed-direction statistics shift by the forward share of packets</w:t>
        <w:br/>
      </w:r>
      <w:r>
        <w:rPr>
          <w:rFonts w:ascii="Courier New" w:hAnsi="Courier New"/>
          <w:sz w:val="15"/>
        </w:rPr>
        <w:t xml:space="preserve">        if n_fwd is not None and "Bwd Packets/s" in idx:</w:t>
        <w:br/>
      </w:r>
      <w:r>
        <w:rPr>
          <w:rFonts w:ascii="Courier New" w:hAnsi="Courier New"/>
          <w:sz w:val="15"/>
        </w:rPr>
        <w:t xml:space="preserve">            total_pkts = np.maximum(n_fwd + 1.0, 1.0)</w:t>
        <w:br/>
      </w:r>
      <w:r>
        <w:rPr>
          <w:rFonts w:ascii="Courier New" w:hAnsi="Courier New"/>
          <w:sz w:val="15"/>
        </w:rPr>
        <w:t xml:space="preserve">            share = n_fwd / total_pkts</w:t>
        <w:br/>
      </w:r>
      <w:r>
        <w:rPr>
          <w:rFonts w:ascii="Courier New" w:hAnsi="Courier New"/>
          <w:sz w:val="15"/>
        </w:rPr>
        <w:t xml:space="preserve">            for f in MIXED_LEN_FEATURES:</w:t>
        <w:br/>
      </w:r>
      <w:r>
        <w:rPr>
          <w:rFonts w:ascii="Courier New" w:hAnsi="Courier New"/>
          <w:sz w:val="15"/>
        </w:rPr>
        <w:t xml:space="preserve">                if f in idx:</w:t>
        <w:br/>
      </w:r>
      <w:r>
        <w:rPr>
          <w:rFonts w:ascii="Courier New" w:hAnsi="Courier New"/>
          <w:sz w:val="15"/>
        </w:rPr>
        <w:t xml:space="preserve">                    out[:, idx[f]] += pad_bytes * share</w:t>
        <w:br/>
      </w:r>
      <w:r>
        <w:rPr>
          <w:rFonts w:ascii="Courier New" w:hAnsi="Courier New"/>
          <w:sz w:val="15"/>
        </w:rPr>
        <w:t xml:space="preserve">        # Padding lengthens the flow in bytes, so byte rate rises</w:t>
        <w:br/>
      </w:r>
      <w:r>
        <w:rPr>
          <w:rFonts w:ascii="Courier New" w:hAnsi="Courier New"/>
          <w:sz w:val="15"/>
        </w:rPr>
        <w:t xml:space="preserve">        if "Flow Bytes/s" in idx and "Flow Duration" in idx:</w:t>
        <w:br/>
      </w:r>
      <w:r>
        <w:rPr>
          <w:rFonts w:ascii="Courier New" w:hAnsi="Courier New"/>
          <w:sz w:val="15"/>
        </w:rPr>
        <w:t xml:space="preserve">            dur_s = np.maximum(out[:, idx["Flow Duration"]] / 1e6, 1e-6)</w:t>
        <w:br/>
      </w:r>
      <w:r>
        <w:rPr>
          <w:rFonts w:ascii="Courier New" w:hAnsi="Courier New"/>
          <w:sz w:val="15"/>
        </w:rPr>
        <w:t xml:space="preserve">            if n_fwd is not None:</w:t>
        <w:br/>
      </w:r>
      <w:r>
        <w:rPr>
          <w:rFonts w:ascii="Courier New" w:hAnsi="Courier New"/>
          <w:sz w:val="15"/>
        </w:rPr>
        <w:t xml:space="preserve">                out[:, idx["Flow Bytes/s"]] += (pad_bytes * n_fwd) / dur_s</w:t>
        <w:br/>
      </w:r>
      <w:r>
        <w:rPr>
          <w:rFonts w:ascii="Courier New" w:hAnsi="Courier New"/>
          <w:sz w:val="15"/>
        </w:rPr>
        <w:t xml:space="preserve"> </w:t>
        <w:br/>
      </w:r>
      <w:r>
        <w:rPr>
          <w:rFonts w:ascii="Courier New" w:hAnsi="Courier New"/>
          <w:sz w:val="15"/>
        </w:rPr>
        <w:t xml:space="preserve">    return np.maximum(out, 0.0)</w:t>
      </w:r>
    </w:p>
    <w:p>
      <w:pPr/>
    </w:p>
    <w:p>
      <w:pPr>
        <w:pStyle w:val="Heading2"/>
      </w:pPr>
      <w:r>
        <w:rPr>
          <w:rFonts w:ascii="Arial" w:hAnsi="Arial"/>
          <w:sz w:val="28"/>
        </w:rPr>
        <w:t xml:space="preserve">Appendix F: Ethics approval</w:t>
      </w:r>
    </w:p>
    <w:p>
      <w:pPr/>
      <w:r>
        <w:rPr>
          <w:rFonts w:ascii="Arial" w:hAnsi="Arial"/>
          <w:sz w:val="24"/>
        </w:rPr>
        <w:t xml:space="preserve">[Content.]</w:t>
      </w:r>
    </w:p>
    <w:p>
      <w:r>
        <w:br w:type="page"/>
      </w:r>
    </w:p>
    <w:sectPr>
      <w:footerReference w:type="default" r:id="rIdFtrB"/>
      <w:pgSz w:w="11906" w:h="16838"/>
      <w:pgMar w:top="1440" w:right="1440" w:bottom="1440" w:left="1440" w:header="708" w:footer="708" w:gutter="0"/>
      <w:pgNumType w:fmt="decimal"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4131" w:rsidRDefault="008A4131" w:rsidP="002D1619">
      <w:pPr>
        <w:spacing w:after="0" w:line="240" w:lineRule="auto"/>
      </w:pPr>
      <w:r>
        <w:separator/>
      </w:r>
    </w:p>
  </w:endnote>
  <w:endnote w:type="continuationSeparator" w:id="0">
    <w:p w:rsidR="008A4131" w:rsidRDefault="008A4131"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http://schemas.openxmlformats.org/wordprocessingml/2006/main">
  <w:p>
    <w:pPr>
      <w:jc w:val="center"/>
    </w:pPr>
    <w:r>
      <w:rPr>
        <w:rFonts w:ascii="Arial" w:hAnsi="Arial"/>
        <w:sz w:val="20"/>
      </w:rPr>
      <w:fldChar w:fldCharType="begin"/>
    </w:r>
    <w:r>
      <w:rPr>
        <w:rFonts w:ascii="Arial" w:hAnsi="Arial"/>
        <w:sz w:val="20"/>
      </w:rPr>
      <w:instrText xml:space="preserve"> PAGE \* roman </w:instrText>
    </w:r>
    <w:r>
      <w:rPr>
        <w:rFonts w:ascii="Arial" w:hAnsi="Arial"/>
        <w:sz w:val="20"/>
      </w:rPr>
      <w:fldChar w:fldCharType="separate"/>
    </w:r>
    <w:r>
      <w:rPr>
        <w:rFonts w:ascii="Arial" w:hAnsi="Arial"/>
        <w:sz w:val="20"/>
      </w:rPr>
      <w:t>i</w:t>
    </w:r>
    <w:r>
      <w:rPr>
        <w:rFonts w:ascii="Arial" w:hAnsi="Arial"/>
        <w:sz w:val="20"/>
      </w:rPr>
      <w:fldChar w:fldCharType="end"/>
    </w:r>
  </w:p>
</w:ftr>
</file>

<file path=word/footer2.xml><?xml version="1.0" encoding="utf-8"?>
<w:ftr xmlns:w="http://schemas.openxmlformats.org/wordprocessingml/2006/main">
  <w:p>
    <w:pPr>
      <w:jc w:val="center"/>
    </w:pP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sz w:val="20"/>
      </w:rPr>
      <w:t>1</w:t>
    </w:r>
    <w:r>
      <w:rPr>
        <w:rFonts w:ascii="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4131" w:rsidRDefault="008A4131" w:rsidP="002D1619">
      <w:pPr>
        <w:spacing w:after="0" w:line="240" w:lineRule="auto"/>
      </w:pPr>
      <w:r>
        <w:separator/>
      </w:r>
    </w:p>
  </w:footnote>
  <w:footnote w:type="continuationSeparator" w:id="0">
    <w:p w:rsidR="008A4131" w:rsidRDefault="008A4131"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619" w:rsidRDefault="00874161" w:rsidP="00874161">
    <w:pPr>
      <w:pStyle w:val="Header"/>
      <w:jc w:val="right"/>
    </w:pPr>
    <w:r>
      <w:rPr>
        <w:noProof/>
        <w:lang w:eastAsia="en-GB"/>
      </w:rPr>
      <w:drawing>
        <wp:anchor distT="0" distB="0" distL="114300" distR="114300" simplePos="0" relativeHeight="251658240" behindDoc="1" locked="0" layoutInCell="1" allowOverlap="1">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1619" w:rsidRDefault="002D161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4"/>
  <w:proofState w:spelling="clean"/>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1315DA"/>
    <w:rsid w:val="001C7B66"/>
    <w:rsid w:val="001F27D4"/>
    <w:rsid w:val="002D1619"/>
    <w:rsid w:val="00384E4C"/>
    <w:rsid w:val="0045697C"/>
    <w:rsid w:val="00485CD6"/>
    <w:rsid w:val="0053670D"/>
    <w:rsid w:val="00561A67"/>
    <w:rsid w:val="00670367"/>
    <w:rsid w:val="006F7A04"/>
    <w:rsid w:val="00760216"/>
    <w:rsid w:val="00771BC5"/>
    <w:rsid w:val="00792A43"/>
    <w:rsid w:val="00792EA5"/>
    <w:rsid w:val="00874161"/>
    <w:rsid w:val="008A4131"/>
    <w:rsid w:val="008C0330"/>
    <w:rsid w:val="008F3E9E"/>
    <w:rsid w:val="00A7468E"/>
    <w:rsid w:val="00A91CFF"/>
    <w:rsid w:val="00B05C40"/>
    <w:rsid w:val="00C150C0"/>
    <w:rsid w:val="00C66F50"/>
    <w:rsid w:val="00C87D60"/>
    <w:rsid w:val="00D02BD5"/>
    <w:rsid w:val="00D35D6D"/>
    <w:rsid w:val="00ED1E9F"/>
    <w:rsid w:val="00F74267"/>
    <w:rsid w:val="00F80BFC"/>
    <w:rsid w:val="00F86934"/>
    <w:rsid w:val="00FC7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BF2F66"/>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line="480" w:lineRule="auto"/>
      <w:jc w:val="both"/>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Heading1">
    <w:name w:val="heading 1"/>
    <w:basedOn w:val="Normal"/>
    <w:next w:val="Normal"/>
    <w:qFormat/>
    <w:pPr>
      <w:keepNext/>
      <w:keepLines/>
      <w:spacing w:before="480" w:after="240" w:line="480" w:lineRule="auto"/>
      <w:jc w:val="left"/>
      <w:outlineLvl w:val="0"/>
    </w:pPr>
    <w:rPr>
      <w:rFonts w:ascii="Arial" w:hAnsi="Arial"/>
      <w:b/>
      <w:sz w:val="32"/>
      <w:szCs w:val="32"/>
    </w:rPr>
  </w:style>
  <w:style w:type="paragraph" w:styleId="Heading2">
    <w:name w:val="heading 2"/>
    <w:basedOn w:val="Normal"/>
    <w:next w:val="Normal"/>
    <w:qFormat/>
    <w:pPr>
      <w:keepNext/>
      <w:keepLines/>
      <w:spacing w:before="360" w:after="240" w:line="480" w:lineRule="auto"/>
      <w:jc w:val="left"/>
      <w:outlineLvl w:val="1"/>
    </w:pPr>
    <w:rPr>
      <w:rFonts w:ascii="Arial" w:hAnsi="Arial"/>
      <w:b/>
      <w:sz w:val="28"/>
      <w:szCs w:val="28"/>
    </w:rPr>
  </w:style>
  <w:style w:type="paragraph" w:styleId="Heading3">
    <w:name w:val="heading 3"/>
    <w:basedOn w:val="Normal"/>
    <w:next w:val="Normal"/>
    <w:qFormat/>
    <w:pPr>
      <w:keepNext/>
      <w:keepLines/>
      <w:spacing w:before="280" w:after="240" w:line="480" w:lineRule="auto"/>
      <w:jc w:val="left"/>
      <w:outlineLvl w:val="2"/>
    </w:pPr>
    <w:rPr>
      <w:rFonts w:ascii="Arial" w:hAnsi="Arial"/>
      <w:b/>
      <w:sz w:val="24"/>
      <w:szCs w:val="24"/>
    </w:rPr>
  </w:style>
  <w:style w:type="paragraph" w:styleId="Caption">
    <w:name w:val="caption"/>
    <w:basedOn w:val="Normal"/>
    <w:qFormat/>
    <w:pPr>
      <w:spacing w:before="120" w:after="240" w:line="240" w:lineRule="auto"/>
      <w:jc w:val="left"/>
    </w:pPr>
    <w:rPr>
      <w:rFonts w:ascii="Arial" w:hAnsi="Arial"/>
      <w:b/>
      <w:sz w:val="20"/>
      <w:szCs w:val="20"/>
    </w:rPr>
  </w:style>
  <w:style w:type="paragraph" w:styleId="TOCHeading">
    <w:name w:val="TOC Heading"/>
    <w:basedOn w:val="Heading1"/>
    <w:next w:val="Normal"/>
    <w:qFormat/>
    <w:pPr>
      <w:outlineLvl w:val="9"/>
    </w:pPr>
  </w:style>
  <w:style w:type="paragraph" w:styleId="TOC1">
    <w:name w:val="toc 1"/>
    <w:basedOn w:val="Normal"/>
    <w:pPr>
      <w:tabs>
        <w:tab w:val="right" w:leader="dot" w:pos="9026"/>
      </w:tabs>
      <w:spacing w:after="60" w:line="276" w:lineRule="auto"/>
      <w:ind w:left="0"/>
      <w:jc w:val="left"/>
    </w:pPr>
  </w:style>
  <w:style w:type="paragraph" w:styleId="TOC2">
    <w:name w:val="toc 2"/>
    <w:basedOn w:val="Normal"/>
    <w:pPr>
      <w:tabs>
        <w:tab w:val="right" w:leader="dot" w:pos="9026"/>
      </w:tabs>
      <w:spacing w:after="60" w:line="276" w:lineRule="auto"/>
      <w:ind w:left="284"/>
      <w:jc w:val="left"/>
    </w:pPr>
  </w:style>
  <w:style w:type="paragraph" w:styleId="TOC3">
    <w:name w:val="toc 3"/>
    <w:basedOn w:val="Normal"/>
    <w:pPr>
      <w:tabs>
        <w:tab w:val="right" w:leader="dot" w:pos="9026"/>
      </w:tabs>
      <w:spacing w:after="60" w:line="276" w:lineRule="auto"/>
      <w:ind w:left="568"/>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FtrA" Type="http://schemas.openxmlformats.org/officeDocument/2006/relationships/footer" Target="footer1.xml"/><Relationship Id="rIdFtrB" Type="http://schemas.openxmlformats.org/officeDocument/2006/relationships/footer" Target="footer2.xm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Christine Theodoridou</cp:lastModifiedBy>
  <cp:revision>11</cp:revision>
  <cp:lastPrinted>2015-08-05T15:29:00Z</cp:lastPrinted>
  <dcterms:created xsi:type="dcterms:W3CDTF">2016-05-18T07:34:00Z</dcterms:created>
  <dcterms:modified xsi:type="dcterms:W3CDTF">2018-04-10T09:24:00Z</dcterms:modified>
</cp:coreProperties>
</file>