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2EA5" w:rsidRDefault="00760216">
      <w:r>
        <w:rPr>
          <w:noProof/>
          <w:lang w:eastAsia="en-GB"/>
        </w:rPr>
        <w:softHyphen/>
      </w:r>
      <w:r>
        <w:rPr>
          <w:noProof/>
          <w:lang w:eastAsia="en-GB"/>
        </w:rPr>
        <w:softHyphen/>
      </w:r>
      <w:r>
        <w:rPr>
          <w:noProof/>
          <w:lang w:eastAsia="en-GB"/>
        </w:rPr>
        <w:softHyphen/>
      </w:r>
    </w:p>
    <w:p w:rsidR="00760216" w:rsidRDefault="00760216"/>
    <w:p w:rsidR="00D02BD5" w:rsidRDefault="00D02BD5"/>
    <w:tbl>
      <w:tblPr>
        <w:tblStyle w:val="TableGrid"/>
        <w:tblW w:w="0" w:type="auto"/>
        <w:tblLook w:val="04A0" w:firstRow="1" w:lastRow="0" w:firstColumn="1" w:lastColumn="0" w:noHBand="0" w:noVBand="1"/>
      </w:tblPr>
      <w:tblGrid>
        <w:gridCol w:w="9180"/>
      </w:tblGrid>
      <w:tr w:rsidR="008F3E9E" w:rsidTr="00835536">
        <w:tc>
          <w:tcPr>
            <w:tcW w:w="9180" w:type="dxa"/>
          </w:tcPr>
          <w:p w:rsidR="008F3E9E" w:rsidRDefault="006F7A04" w:rsidP="00835536">
            <w:pPr>
              <w:rPr>
                <w:sz w:val="32"/>
                <w:szCs w:val="32"/>
              </w:rPr>
            </w:pPr>
            <w:r>
              <w:rPr>
                <w:noProof/>
                <w:sz w:val="32"/>
                <w:szCs w:val="32"/>
              </w:rPr>
              <w:drawing>
                <wp:anchor distT="0" distB="0" distL="114300" distR="114300" simplePos="0" relativeHeight="251658240" behindDoc="0" locked="0" layoutInCell="1" allowOverlap="1" wp14:anchorId="2ABADF2E">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7">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Arden University</w:t>
            </w:r>
          </w:p>
        </w:tc>
      </w:tr>
      <w:tr w:rsidR="008F3E9E" w:rsidTr="00835536">
        <w:tc>
          <w:tcPr>
            <w:tcW w:w="9180" w:type="dxa"/>
          </w:tcPr>
          <w:p w:rsidR="008F3E9E" w:rsidRDefault="006F7A04" w:rsidP="00835536">
            <w:pPr>
              <w:rPr>
                <w:sz w:val="32"/>
                <w:szCs w:val="32"/>
              </w:rPr>
            </w:pPr>
            <w:r>
              <w:rPr>
                <w:noProof/>
                <w:sz w:val="32"/>
                <w:szCs w:val="32"/>
              </w:rPr>
              <w:drawing>
                <wp:anchor distT="0" distB="0" distL="114300" distR="114300" simplePos="0" relativeHeight="251659264" behindDoc="0" locked="0" layoutInCell="1" allowOverlap="1" wp14:anchorId="5855CA05">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8">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MSc Cyber Security</w:t>
            </w:r>
          </w:p>
        </w:tc>
      </w:tr>
      <w:tr w:rsidR="008F3E9E" w:rsidTr="00835536">
        <w:tc>
          <w:tcPr>
            <w:tcW w:w="9180" w:type="dxa"/>
          </w:tcPr>
          <w:p w:rsidR="008F3E9E" w:rsidRDefault="006F7A04" w:rsidP="00835536">
            <w:pPr>
              <w:rPr>
                <w:sz w:val="32"/>
                <w:szCs w:val="32"/>
              </w:rPr>
            </w:pPr>
            <w:r>
              <w:rPr>
                <w:noProof/>
                <w:sz w:val="32"/>
                <w:szCs w:val="32"/>
              </w:rPr>
              <w:drawing>
                <wp:anchor distT="0" distB="0" distL="114300" distR="114300" simplePos="0" relativeHeight="251660288" behindDoc="0" locked="0" layoutInCell="1" allowOverlap="1">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9">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bookmarkStart w:id="0" w:name="_GoBack"/>
            <w:bookmarkEnd w:id="0"/>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Advanced Computing Project (COM7014)</w:t>
            </w:r>
          </w:p>
        </w:tc>
      </w:tr>
      <w:tr w:rsidR="008F3E9E" w:rsidTr="00835536">
        <w:tc>
          <w:tcPr>
            <w:tcW w:w="9180" w:type="dxa"/>
          </w:tcPr>
          <w:p w:rsidR="008F3E9E" w:rsidRDefault="00485CD6" w:rsidP="00835536">
            <w:pPr>
              <w:rPr>
                <w:sz w:val="32"/>
                <w:szCs w:val="32"/>
              </w:rPr>
            </w:pPr>
            <w:r>
              <w:rPr>
                <w:noProof/>
                <w:sz w:val="32"/>
                <w:szCs w:val="32"/>
              </w:rPr>
              <w:drawing>
                <wp:anchor distT="0" distB="0" distL="114300" distR="114300" simplePos="0" relativeHeight="251661312" behindDoc="0" locked="0" layoutInCell="1" allowOverlap="1">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0">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Technical Project Summary</w:t>
            </w:r>
          </w:p>
        </w:tc>
      </w:tr>
      <w:tr w:rsidR="008F3E9E" w:rsidTr="00835536">
        <w:tc>
          <w:tcPr>
            <w:tcW w:w="9180" w:type="dxa"/>
          </w:tcPr>
          <w:p w:rsidR="008F3E9E" w:rsidRDefault="00384E4C" w:rsidP="001315DA">
            <w:pPr>
              <w:rPr>
                <w:sz w:val="32"/>
                <w:szCs w:val="32"/>
              </w:rPr>
            </w:pPr>
            <w:r>
              <w:rPr>
                <w:noProof/>
                <w:sz w:val="32"/>
                <w:szCs w:val="32"/>
              </w:rPr>
              <w:drawing>
                <wp:anchor distT="0" distB="0" distL="114300" distR="114300" simplePos="0" relativeHeight="251662336" behindDoc="0" locked="0" layoutInCell="1" allowOverlap="1">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[Insert Student Number]</w:t>
            </w:r>
          </w:p>
        </w:tc>
      </w:tr>
      <w:tr w:rsidR="008F3E9E" w:rsidTr="00835536">
        <w:tc>
          <w:tcPr>
            <w:tcW w:w="9180" w:type="dxa"/>
          </w:tcPr>
          <w:p w:rsidR="008F3E9E" w:rsidRDefault="00771BC5" w:rsidP="00835536">
            <w:pPr>
              <w:rPr>
                <w:sz w:val="32"/>
                <w:szCs w:val="32"/>
              </w:rPr>
            </w:pPr>
            <w:r>
              <w:rPr>
                <w:noProof/>
                <w:sz w:val="32"/>
                <w:szCs w:val="32"/>
              </w:rPr>
              <w:drawing>
                <wp:anchor distT="0" distB="0" distL="114300" distR="114300" simplePos="0" relativeHeight="251663360" behindDoc="0" locked="0" layoutInCell="1" allowOverlap="1">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2">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[Insert Supervisor Name]</w:t>
            </w:r>
          </w:p>
        </w:tc>
      </w:tr>
      <w:tr w:rsidR="008F3E9E" w:rsidTr="00835536">
        <w:tc>
          <w:tcPr>
            <w:tcW w:w="9180" w:type="dxa"/>
          </w:tcPr>
          <w:p w:rsidR="008F3E9E" w:rsidRDefault="00A91CFF" w:rsidP="00835536">
            <w:pPr>
              <w:rPr>
                <w:sz w:val="32"/>
                <w:szCs w:val="32"/>
              </w:rPr>
            </w:pPr>
            <w:r>
              <w:rPr>
                <w:noProof/>
                <w:sz w:val="32"/>
                <w:szCs w:val="32"/>
              </w:rPr>
              <w:drawing>
                <wp:anchor distT="0" distB="0" distL="114300" distR="114300" simplePos="0" relativeHeight="251664384" behindDoc="0" locked="0" layoutInCell="1" allowOverlap="1">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3">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p>
          <w:p w:rsidR="00A91CFF" w:rsidRDefault="00A91CFF" w:rsidP="00835536">
            <w:pPr>
              <w:rPr>
                <w:sz w:val="32"/>
                <w:szCs w:val="32"/>
              </w:rPr>
            </w:pPr>
          </w:p>
          <w:p w:rsidR="008F3E9E" w:rsidRPr="006759EF" w:rsidRDefault="008F3E9E" w:rsidP="00835536">
            <w:pPr>
              <w:rPr>
                <w:sz w:val="18"/>
                <w:szCs w:val="18"/>
              </w:rPr>
            </w:pPr>
          </w:p>
          <w:p w:rsidR="008F3E9E" w:rsidRPr="006759EF" w:rsidRDefault="00A91CFF" w:rsidP="00835536">
            <w:pPr>
              <w:rPr>
                <w:sz w:val="32"/>
                <w:szCs w:val="32"/>
              </w:rPr>
            </w:pPr>
            <w:r>
              <w:rPr>
                <w:noProof/>
                <w:sz w:val="32"/>
                <w:szCs w:val="32"/>
              </w:rPr>
              <w:drawing>
                <wp:inline distT="0" distB="0" distL="0" distR="0">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4">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p>
            <w:pPr>
              <w:spacing w:before="60"/>
              <w:ind w:left="2600"/>
              <w:rPr>
                <w:rFonts w:ascii="Arial" w:hAnsi="Arial"/>
                <w:sz w:val="24"/>
              </w:rPr>
            </w:pPr>
            <w:r>
              <w:rPr>
                <w:rFonts w:ascii="Arial" w:hAnsi="Arial"/>
                <w:sz w:val="24"/>
              </w:rPr>
              <w:t xml:space="preserve">1,764 (this document)</w:t>
            </w:r>
          </w:p>
        </w:tc>
      </w:tr>
    </w:tbl>
    <w:p>
      <w:r>
        <w:br w:type="page"/>
      </w:r>
    </w:p>
    <w:p>
      <w:pPr>
        <w:spacing w:before="240" w:after="80"/>
        <w:jc w:val="center"/>
      </w:pPr>
      <w:r>
        <w:rPr>
          <w:rFonts w:ascii="Arial" w:hAnsi="Arial"/>
          <w:b/>
          <w:sz w:val="36"/>
        </w:rPr>
        <w:t>Technical Project Summary</w:t>
      </w:r>
    </w:p>
    <w:p>
      <w:pPr>
        <w:spacing w:after="320"/>
        <w:jc w:val="center"/>
      </w:pPr>
      <w:r>
        <w:rPr>
          <w:rFonts w:ascii="Arial" w:hAnsi="Arial"/>
          <w:sz w:val="24"/>
          <w:color w:val="595959"/>
        </w:rPr>
        <w:t>System, method, and findings</w:t>
      </w:r>
    </w:p>
    <w:p>
      <w:pPr>
        <w:spacing w:after="120" w:line="276" w:lineRule="auto"/>
        <w:jc w:val="both"/>
      </w:pPr>
      <w:r>
        <w:rPr>
          <w:rFonts w:ascii="Arial" w:hAnsi="Arial"/>
          <w:sz w:val="22"/>
        </w:rPr>
        <w:t xml:space="preserve">A supervised multiclass classifier for network intrusion detection, deployed as a serverless inference service on AWS with a threat-modelled security architecture, and subjected to adversarial evasion testing.</w:t>
      </w:r>
    </w:p>
    <w:p>
      <w:pPr>
        <w:spacing w:after="120" w:line="276" w:lineRule="auto"/>
        <w:jc w:val="both"/>
      </w:pPr>
      <w:r>
        <w:rPr>
          <w:rFonts w:ascii="Arial" w:hAnsi="Arial"/>
          <w:sz w:val="22"/>
        </w:rPr>
        <w:t xml:space="preserve">The project addresses two problems rather than one: applying machine learning to network security, and securing the machine learning system against attack. The second is where the substantive findings lie.</w:t>
      </w:r>
    </w:p>
    <w:p>
      <w:pPr>
        <w:pStyle w:val="Heading2"/>
      </w:pPr>
      <w:r>
        <w:rPr>
          <w:rFonts w:ascii="Arial" w:hAnsi="Arial"/>
          <w:sz w:val="22"/>
        </w:rPr>
        <w:t xml:space="preserve">1. Detection component</w:t>
      </w:r>
    </w:p>
    <w:p>
      <w:pPr>
        <w:pStyle w:val="Heading3"/>
      </w:pPr>
      <w:r>
        <w:rPr>
          <w:rFonts w:ascii="Arial" w:hAnsi="Arial"/>
          <w:sz w:val="22"/>
        </w:rPr>
        <w:t xml:space="preserve">1.1 Data</w:t>
      </w:r>
    </w:p>
    <w:p>
      <w:pPr>
        <w:spacing w:after="120" w:line="276" w:lineRule="auto"/>
        <w:jc w:val="both"/>
      </w:pPr>
      <w:r>
        <w:rPr>
          <w:rFonts w:ascii="Arial" w:hAnsi="Arial"/>
          <w:sz w:val="22"/>
        </w:rPr>
        <w:t xml:space="preserve">CICIDS2017, cleaned distribution, from the Canadian Institute for Cybersecurity. 2,520,751 network flows after deduplication, 52 numeric features per flow extracted by CICFlowMeter from packet captures. Features cover flow duration, forward and backward inter-arrival time statistics, packet length distributions, header lengths, TCP flag counts, per-second rates, and active and idle period statistics.</w:t>
      </w:r>
    </w:p>
    <w:p>
      <w:pPr>
        <w:spacing w:after="120" w:line="276" w:lineRule="auto"/>
        <w:jc w:val="both"/>
      </w:pPr>
      <w:r>
        <w:rPr>
          <w:rFonts w:ascii="Arial" w:hAnsi="Arial"/>
          <w:sz w:val="22"/>
        </w:rPr>
        <w:t xml:space="preserve">Seven classes with a 1,075:1 imbalance ratio between the largest and smallest.</w:t>
      </w:r>
    </w:p>
    <w:tbl>
      <w:tblPr>
        <w:tblStyle w:val="TableGrid"/>
        <w:tblW w:w="9180" w:type="dxa"/>
        <w:tblLook w:val="04A0" w:firstRow="1" w:lastRow="0" w:firstColumn="1" w:lastColumn="0" w:noHBand="0" w:noVBand="1"/>
      </w:tblPr>
      <w:tblGrid>
        <w:gridCol w:w="4042"/>
        <w:gridCol w:w="2941"/>
        <w:gridCol w:w="2197"/>
      </w:tblGrid>
      <w:tr>
        <w:trPr>
          <w:tblHeader/>
        </w:trPr>
        <w:tc>
          <w:tcPr>
            <w:tcW w:w="4042" w:type="dxa"/>
            <w:shd w:val="clear" w:color="auto" w:fill="EFEFEF"/>
          </w:tcPr>
          <w:p>
            <w:pPr>
              <w:spacing w:after="40"/>
            </w:pPr>
            <w:r>
              <w:rPr>
                <w:rFonts w:ascii="Arial" w:hAnsi="Arial"/>
                <w:b/>
                <w:sz w:val="22"/>
              </w:rPr>
              <w:t xml:space="preserve">Class</w:t>
            </w:r>
          </w:p>
        </w:tc>
        <w:tc>
          <w:tcPr>
            <w:tcW w:w="2941" w:type="dxa"/>
            <w:shd w:val="clear" w:color="auto" w:fill="EFEFEF"/>
          </w:tcPr>
          <w:p>
            <w:pPr>
              <w:spacing w:after="40"/>
            </w:pPr>
            <w:r>
              <w:rPr>
                <w:rFonts w:ascii="Arial" w:hAnsi="Arial"/>
                <w:b/>
                <w:sz w:val="22"/>
              </w:rPr>
              <w:t xml:space="preserve">Records</w:t>
            </w:r>
          </w:p>
        </w:tc>
        <w:tc>
          <w:tcPr>
            <w:tcW w:w="2197" w:type="dxa"/>
            <w:shd w:val="clear" w:color="auto" w:fill="EFEFEF"/>
          </w:tcPr>
          <w:p>
            <w:pPr>
              <w:spacing w:after="40"/>
            </w:pPr>
            <w:r>
              <w:rPr>
                <w:rFonts w:ascii="Arial" w:hAnsi="Arial"/>
                <w:b/>
                <w:sz w:val="22"/>
              </w:rPr>
              <w:t xml:space="preserve">Share</w:t>
            </w:r>
          </w:p>
        </w:tc>
      </w:tr>
      <w:tr>
        <w:tc>
          <w:tcPr>
            <w:tcW w:w="4042" w:type="dxa"/>
          </w:tcPr>
          <w:p>
            <w:pPr>
              <w:spacing w:after="40"/>
            </w:pPr>
            <w:r>
              <w:rPr>
                <w:rFonts w:ascii="Arial" w:hAnsi="Arial"/>
                <w:sz w:val="22"/>
              </w:rPr>
              <w:t xml:space="preserve">Normal Traffic</w:t>
            </w:r>
          </w:p>
        </w:tc>
        <w:tc>
          <w:tcPr>
            <w:tcW w:w="2941" w:type="dxa"/>
          </w:tcPr>
          <w:p>
            <w:pPr>
              <w:spacing w:after="40"/>
            </w:pPr>
            <w:r>
              <w:rPr>
                <w:rFonts w:ascii="Arial" w:hAnsi="Arial"/>
                <w:sz w:val="22"/>
              </w:rPr>
              <w:t xml:space="preserve">2,095,057</w:t>
            </w:r>
          </w:p>
        </w:tc>
        <w:tc>
          <w:tcPr>
            <w:tcW w:w="2197" w:type="dxa"/>
          </w:tcPr>
          <w:p>
            <w:pPr>
              <w:spacing w:after="40"/>
            </w:pPr>
            <w:r>
              <w:rPr>
                <w:rFonts w:ascii="Arial" w:hAnsi="Arial"/>
                <w:sz w:val="22"/>
              </w:rPr>
              <w:t xml:space="preserve">83.1%</w:t>
            </w:r>
          </w:p>
        </w:tc>
      </w:tr>
      <w:tr>
        <w:tc>
          <w:tcPr>
            <w:tcW w:w="4042" w:type="dxa"/>
          </w:tcPr>
          <w:p>
            <w:pPr>
              <w:spacing w:after="40"/>
            </w:pPr>
            <w:r>
              <w:rPr>
                <w:rFonts w:ascii="Arial" w:hAnsi="Arial"/>
                <w:sz w:val="22"/>
              </w:rPr>
              <w:t xml:space="preserve">DoS</w:t>
            </w:r>
          </w:p>
        </w:tc>
        <w:tc>
          <w:tcPr>
            <w:tcW w:w="2941" w:type="dxa"/>
          </w:tcPr>
          <w:p>
            <w:pPr>
              <w:spacing w:after="40"/>
            </w:pPr>
            <w:r>
              <w:rPr>
                <w:rFonts w:ascii="Arial" w:hAnsi="Arial"/>
                <w:sz w:val="22"/>
              </w:rPr>
              <w:t xml:space="preserve">193,745</w:t>
            </w:r>
          </w:p>
        </w:tc>
        <w:tc>
          <w:tcPr>
            <w:tcW w:w="2197" w:type="dxa"/>
          </w:tcPr>
          <w:p>
            <w:pPr>
              <w:spacing w:after="40"/>
            </w:pPr>
            <w:r>
              <w:rPr>
                <w:rFonts w:ascii="Arial" w:hAnsi="Arial"/>
                <w:sz w:val="22"/>
              </w:rPr>
              <w:t xml:space="preserve">7.7%</w:t>
            </w:r>
          </w:p>
        </w:tc>
      </w:tr>
      <w:tr>
        <w:tc>
          <w:tcPr>
            <w:tcW w:w="4042" w:type="dxa"/>
          </w:tcPr>
          <w:p>
            <w:pPr>
              <w:spacing w:after="40"/>
            </w:pPr>
            <w:r>
              <w:rPr>
                <w:rFonts w:ascii="Arial" w:hAnsi="Arial"/>
                <w:sz w:val="22"/>
              </w:rPr>
              <w:t xml:space="preserve">DDoS</w:t>
            </w:r>
          </w:p>
        </w:tc>
        <w:tc>
          <w:tcPr>
            <w:tcW w:w="2941" w:type="dxa"/>
          </w:tcPr>
          <w:p>
            <w:pPr>
              <w:spacing w:after="40"/>
            </w:pPr>
            <w:r>
              <w:rPr>
                <w:rFonts w:ascii="Arial" w:hAnsi="Arial"/>
                <w:sz w:val="22"/>
              </w:rPr>
              <w:t xml:space="preserve">128,014</w:t>
            </w:r>
          </w:p>
        </w:tc>
        <w:tc>
          <w:tcPr>
            <w:tcW w:w="2197" w:type="dxa"/>
          </w:tcPr>
          <w:p>
            <w:pPr>
              <w:spacing w:after="40"/>
            </w:pPr>
            <w:r>
              <w:rPr>
                <w:rFonts w:ascii="Arial" w:hAnsi="Arial"/>
                <w:sz w:val="22"/>
              </w:rPr>
              <w:t xml:space="preserve">5.1%</w:t>
            </w:r>
          </w:p>
        </w:tc>
      </w:tr>
      <w:tr>
        <w:tc>
          <w:tcPr>
            <w:tcW w:w="4042" w:type="dxa"/>
          </w:tcPr>
          <w:p>
            <w:pPr>
              <w:spacing w:after="40"/>
            </w:pPr>
            <w:r>
              <w:rPr>
                <w:rFonts w:ascii="Arial" w:hAnsi="Arial"/>
                <w:sz w:val="22"/>
              </w:rPr>
              <w:t xml:space="preserve">Port Scanning</w:t>
            </w:r>
          </w:p>
        </w:tc>
        <w:tc>
          <w:tcPr>
            <w:tcW w:w="2941" w:type="dxa"/>
          </w:tcPr>
          <w:p>
            <w:pPr>
              <w:spacing w:after="40"/>
            </w:pPr>
            <w:r>
              <w:rPr>
                <w:rFonts w:ascii="Arial" w:hAnsi="Arial"/>
                <w:sz w:val="22"/>
              </w:rPr>
              <w:t xml:space="preserve">90,694</w:t>
            </w:r>
          </w:p>
        </w:tc>
        <w:tc>
          <w:tcPr>
            <w:tcW w:w="2197" w:type="dxa"/>
          </w:tcPr>
          <w:p>
            <w:pPr>
              <w:spacing w:after="40"/>
            </w:pPr>
            <w:r>
              <w:rPr>
                <w:rFonts w:ascii="Arial" w:hAnsi="Arial"/>
                <w:sz w:val="22"/>
              </w:rPr>
              <w:t xml:space="preserve">3.6%</w:t>
            </w:r>
          </w:p>
        </w:tc>
      </w:tr>
      <w:tr>
        <w:tc>
          <w:tcPr>
            <w:tcW w:w="4042" w:type="dxa"/>
          </w:tcPr>
          <w:p>
            <w:pPr>
              <w:spacing w:after="40"/>
            </w:pPr>
            <w:r>
              <w:rPr>
                <w:rFonts w:ascii="Arial" w:hAnsi="Arial"/>
                <w:sz w:val="22"/>
              </w:rPr>
              <w:t xml:space="preserve">Brute Force</w:t>
            </w:r>
          </w:p>
        </w:tc>
        <w:tc>
          <w:tcPr>
            <w:tcW w:w="2941" w:type="dxa"/>
          </w:tcPr>
          <w:p>
            <w:pPr>
              <w:spacing w:after="40"/>
            </w:pPr>
            <w:r>
              <w:rPr>
                <w:rFonts w:ascii="Arial" w:hAnsi="Arial"/>
                <w:sz w:val="22"/>
              </w:rPr>
              <w:t xml:space="preserve">9,150</w:t>
            </w:r>
          </w:p>
        </w:tc>
        <w:tc>
          <w:tcPr>
            <w:tcW w:w="2197" w:type="dxa"/>
          </w:tcPr>
          <w:p>
            <w:pPr>
              <w:spacing w:after="40"/>
            </w:pPr>
            <w:r>
              <w:rPr>
                <w:rFonts w:ascii="Arial" w:hAnsi="Arial"/>
                <w:sz w:val="22"/>
              </w:rPr>
              <w:t xml:space="preserve">0.4%</w:t>
            </w:r>
          </w:p>
        </w:tc>
      </w:tr>
      <w:tr>
        <w:tc>
          <w:tcPr>
            <w:tcW w:w="4042" w:type="dxa"/>
          </w:tcPr>
          <w:p>
            <w:pPr>
              <w:spacing w:after="40"/>
            </w:pPr>
            <w:r>
              <w:rPr>
                <w:rFonts w:ascii="Arial" w:hAnsi="Arial"/>
                <w:sz w:val="22"/>
              </w:rPr>
              <w:t xml:space="preserve">Web Attacks</w:t>
            </w:r>
          </w:p>
        </w:tc>
        <w:tc>
          <w:tcPr>
            <w:tcW w:w="2941" w:type="dxa"/>
          </w:tcPr>
          <w:p>
            <w:pPr>
              <w:spacing w:after="40"/>
            </w:pPr>
            <w:r>
              <w:rPr>
                <w:rFonts w:ascii="Arial" w:hAnsi="Arial"/>
                <w:sz w:val="22"/>
              </w:rPr>
              <w:t xml:space="preserve">2,143</w:t>
            </w:r>
          </w:p>
        </w:tc>
        <w:tc>
          <w:tcPr>
            <w:tcW w:w="2197" w:type="dxa"/>
          </w:tcPr>
          <w:p>
            <w:pPr>
              <w:spacing w:after="40"/>
            </w:pPr>
            <w:r>
              <w:rPr>
                <w:rFonts w:ascii="Arial" w:hAnsi="Arial"/>
                <w:sz w:val="22"/>
              </w:rPr>
              <w:t xml:space="preserve">0.1%</w:t>
            </w:r>
          </w:p>
        </w:tc>
      </w:tr>
      <w:tr>
        <w:tc>
          <w:tcPr>
            <w:tcW w:w="4042" w:type="dxa"/>
          </w:tcPr>
          <w:p>
            <w:pPr>
              <w:spacing w:after="40"/>
            </w:pPr>
            <w:r>
              <w:rPr>
                <w:rFonts w:ascii="Arial" w:hAnsi="Arial"/>
                <w:sz w:val="22"/>
              </w:rPr>
              <w:t xml:space="preserve">Bots</w:t>
            </w:r>
          </w:p>
        </w:tc>
        <w:tc>
          <w:tcPr>
            <w:tcW w:w="2941" w:type="dxa"/>
          </w:tcPr>
          <w:p>
            <w:pPr>
              <w:spacing w:after="40"/>
            </w:pPr>
            <w:r>
              <w:rPr>
                <w:rFonts w:ascii="Arial" w:hAnsi="Arial"/>
                <w:sz w:val="22"/>
              </w:rPr>
              <w:t xml:space="preserve">1,948</w:t>
            </w:r>
          </w:p>
        </w:tc>
        <w:tc>
          <w:tcPr>
            <w:tcW w:w="2197" w:type="dxa"/>
          </w:tcPr>
          <w:p>
            <w:pPr>
              <w:spacing w:after="40"/>
            </w:pPr>
            <w:r>
              <w:rPr>
                <w:rFonts w:ascii="Arial" w:hAnsi="Arial"/>
                <w:sz w:val="22"/>
              </w:rPr>
              <w:t xml:space="preserve">0.1%</w:t>
            </w:r>
          </w:p>
        </w:tc>
      </w:tr>
    </w:tbl>
    <w:p>
      <w:pPr>
        <w:spacing w:after="120"/>
      </w:pPr>
    </w:p>
    <w:p>
      <w:pPr>
        <w:pStyle w:val="Heading3"/>
      </w:pPr>
      <w:r>
        <w:rPr>
          <w:rFonts w:ascii="Arial" w:hAnsi="Arial"/>
          <w:sz w:val="22"/>
        </w:rPr>
        <w:t xml:space="preserve">1.2 Preprocessing</w:t>
      </w:r>
    </w:p>
    <w:p>
      <w:pPr>
        <w:spacing w:after="120" w:line="276" w:lineRule="auto"/>
        <w:jc w:val="both"/>
      </w:pPr>
      <w:r>
        <w:rPr>
          <w:rFonts w:ascii="Arial" w:hAnsi="Arial"/>
          <w:sz w:val="22"/>
        </w:rPr>
        <w:t xml:space="preserve">Stratified split at 60/20/20 (train, validation, test). Standardisation fitted on training data only. Features cast to float32. The test set retains the original imbalanced distribution throughout, so reported metrics reflect operating conditions rather than a resampled distribution.</w:t>
      </w:r>
    </w:p>
    <w:p>
      <w:pPr>
        <w:pStyle w:val="Heading3"/>
      </w:pPr>
      <w:r>
        <w:rPr>
          <w:rFonts w:ascii="Arial" w:hAnsi="Arial"/>
          <w:sz w:val="22"/>
        </w:rPr>
        <w:t xml:space="preserve">1.3 Model selection</w:t>
      </w:r>
    </w:p>
    <w:p>
      <w:pPr>
        <w:spacing w:after="120" w:line="276" w:lineRule="auto"/>
        <w:jc w:val="both"/>
      </w:pPr>
      <w:r>
        <w:rPr>
          <w:rFonts w:ascii="Arial" w:hAnsi="Arial"/>
          <w:sz w:val="22"/>
        </w:rPr>
        <w:t xml:space="preserve">Four controlled experiments, rather than selecting a preferred algorithm.</w:t>
      </w:r>
    </w:p>
    <w:p>
      <w:pPr>
        <w:spacing w:after="120" w:line="276" w:lineRule="auto"/>
        <w:jc w:val="both"/>
      </w:pPr>
      <w:r>
        <w:rPr>
          <w:rFonts w:ascii="Arial" w:hAnsi="Arial"/>
          <w:b/>
          <w:sz w:val="22"/>
        </w:rPr>
        <w:t xml:space="preserve">E1</w:t>
      </w:r>
      <w:r>
        <w:rPr>
          <w:rFonts w:ascii="Arial" w:hAnsi="Arial"/>
          <w:sz w:val="22"/>
        </w:rPr>
        <w:t xml:space="preserve"> compared three model families under hybrid resampling (majority undersampled to 200,000, minorities oversampled by SMOTE to 50,000). Full SMOTE to the majority count would have generated approximately 14 million synthetic rows, which was computationally infeasible. XGBoost achieved 0.955 macro F1, Random Forest 0.913, an MLP 0.775.</w:t>
      </w:r>
    </w:p>
    <w:p>
      <w:pPr>
        <w:spacing w:after="120" w:line="276" w:lineRule="auto"/>
        <w:jc w:val="both"/>
      </w:pPr>
      <w:r>
        <w:rPr>
          <w:rFonts w:ascii="Arial" w:hAnsi="Arial"/>
          <w:b/>
          <w:sz w:val="22"/>
        </w:rPr>
        <w:t xml:space="preserve">E2</w:t>
      </w:r>
      <w:r>
        <w:rPr>
          <w:rFonts w:ascii="Arial" w:hAnsi="Arial"/>
          <w:sz w:val="22"/>
        </w:rPr>
        <w:t xml:space="preserve"> substituted cost-sensitive learning for resampling. XGBoost improved to 0.969; Random Forest degraded.</w:t>
      </w:r>
    </w:p>
    <w:p>
      <w:pPr>
        <w:spacing w:after="120" w:line="276" w:lineRule="auto"/>
        <w:jc w:val="both"/>
      </w:pPr>
      <w:r>
        <w:rPr>
          <w:rFonts w:ascii="Arial" w:hAnsi="Arial"/>
          <w:b/>
          <w:sz w:val="22"/>
        </w:rPr>
        <w:t xml:space="preserve">E3</w:t>
      </w:r>
      <w:r>
        <w:rPr>
          <w:rFonts w:ascii="Arial" w:hAnsi="Arial"/>
          <w:sz w:val="22"/>
        </w:rPr>
        <w:t xml:space="preserve"> repeated both strategies across three seeds for both families. Class weighting improved XGBoost by +0.0128 macro F1 (SD 0.0012) and degraded Random Forest by −0.0149 (SD 0.0020), with direction consistent on every seed and effect sizes roughly an order of magnitude above the run-to-run variance.</w:t>
      </w:r>
    </w:p>
    <w:p>
      <w:pPr>
        <w:spacing w:after="120" w:line="276" w:lineRule="auto"/>
        <w:jc w:val="both"/>
      </w:pPr>
      <w:r>
        <w:rPr>
          <w:rFonts w:ascii="Arial" w:hAnsi="Arial"/>
          <w:sz w:val="22"/>
        </w:rPr>
        <w:t xml:space="preserve">This establishes a model-by-strategy interaction: imbalance-handling technique cannot be selected independently of model architecture. A plausible mechanism is that Random Forest applies class weights at node impurity computation, so at a 1,075:1 ratio each minority sample carries approximately 1,075× weight, permitting individual trees to claim large regions of feature space from 1,559 real samples; XGBoost applies weights to gradient contributions within a regularised, depth-limited boosted ensemble, which constrains the effect.</w:t>
      </w:r>
    </w:p>
    <w:p>
      <w:pPr>
        <w:spacing w:after="120" w:line="276" w:lineRule="auto"/>
        <w:jc w:val="both"/>
      </w:pPr>
      <w:r>
        <w:rPr>
          <w:rFonts w:ascii="Arial" w:hAnsi="Arial"/>
          <w:b/>
          <w:sz w:val="22"/>
        </w:rPr>
        <w:t xml:space="preserve">E4</w:t>
      </w:r>
      <w:r>
        <w:rPr>
          <w:rFonts w:ascii="Arial" w:hAnsi="Arial"/>
          <w:sz w:val="22"/>
        </w:rPr>
        <w:t xml:space="preserve"> introduced an explicit decision threshold for the weakest class, selected on the validation split and applied once to the untouched test set. Bots precision improved from 0.672 to 0.742 and false positives fell 33%, at the cost of recall declining from 0.992 to 0.939. Macro F1 improved to 0.9721, since the baseline was over-predicting that class sufficiently that trimming benefited the aggregate.</w:t>
      </w:r>
    </w:p>
    <w:p>
      <w:pPr>
        <w:spacing w:after="120" w:line="276" w:lineRule="auto"/>
        <w:jc w:val="both"/>
      </w:pPr>
      <w:r>
        <w:rPr>
          <w:rFonts w:ascii="Arial" w:hAnsi="Arial"/>
          <w:sz w:val="22"/>
        </w:rPr>
        <w:t xml:space="preserve">No threshold on the sweep achieved Bots precision of 0.90. With 1,559 training samples this is a data-scarcity ceiling rather than a tuning failure, and it is recorded as an unmet requirement.</w:t>
      </w:r>
    </w:p>
    <w:p>
      <w:pPr>
        <w:pStyle w:val="Heading3"/>
      </w:pPr>
      <w:r>
        <w:rPr>
          <w:rFonts w:ascii="Arial" w:hAnsi="Arial"/>
          <w:sz w:val="22"/>
        </w:rPr>
        <w:t xml:space="preserve">1.4 Selected configuration</w:t>
      </w:r>
    </w:p>
    <w:p>
      <w:pPr>
        <w:spacing w:after="120" w:line="276" w:lineRule="auto"/>
        <w:jc w:val="both"/>
      </w:pPr>
      <w:r>
        <w:rPr>
          <w:rFonts w:ascii="Arial" w:hAnsi="Arial"/>
          <w:sz w:val="22"/>
        </w:rPr>
        <w:t xml:space="preserve">XGBoost (200 estimators, max depth 8, learning rate 0.1) with balanced sample weighting, and a decision threshold of 0.99 for the Bots class.</w:t>
      </w:r>
    </w:p>
    <w:tbl>
      <w:tblPr>
        <w:tblStyle w:val="TableGrid"/>
        <w:tblW w:w="9180" w:type="dxa"/>
        <w:tblLook w:val="04A0" w:firstRow="1" w:lastRow="0" w:firstColumn="1" w:lastColumn="0" w:noHBand="0" w:noVBand="1"/>
      </w:tblPr>
      <w:tblGrid>
        <w:gridCol w:w="2683"/>
        <w:gridCol w:w="1952"/>
        <w:gridCol w:w="1457"/>
        <w:gridCol w:w="1457"/>
        <w:gridCol w:w="1631"/>
      </w:tblGrid>
      <w:tr>
        <w:trPr>
          <w:tblHeader/>
        </w:trPr>
        <w:tc>
          <w:tcPr>
            <w:tcW w:w="2683" w:type="dxa"/>
            <w:shd w:val="clear" w:color="auto" w:fill="EFEFEF"/>
          </w:tcPr>
          <w:p>
            <w:pPr>
              <w:spacing w:after="40"/>
            </w:pPr>
            <w:r>
              <w:rPr>
                <w:rFonts w:ascii="Arial" w:hAnsi="Arial"/>
                <w:b/>
                <w:sz w:val="22"/>
              </w:rPr>
              <w:t xml:space="preserve">Class</w:t>
            </w:r>
          </w:p>
        </w:tc>
        <w:tc>
          <w:tcPr>
            <w:tcW w:w="1952" w:type="dxa"/>
            <w:shd w:val="clear" w:color="auto" w:fill="EFEFEF"/>
          </w:tcPr>
          <w:p>
            <w:pPr>
              <w:spacing w:after="40"/>
            </w:pPr>
            <w:r>
              <w:rPr>
                <w:rFonts w:ascii="Arial" w:hAnsi="Arial"/>
                <w:b/>
                <w:sz w:val="22"/>
              </w:rPr>
              <w:t xml:space="preserve">Precision</w:t>
            </w:r>
          </w:p>
        </w:tc>
        <w:tc>
          <w:tcPr>
            <w:tcW w:w="1457" w:type="dxa"/>
            <w:shd w:val="clear" w:color="auto" w:fill="EFEFEF"/>
          </w:tcPr>
          <w:p>
            <w:pPr>
              <w:spacing w:after="40"/>
            </w:pPr>
            <w:r>
              <w:rPr>
                <w:rFonts w:ascii="Arial" w:hAnsi="Arial"/>
                <w:b/>
                <w:sz w:val="22"/>
              </w:rPr>
              <w:t xml:space="preserve">Recall</w:t>
            </w:r>
          </w:p>
        </w:tc>
        <w:tc>
          <w:tcPr>
            <w:tcW w:w="1457" w:type="dxa"/>
            <w:shd w:val="clear" w:color="auto" w:fill="EFEFEF"/>
          </w:tcPr>
          <w:p>
            <w:pPr>
              <w:spacing w:after="40"/>
            </w:pPr>
            <w:r>
              <w:rPr>
                <w:rFonts w:ascii="Arial" w:hAnsi="Arial"/>
                <w:b/>
                <w:sz w:val="22"/>
              </w:rPr>
              <w:t xml:space="preserve">F1</w:t>
            </w:r>
          </w:p>
        </w:tc>
        <w:tc>
          <w:tcPr>
            <w:tcW w:w="1631" w:type="dxa"/>
            <w:shd w:val="clear" w:color="auto" w:fill="EFEFEF"/>
          </w:tcPr>
          <w:p>
            <w:pPr>
              <w:spacing w:after="40"/>
            </w:pPr>
            <w:r>
              <w:rPr>
                <w:rFonts w:ascii="Arial" w:hAnsi="Arial"/>
                <w:b/>
                <w:sz w:val="22"/>
              </w:rPr>
              <w:t xml:space="preserve">Support</w:t>
            </w:r>
          </w:p>
        </w:tc>
      </w:tr>
      <w:tr>
        <w:tc>
          <w:tcPr>
            <w:tcW w:w="2683" w:type="dxa"/>
          </w:tcPr>
          <w:p>
            <w:pPr>
              <w:spacing w:after="40"/>
            </w:pPr>
            <w:r>
              <w:rPr>
                <w:rFonts w:ascii="Arial" w:hAnsi="Arial"/>
                <w:sz w:val="22"/>
              </w:rPr>
              <w:t xml:space="preserve">Bots</w:t>
            </w:r>
          </w:p>
        </w:tc>
        <w:tc>
          <w:tcPr>
            <w:tcW w:w="1952" w:type="dxa"/>
          </w:tcPr>
          <w:p>
            <w:pPr>
              <w:spacing w:after="40"/>
            </w:pPr>
            <w:r>
              <w:rPr>
                <w:rFonts w:ascii="Arial" w:hAnsi="Arial"/>
                <w:sz w:val="22"/>
              </w:rPr>
              <w:t xml:space="preserve">0.74</w:t>
            </w:r>
          </w:p>
        </w:tc>
        <w:tc>
          <w:tcPr>
            <w:tcW w:w="1457" w:type="dxa"/>
          </w:tcPr>
          <w:p>
            <w:pPr>
              <w:spacing w:after="40"/>
            </w:pPr>
            <w:r>
              <w:rPr>
                <w:rFonts w:ascii="Arial" w:hAnsi="Arial"/>
                <w:sz w:val="22"/>
              </w:rPr>
              <w:t xml:space="preserve">0.94</w:t>
            </w:r>
          </w:p>
        </w:tc>
        <w:tc>
          <w:tcPr>
            <w:tcW w:w="1457" w:type="dxa"/>
          </w:tcPr>
          <w:p>
            <w:pPr>
              <w:spacing w:after="40"/>
            </w:pPr>
            <w:r>
              <w:rPr>
                <w:rFonts w:ascii="Arial" w:hAnsi="Arial"/>
                <w:sz w:val="22"/>
              </w:rPr>
              <w:t xml:space="preserve">0.83</w:t>
            </w:r>
          </w:p>
        </w:tc>
        <w:tc>
          <w:tcPr>
            <w:tcW w:w="1631" w:type="dxa"/>
          </w:tcPr>
          <w:p>
            <w:pPr>
              <w:spacing w:after="40"/>
            </w:pPr>
            <w:r>
              <w:rPr>
                <w:rFonts w:ascii="Arial" w:hAnsi="Arial"/>
                <w:sz w:val="22"/>
              </w:rPr>
              <w:t xml:space="preserve">390</w:t>
            </w:r>
          </w:p>
        </w:tc>
      </w:tr>
      <w:tr>
        <w:tc>
          <w:tcPr>
            <w:tcW w:w="2683" w:type="dxa"/>
          </w:tcPr>
          <w:p>
            <w:pPr>
              <w:spacing w:after="40"/>
            </w:pPr>
            <w:r>
              <w:rPr>
                <w:rFonts w:ascii="Arial" w:hAnsi="Arial"/>
                <w:sz w:val="22"/>
              </w:rPr>
              <w:t xml:space="preserve">Brute Force</w:t>
            </w:r>
          </w:p>
        </w:tc>
        <w:tc>
          <w:tcPr>
            <w:tcW w:w="1952"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631" w:type="dxa"/>
          </w:tcPr>
          <w:p>
            <w:pPr>
              <w:spacing w:after="40"/>
            </w:pPr>
            <w:r>
              <w:rPr>
                <w:rFonts w:ascii="Arial" w:hAnsi="Arial"/>
                <w:sz w:val="22"/>
              </w:rPr>
              <w:t xml:space="preserve">1,830</w:t>
            </w:r>
          </w:p>
        </w:tc>
      </w:tr>
      <w:tr>
        <w:tc>
          <w:tcPr>
            <w:tcW w:w="2683" w:type="dxa"/>
          </w:tcPr>
          <w:p>
            <w:pPr>
              <w:spacing w:after="40"/>
            </w:pPr>
            <w:r>
              <w:rPr>
                <w:rFonts w:ascii="Arial" w:hAnsi="Arial"/>
                <w:sz w:val="22"/>
              </w:rPr>
              <w:t xml:space="preserve">DDoS</w:t>
            </w:r>
          </w:p>
        </w:tc>
        <w:tc>
          <w:tcPr>
            <w:tcW w:w="1952"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631" w:type="dxa"/>
          </w:tcPr>
          <w:p>
            <w:pPr>
              <w:spacing w:after="40"/>
            </w:pPr>
            <w:r>
              <w:rPr>
                <w:rFonts w:ascii="Arial" w:hAnsi="Arial"/>
                <w:sz w:val="22"/>
              </w:rPr>
              <w:t xml:space="preserve">25,603</w:t>
            </w:r>
          </w:p>
        </w:tc>
      </w:tr>
      <w:tr>
        <w:tc>
          <w:tcPr>
            <w:tcW w:w="2683" w:type="dxa"/>
          </w:tcPr>
          <w:p>
            <w:pPr>
              <w:spacing w:after="40"/>
            </w:pPr>
            <w:r>
              <w:rPr>
                <w:rFonts w:ascii="Arial" w:hAnsi="Arial"/>
                <w:sz w:val="22"/>
              </w:rPr>
              <w:t xml:space="preserve">DoS</w:t>
            </w:r>
          </w:p>
        </w:tc>
        <w:tc>
          <w:tcPr>
            <w:tcW w:w="1952"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631" w:type="dxa"/>
          </w:tcPr>
          <w:p>
            <w:pPr>
              <w:spacing w:after="40"/>
            </w:pPr>
            <w:r>
              <w:rPr>
                <w:rFonts w:ascii="Arial" w:hAnsi="Arial"/>
                <w:sz w:val="22"/>
              </w:rPr>
              <w:t xml:space="preserve">38,749</w:t>
            </w:r>
          </w:p>
        </w:tc>
      </w:tr>
      <w:tr>
        <w:tc>
          <w:tcPr>
            <w:tcW w:w="2683" w:type="dxa"/>
          </w:tcPr>
          <w:p>
            <w:pPr>
              <w:spacing w:after="40"/>
            </w:pPr>
            <w:r>
              <w:rPr>
                <w:rFonts w:ascii="Arial" w:hAnsi="Arial"/>
                <w:sz w:val="22"/>
              </w:rPr>
              <w:t xml:space="preserve">Normal Traffic</w:t>
            </w:r>
          </w:p>
        </w:tc>
        <w:tc>
          <w:tcPr>
            <w:tcW w:w="1952"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1.00</w:t>
            </w:r>
          </w:p>
        </w:tc>
        <w:tc>
          <w:tcPr>
            <w:tcW w:w="1631" w:type="dxa"/>
          </w:tcPr>
          <w:p>
            <w:pPr>
              <w:spacing w:after="40"/>
            </w:pPr>
            <w:r>
              <w:rPr>
                <w:rFonts w:ascii="Arial" w:hAnsi="Arial"/>
                <w:sz w:val="22"/>
              </w:rPr>
              <w:t xml:space="preserve">418,979</w:t>
            </w:r>
          </w:p>
        </w:tc>
      </w:tr>
      <w:tr>
        <w:tc>
          <w:tcPr>
            <w:tcW w:w="2683" w:type="dxa"/>
          </w:tcPr>
          <w:p>
            <w:pPr>
              <w:spacing w:after="40"/>
            </w:pPr>
            <w:r>
              <w:rPr>
                <w:rFonts w:ascii="Arial" w:hAnsi="Arial"/>
                <w:sz w:val="22"/>
              </w:rPr>
              <w:t xml:space="preserve">Port Scanning</w:t>
            </w:r>
          </w:p>
        </w:tc>
        <w:tc>
          <w:tcPr>
            <w:tcW w:w="1952" w:type="dxa"/>
          </w:tcPr>
          <w:p>
            <w:pPr>
              <w:spacing w:after="40"/>
            </w:pPr>
            <w:r>
              <w:rPr>
                <w:rFonts w:ascii="Arial" w:hAnsi="Arial"/>
                <w:sz w:val="22"/>
              </w:rPr>
              <w:t xml:space="preserve">0.99</w:t>
            </w:r>
          </w:p>
        </w:tc>
        <w:tc>
          <w:tcPr>
            <w:tcW w:w="1457" w:type="dxa"/>
          </w:tcPr>
          <w:p>
            <w:pPr>
              <w:spacing w:after="40"/>
            </w:pPr>
            <w:r>
              <w:rPr>
                <w:rFonts w:ascii="Arial" w:hAnsi="Arial"/>
                <w:sz w:val="22"/>
              </w:rPr>
              <w:t xml:space="preserve">1.00</w:t>
            </w:r>
          </w:p>
        </w:tc>
        <w:tc>
          <w:tcPr>
            <w:tcW w:w="1457" w:type="dxa"/>
          </w:tcPr>
          <w:p>
            <w:pPr>
              <w:spacing w:after="40"/>
            </w:pPr>
            <w:r>
              <w:rPr>
                <w:rFonts w:ascii="Arial" w:hAnsi="Arial"/>
                <w:sz w:val="22"/>
              </w:rPr>
              <w:t xml:space="preserve">0.99</w:t>
            </w:r>
          </w:p>
        </w:tc>
        <w:tc>
          <w:tcPr>
            <w:tcW w:w="1631" w:type="dxa"/>
          </w:tcPr>
          <w:p>
            <w:pPr>
              <w:spacing w:after="40"/>
            </w:pPr>
            <w:r>
              <w:rPr>
                <w:rFonts w:ascii="Arial" w:hAnsi="Arial"/>
                <w:sz w:val="22"/>
              </w:rPr>
              <w:t xml:space="preserve">18,139</w:t>
            </w:r>
          </w:p>
        </w:tc>
      </w:tr>
      <w:tr>
        <w:tc>
          <w:tcPr>
            <w:tcW w:w="2683" w:type="dxa"/>
          </w:tcPr>
          <w:p>
            <w:pPr>
              <w:spacing w:after="40"/>
            </w:pPr>
            <w:r>
              <w:rPr>
                <w:rFonts w:ascii="Arial" w:hAnsi="Arial"/>
                <w:sz w:val="22"/>
              </w:rPr>
              <w:t xml:space="preserve">Web Attacks</w:t>
            </w:r>
          </w:p>
        </w:tc>
        <w:tc>
          <w:tcPr>
            <w:tcW w:w="1952" w:type="dxa"/>
          </w:tcPr>
          <w:p>
            <w:pPr>
              <w:spacing w:after="40"/>
            </w:pPr>
            <w:r>
              <w:rPr>
                <w:rFonts w:ascii="Arial" w:hAnsi="Arial"/>
                <w:sz w:val="22"/>
              </w:rPr>
              <w:t xml:space="preserve">0.98</w:t>
            </w:r>
          </w:p>
        </w:tc>
        <w:tc>
          <w:tcPr>
            <w:tcW w:w="1457" w:type="dxa"/>
          </w:tcPr>
          <w:p>
            <w:pPr>
              <w:spacing w:after="40"/>
            </w:pPr>
            <w:r>
              <w:rPr>
                <w:rFonts w:ascii="Arial" w:hAnsi="Arial"/>
                <w:sz w:val="22"/>
              </w:rPr>
              <w:t xml:space="preserve">0.99</w:t>
            </w:r>
          </w:p>
        </w:tc>
        <w:tc>
          <w:tcPr>
            <w:tcW w:w="1457" w:type="dxa"/>
          </w:tcPr>
          <w:p>
            <w:pPr>
              <w:spacing w:after="40"/>
            </w:pPr>
            <w:r>
              <w:rPr>
                <w:rFonts w:ascii="Arial" w:hAnsi="Arial"/>
                <w:sz w:val="22"/>
              </w:rPr>
              <w:t xml:space="preserve">0.98</w:t>
            </w:r>
          </w:p>
        </w:tc>
        <w:tc>
          <w:tcPr>
            <w:tcW w:w="1631" w:type="dxa"/>
          </w:tcPr>
          <w:p>
            <w:pPr>
              <w:spacing w:after="40"/>
            </w:pPr>
            <w:r>
              <w:rPr>
                <w:rFonts w:ascii="Arial" w:hAnsi="Arial"/>
                <w:sz w:val="22"/>
              </w:rPr>
              <w:t xml:space="preserve">428</w:t>
            </w:r>
          </w:p>
        </w:tc>
      </w:tr>
    </w:tbl>
    <w:p>
      <w:pPr>
        <w:spacing w:after="120"/>
      </w:pPr>
    </w:p>
    <w:p>
      <w:pPr>
        <w:spacing w:after="120" w:line="276" w:lineRule="auto"/>
        <w:jc w:val="both"/>
      </w:pPr>
      <w:r>
        <w:rPr>
          <w:rFonts w:ascii="Arial" w:hAnsi="Arial"/>
          <w:sz w:val="22"/>
        </w:rPr>
        <w:t xml:space="preserve">Accuracy is not reported as a headline figure. At 83% benign traffic, a majority-class classifier scores 0.83, so accuracy of 0.999 carries no information about detection capability. Macro F1 is the appropriate metric.</w:t>
      </w:r>
    </w:p>
    <w:p>
      <w:pPr>
        <w:pStyle w:val="Heading2"/>
      </w:pPr>
      <w:r>
        <w:rPr>
          <w:rFonts w:ascii="Arial" w:hAnsi="Arial"/>
          <w:sz w:val="22"/>
        </w:rPr>
        <w:t xml:space="preserve">2. Deployment component</w:t>
      </w:r>
    </w:p>
    <w:p>
      <w:pPr>
        <w:pStyle w:val="Heading3"/>
      </w:pPr>
      <w:r>
        <w:rPr>
          <w:rFonts w:ascii="Arial" w:hAnsi="Arial"/>
          <w:sz w:val="22"/>
        </w:rPr>
        <w:t xml:space="preserve">2.1 Artefact format</w:t>
      </w:r>
    </w:p>
    <w:p>
      <w:pPr>
        <w:spacing w:after="120" w:line="276" w:lineRule="auto"/>
        <w:jc w:val="both"/>
      </w:pPr>
      <w:r>
        <w:rPr>
          <w:rFonts w:ascii="Arial" w:hAnsi="Arial"/>
          <w:sz w:val="22"/>
        </w:rPr>
        <w:t xml:space="preserve">The trained model is converted to ONNX and verified against the source model on 5,000 held-out samples: maximum probability divergence 2.384e-07, label agreement 1.000000. The export process aborts if verification fails.</w:t>
      </w:r>
    </w:p>
    <w:p>
      <w:pPr>
        <w:spacing w:after="120" w:line="276" w:lineRule="auto"/>
        <w:jc w:val="both"/>
      </w:pPr>
      <w:r>
        <w:rPr>
          <w:rFonts w:ascii="Arial" w:hAnsi="Arial"/>
          <w:sz w:val="22"/>
        </w:rPr>
        <w:t xml:space="preserve">Two motivations. First, security: pickle deserialisation executes arbitrary Python bytecode, so write access to a pickled model artefact constitutes remote code execution in the inference environment. ONNX is parsed as data with no code execution path. Second, footprint: onnxruntime is approximately 15 MB against approximately 300 MB for xgboost plus scikit-learn, bringing the deployment package under Lambda's 250 MB uncompressed limit and eliminating the need for a container image.</w:t>
      </w:r>
    </w:p>
    <w:p>
      <w:pPr>
        <w:spacing w:after="120" w:line="276" w:lineRule="auto"/>
        <w:jc w:val="both"/>
      </w:pPr>
      <w:r>
        <w:rPr>
          <w:rFonts w:ascii="Arial" w:hAnsi="Arial"/>
          <w:sz w:val="22"/>
        </w:rPr>
        <w:t xml:space="preserve">Scaler parameters are serialised as JSON, so the inference environment requires no scikit-learn dependency.</w:t>
      </w:r>
    </w:p>
    <w:p>
      <w:pPr>
        <w:pStyle w:val="Heading3"/>
      </w:pPr>
      <w:r>
        <w:rPr>
          <w:rFonts w:ascii="Arial" w:hAnsi="Arial"/>
          <w:sz w:val="22"/>
        </w:rPr>
        <w:t xml:space="preserve">2.2 Runtime</w:t>
      </w:r>
    </w:p>
    <w:p>
      <w:pPr>
        <w:spacing w:after="120" w:line="276" w:lineRule="auto"/>
        <w:jc w:val="both"/>
      </w:pPr>
      <w:r>
        <w:rPr>
          <w:rFonts w:ascii="Arial" w:hAnsi="Arial"/>
          <w:sz w:val="22"/>
        </w:rPr>
        <w:t xml:space="preserve">AWS Lambda, Python 3.12, arm64 (Graviton), 1024 MB memory, 10 second timeout, eu-central-1.</w:t>
      </w:r>
    </w:p>
    <w:p>
      <w:pPr>
        <w:spacing w:after="120" w:line="276" w:lineRule="auto"/>
        <w:jc w:val="both"/>
      </w:pPr>
      <w:r>
        <w:rPr>
          <w:rFonts w:ascii="Arial" w:hAnsi="Arial"/>
          <w:sz w:val="22"/>
        </w:rPr>
        <w:t xml:space="preserve">Graviton was selected because the development machine is Apple Silicon, making arm64 container builds native rather than emulated, and because per-GB-second cost is approximately 20% lower. Dependencies are compiled inside an arm64 Linux container matching the Lambda runtime, since onnxruntime ships platform-specific binaries.</w:t>
      </w:r>
    </w:p>
    <w:p>
      <w:pPr>
        <w:pStyle w:val="Heading3"/>
      </w:pPr>
      <w:r>
        <w:rPr>
          <w:rFonts w:ascii="Arial" w:hAnsi="Arial"/>
          <w:sz w:val="22"/>
        </w:rPr>
        <w:t xml:space="preserve">2.3 Network architecture</w:t>
      </w:r>
    </w:p>
    <w:p>
      <w:pPr>
        <w:spacing w:after="120" w:line="276" w:lineRule="auto"/>
        <w:jc w:val="both"/>
      </w:pPr>
      <w:r>
        <w:rPr>
          <w:rFonts w:ascii="Arial" w:hAnsi="Arial"/>
          <w:sz w:val="22"/>
        </w:rPr>
        <w:t xml:space="preserve">VPC with two private subnets across availability zones. No internet gateway and no NAT gateway. S3 reachability is provided by a gateway endpoint, which is free; the conventional NAT gateway pattern would cost approximately USD 32 per month.</w:t>
      </w:r>
    </w:p>
    <w:p>
      <w:pPr>
        <w:spacing w:after="120" w:line="276" w:lineRule="auto"/>
        <w:jc w:val="both"/>
      </w:pPr>
      <w:r>
        <w:rPr>
          <w:rFonts w:ascii="Arial" w:hAnsi="Arial"/>
          <w:sz w:val="22"/>
        </w:rPr>
        <w:t xml:space="preserve">The security group's default unrestricted egress was revoked and replaced with a single rule permitting HTTPS to the S3 managed prefix list. The function therefore has no network path to any attacker-controlled destination.</w:t>
      </w:r>
    </w:p>
    <w:p>
      <w:pPr>
        <w:pStyle w:val="Heading3"/>
      </w:pPr>
      <w:r>
        <w:rPr>
          <w:rFonts w:ascii="Arial" w:hAnsi="Arial"/>
          <w:sz w:val="22"/>
        </w:rPr>
        <w:t xml:space="preserve">2.4 Identity</w:t>
      </w:r>
    </w:p>
    <w:p>
      <w:pPr>
        <w:spacing w:after="120" w:line="276" w:lineRule="auto"/>
        <w:jc w:val="both"/>
      </w:pPr>
      <w:r>
        <w:rPr>
          <w:rFonts w:ascii="Arial" w:hAnsi="Arial"/>
          <w:sz w:val="22"/>
        </w:rPr>
        <w:t xml:space="preserve">Execution role with a trust policy naming only the Lambda service. Three resource-scoped inline policies and zero AWS-managed policies:</w:t>
      </w:r>
    </w:p>
    <w:p>
      <w:pPr>
        <w:numPr>
          <w:ilvl w:val="0"/>
          <w:numId w:val="1"/>
        </w:numPr>
        <w:spacing w:after="120" w:line="276" w:lineRule="auto"/>
        <w:ind w:left="720" w:hanging="360"/>
        <w:jc w:val="left"/>
      </w:pPr>
      <w:r>
        <w:rPr>
          <w:rFonts w:ascii="Consolas" w:hAnsi="Consolas"/>
          <w:sz w:val="22"/>
        </w:rPr>
        <w:t xml:space="preserve">s3:GetObject</w:t>
      </w:r>
      <w:r>
        <w:rPr>
          <w:rFonts w:ascii="Arial" w:hAnsi="Arial"/>
          <w:sz w:val="22"/>
        </w:rPr>
        <w:t xml:space="preserve"> on one bucket prefix</w:t>
      </w:r>
    </w:p>
    <w:p>
      <w:pPr>
        <w:numPr>
          <w:ilvl w:val="0"/>
          <w:numId w:val="1"/>
        </w:numPr>
        <w:spacing w:after="120" w:line="276" w:lineRule="auto"/>
        <w:ind w:left="720" w:hanging="360"/>
        <w:jc w:val="left"/>
      </w:pPr>
      <w:r>
        <w:rPr>
          <w:rFonts w:ascii="Consolas" w:hAnsi="Consolas"/>
          <w:sz w:val="22"/>
        </w:rPr>
        <w:t xml:space="preserve">logs:CreateLogStream</w:t>
      </w:r>
      <w:r>
        <w:rPr>
          <w:rFonts w:ascii="Arial" w:hAnsi="Arial"/>
          <w:sz w:val="22"/>
        </w:rPr>
        <w:t xml:space="preserve"> and </w:t>
      </w:r>
      <w:r>
        <w:rPr>
          <w:rFonts w:ascii="Consolas" w:hAnsi="Consolas"/>
          <w:sz w:val="22"/>
        </w:rPr>
        <w:t xml:space="preserve">logs:PutLogEvents</w:t>
      </w:r>
      <w:r>
        <w:rPr>
          <w:rFonts w:ascii="Arial" w:hAnsi="Arial"/>
          <w:sz w:val="22"/>
        </w:rPr>
        <w:t xml:space="preserve"> on one log group</w:t>
      </w:r>
    </w:p>
    <w:p>
      <w:pPr>
        <w:numPr>
          <w:ilvl w:val="0"/>
          <w:numId w:val="1"/>
        </w:numPr>
        <w:spacing w:after="120" w:line="276" w:lineRule="auto"/>
        <w:ind w:left="720" w:hanging="360"/>
        <w:jc w:val="left"/>
      </w:pPr>
      <w:r>
        <w:rPr>
          <w:rFonts w:ascii="Arial" w:hAnsi="Arial"/>
          <w:sz w:val="22"/>
        </w:rPr>
        <w:t xml:space="preserve">EC2 network interface management, condition-restricted to the project VPC</w:t>
      </w:r>
    </w:p>
    <w:p>
      <w:pPr>
        <w:spacing w:after="120" w:line="276" w:lineRule="auto"/>
        <w:jc w:val="both"/>
      </w:pPr>
      <w:r>
        <w:rPr>
          <w:rFonts w:ascii="Arial" w:hAnsi="Arial"/>
          <w:sz w:val="22"/>
        </w:rPr>
        <w:t xml:space="preserve">Three EC2 describe actions retain a wildcard resource because AWS does not support resource-level permissions for those API calls.</w:t>
      </w:r>
    </w:p>
    <w:p>
      <w:pPr>
        <w:spacing w:after="120" w:line="276" w:lineRule="auto"/>
        <w:jc w:val="both"/>
      </w:pPr>
      <w:r>
        <w:rPr>
          <w:rFonts w:ascii="Arial" w:hAnsi="Arial"/>
          <w:sz w:val="22"/>
        </w:rPr>
        <w:t xml:space="preserve">The absence of write permission on the artefact store is the structural mitigation for model poisoning: a compromised inference function lacks the capability to modify the model it loads.</w:t>
      </w:r>
    </w:p>
    <w:p>
      <w:pPr>
        <w:pStyle w:val="Heading3"/>
      </w:pPr>
      <w:r>
        <w:rPr>
          <w:rFonts w:ascii="Arial" w:hAnsi="Arial"/>
          <w:sz w:val="22"/>
        </w:rPr>
        <w:t xml:space="preserve">2.5 Interface</w:t>
      </w:r>
    </w:p>
    <w:p>
      <w:pPr>
        <w:spacing w:after="120" w:line="276" w:lineRule="auto"/>
        <w:jc w:val="both"/>
      </w:pPr>
      <w:r>
        <w:rPr>
          <w:rFonts w:ascii="Arial" w:hAnsi="Arial"/>
          <w:sz w:val="22"/>
        </w:rPr>
        <w:t xml:space="preserve">Lambda Function URL with </w:t>
      </w:r>
      <w:r>
        <w:rPr>
          <w:rFonts w:ascii="Consolas" w:hAnsi="Consolas"/>
          <w:sz w:val="22"/>
        </w:rPr>
        <w:t xml:space="preserve">AWS_IAM</w:t>
      </w:r>
      <w:r>
        <w:rPr>
          <w:rFonts w:ascii="Arial" w:hAnsi="Arial"/>
          <w:sz w:val="22"/>
        </w:rPr>
        <w:t xml:space="preserve"> authentication, requiring SigV4-signed requests, and a resource policy granting invocation to a single named principal conditioned on the auth type. Verified: unsigned requests return HTTP 403; signed requests return predictions.</w:t>
      </w:r>
    </w:p>
    <w:p>
      <w:pPr>
        <w:spacing w:after="120" w:line="276" w:lineRule="auto"/>
        <w:jc w:val="both"/>
      </w:pPr>
      <w:r>
        <w:rPr>
          <w:rFonts w:ascii="Arial" w:hAnsi="Arial"/>
          <w:sz w:val="22"/>
        </w:rPr>
        <w:t xml:space="preserve">API Gateway was not used, on free-tier cost grounds. The accepted consequence is the absence of per-caller rate limiting.</w:t>
      </w:r>
    </w:p>
    <w:p>
      <w:pPr>
        <w:pStyle w:val="Heading3"/>
      </w:pPr>
      <w:r>
        <w:rPr>
          <w:rFonts w:ascii="Arial" w:hAnsi="Arial"/>
          <w:sz w:val="22"/>
        </w:rPr>
        <w:t xml:space="preserve">2.6 Measured behaviour</w:t>
      </w:r>
    </w:p>
    <w:tbl>
      <w:tblPr>
        <w:tblStyle w:val="TableGrid"/>
        <w:tblW w:w="9180" w:type="dxa"/>
        <w:tblLook w:val="04A0" w:firstRow="1" w:lastRow="0" w:firstColumn="1" w:lastColumn="0" w:noHBand="0" w:noVBand="1"/>
      </w:tblPr>
      <w:tblGrid>
        <w:gridCol w:w="3565"/>
        <w:gridCol w:w="2868"/>
        <w:gridCol w:w="2747"/>
      </w:tblGrid>
      <w:tr>
        <w:trPr>
          <w:tblHeader/>
        </w:trPr>
        <w:tc>
          <w:tcPr>
            <w:tcW w:w="3565" w:type="dxa"/>
            <w:shd w:val="clear" w:color="auto" w:fill="EFEFEF"/>
          </w:tcPr>
          <w:p>
            <w:pPr>
              <w:spacing w:after="40"/>
            </w:pPr>
            <w:r>
              <w:rPr>
                <w:rFonts w:ascii="Arial" w:hAnsi="Arial"/>
                <w:b/>
                <w:sz w:val="22"/>
              </w:rPr>
              <w:t xml:space="preserve">Metric</w:t>
            </w:r>
          </w:p>
        </w:tc>
        <w:tc>
          <w:tcPr>
            <w:tcW w:w="2868" w:type="dxa"/>
            <w:shd w:val="clear" w:color="auto" w:fill="EFEFEF"/>
          </w:tcPr>
          <w:p>
            <w:pPr>
              <w:spacing w:after="40"/>
            </w:pPr>
            <w:r>
              <w:rPr>
                <w:rFonts w:ascii="Arial" w:hAnsi="Arial"/>
                <w:b/>
                <w:sz w:val="22"/>
              </w:rPr>
              <w:t xml:space="preserve">Public deployment</w:t>
            </w:r>
          </w:p>
        </w:tc>
        <w:tc>
          <w:tcPr>
            <w:tcW w:w="2747" w:type="dxa"/>
            <w:shd w:val="clear" w:color="auto" w:fill="EFEFEF"/>
          </w:tcPr>
          <w:p>
            <w:pPr>
              <w:spacing w:after="40"/>
            </w:pPr>
            <w:r>
              <w:rPr>
                <w:rFonts w:ascii="Arial" w:hAnsi="Arial"/>
                <w:b/>
                <w:sz w:val="22"/>
              </w:rPr>
              <w:t xml:space="preserve">Private subnet</w:t>
            </w:r>
          </w:p>
        </w:tc>
      </w:tr>
      <w:tr>
        <w:tc>
          <w:tcPr>
            <w:tcW w:w="3565" w:type="dxa"/>
          </w:tcPr>
          <w:p>
            <w:pPr>
              <w:spacing w:after="40"/>
            </w:pPr>
            <w:r>
              <w:rPr>
                <w:rFonts w:ascii="Arial" w:hAnsi="Arial"/>
                <w:sz w:val="22"/>
              </w:rPr>
              <w:t xml:space="preserve">Cold start</w:t>
            </w:r>
          </w:p>
        </w:tc>
        <w:tc>
          <w:tcPr>
            <w:tcW w:w="2868" w:type="dxa"/>
          </w:tcPr>
          <w:p>
            <w:pPr>
              <w:spacing w:after="40"/>
            </w:pPr>
            <w:r>
              <w:rPr>
                <w:rFonts w:ascii="Arial" w:hAnsi="Arial"/>
                <w:sz w:val="22"/>
              </w:rPr>
              <w:t xml:space="preserve">681 ms</w:t>
            </w:r>
          </w:p>
        </w:tc>
        <w:tc>
          <w:tcPr>
            <w:tcW w:w="2747" w:type="dxa"/>
          </w:tcPr>
          <w:p>
            <w:pPr>
              <w:spacing w:after="40"/>
            </w:pPr>
            <w:r>
              <w:rPr>
                <w:rFonts w:ascii="Arial" w:hAnsi="Arial"/>
                <w:sz w:val="22"/>
              </w:rPr>
              <w:t xml:space="preserve">649 ms</w:t>
            </w:r>
          </w:p>
        </w:tc>
      </w:tr>
      <w:tr>
        <w:tc>
          <w:tcPr>
            <w:tcW w:w="3565" w:type="dxa"/>
          </w:tcPr>
          <w:p>
            <w:pPr>
              <w:spacing w:after="40"/>
            </w:pPr>
            <w:r>
              <w:rPr>
                <w:rFonts w:ascii="Arial" w:hAnsi="Arial"/>
                <w:sz w:val="22"/>
              </w:rPr>
              <w:t xml:space="preserve">Invocation</w:t>
            </w:r>
          </w:p>
        </w:tc>
        <w:tc>
          <w:tcPr>
            <w:tcW w:w="2868" w:type="dxa"/>
          </w:tcPr>
          <w:p>
            <w:pPr>
              <w:spacing w:after="40"/>
            </w:pPr>
            <w:r>
              <w:rPr>
                <w:rFonts w:ascii="Arial" w:hAnsi="Arial"/>
                <w:sz w:val="22"/>
              </w:rPr>
              <w:t xml:space="preserve">618 ms</w:t>
            </w:r>
          </w:p>
        </w:tc>
        <w:tc>
          <w:tcPr>
            <w:tcW w:w="2747" w:type="dxa"/>
          </w:tcPr>
          <w:p>
            <w:pPr>
              <w:spacing w:after="40"/>
            </w:pPr>
            <w:r>
              <w:rPr>
                <w:rFonts w:ascii="Arial" w:hAnsi="Arial"/>
                <w:sz w:val="22"/>
              </w:rPr>
              <w:t xml:space="preserve">626 ms</w:t>
            </w:r>
          </w:p>
        </w:tc>
      </w:tr>
      <w:tr>
        <w:tc>
          <w:tcPr>
            <w:tcW w:w="3565" w:type="dxa"/>
          </w:tcPr>
          <w:p>
            <w:pPr>
              <w:spacing w:after="40"/>
            </w:pPr>
            <w:r>
              <w:rPr>
                <w:rFonts w:ascii="Arial" w:hAnsi="Arial"/>
                <w:sz w:val="22"/>
              </w:rPr>
              <w:t xml:space="preserve">Memory used / allocated</w:t>
            </w:r>
          </w:p>
        </w:tc>
        <w:tc>
          <w:tcPr>
            <w:tcW w:w="2868" w:type="dxa"/>
          </w:tcPr>
          <w:p>
            <w:pPr>
              <w:spacing w:after="40"/>
            </w:pPr>
            <w:r>
              <w:rPr>
                <w:rFonts w:ascii="Arial" w:hAnsi="Arial"/>
                <w:sz w:val="22"/>
              </w:rPr>
              <w:t xml:space="preserve">187 MB / 1024 MB</w:t>
            </w:r>
          </w:p>
        </w:tc>
        <w:tc>
          <w:tcPr>
            <w:tcW w:w="2747" w:type="dxa"/>
          </w:tcPr>
          <w:p>
            <w:pPr>
              <w:spacing w:after="40"/>
            </w:pPr>
            <w:r>
              <w:rPr>
                <w:rFonts w:ascii="Arial" w:hAnsi="Arial"/>
                <w:sz w:val="22"/>
              </w:rPr>
              <w:t xml:space="preserve">187 MB / 1024 MB</w:t>
            </w:r>
          </w:p>
        </w:tc>
      </w:tr>
    </w:tbl>
    <w:p>
      <w:pPr>
        <w:spacing w:after="120"/>
      </w:pPr>
    </w:p>
    <w:p>
      <w:pPr>
        <w:spacing w:after="120" w:line="276" w:lineRule="auto"/>
        <w:jc w:val="both"/>
      </w:pPr>
      <w:r>
        <w:rPr>
          <w:rFonts w:ascii="Arial" w:hAnsi="Arial"/>
          <w:sz w:val="22"/>
        </w:rPr>
        <w:t xml:space="preserve">The VPC cold-start penalty widely described in the literature — 8 to 10 seconds while an elastic network interface is provisioned per invocation — did not appear. AWS re-architected Lambda VPC networking in 2019 to use pre-provisioned function-level interfaces, and this measurement is consistent with that change while contradicting guidance still in circulation.</w:t>
      </w:r>
    </w:p>
    <w:p>
      <w:pPr>
        <w:spacing w:after="120" w:line="276" w:lineRule="auto"/>
        <w:jc w:val="both"/>
      </w:pPr>
      <w:r>
        <w:rPr>
          <w:rFonts w:ascii="Arial" w:hAnsi="Arial"/>
          <w:sz w:val="22"/>
        </w:rPr>
        <w:t xml:space="preserve">Network isolation was therefore achieved at no measurable latency cost and no monetary cost.</w:t>
      </w:r>
    </w:p>
    <w:p>
      <w:pPr>
        <w:pStyle w:val="Heading2"/>
      </w:pPr>
      <w:r>
        <w:rPr>
          <w:rFonts w:ascii="Arial" w:hAnsi="Arial"/>
          <w:sz w:val="22"/>
        </w:rPr>
        <w:t xml:space="preserve">3. Threat model</w:t>
      </w:r>
    </w:p>
    <w:p>
      <w:pPr>
        <w:spacing w:after="120" w:line="276" w:lineRule="auto"/>
        <w:jc w:val="both"/>
      </w:pPr>
      <w:r>
        <w:rPr>
          <w:rFonts w:ascii="Arial" w:hAnsi="Arial"/>
          <w:sz w:val="22"/>
        </w:rPr>
        <w:t xml:space="preserve">STRIDE applied to the deployed architecture, extended with MITRE ATLAS categories for machine-learning-specific threats. Fifteen threats identified across four components and three trust boundaries. Eighteen security requirements traced from an identified threat through to verification evidence.</w:t>
      </w:r>
    </w:p>
    <w:p>
      <w:pPr>
        <w:spacing w:after="120" w:line="276" w:lineRule="auto"/>
        <w:jc w:val="both"/>
      </w:pPr>
      <w:r>
        <w:rPr>
          <w:rFonts w:ascii="Arial" w:hAnsi="Arial"/>
          <w:sz w:val="22"/>
        </w:rPr>
        <w:t xml:space="preserve">Controls verified by test: endpoint authentication, absence of an internet route, egress restriction, least-privilege object access, absence of write capability on the artefact, and format-conversion correctness.</w:t>
      </w:r>
    </w:p>
    <w:p>
      <w:pPr>
        <w:spacing w:after="120" w:line="276" w:lineRule="auto"/>
        <w:jc w:val="both"/>
      </w:pPr>
      <w:r>
        <w:rPr>
          <w:rFonts w:ascii="Arial" w:hAnsi="Arial"/>
          <w:sz w:val="22"/>
        </w:rPr>
        <w:t xml:space="preserve">Threats recorded as open or accepted: model evasion (untested at the time of modelling), per-caller rate limiting, object-level access logging, and three platform-unscopable IAM actions.</w:t>
      </w:r>
    </w:p>
    <w:p>
      <w:pPr>
        <w:pStyle w:val="Heading2"/>
      </w:pPr>
      <w:r>
        <w:rPr>
          <w:rFonts w:ascii="Arial" w:hAnsi="Arial"/>
          <w:sz w:val="22"/>
        </w:rPr>
        <w:t xml:space="preserve">4. Adversarial evasion testing</w:t>
      </w:r>
    </w:p>
    <w:p>
      <w:pPr>
        <w:pStyle w:val="Heading3"/>
      </w:pPr>
      <w:r>
        <w:rPr>
          <w:rFonts w:ascii="Arial" w:hAnsi="Arial"/>
          <w:sz w:val="22"/>
        </w:rPr>
        <w:t xml:space="preserve">4.1 Method</w:t>
      </w:r>
    </w:p>
    <w:p>
      <w:pPr>
        <w:spacing w:after="120" w:line="276" w:lineRule="auto"/>
        <w:jc w:val="both"/>
      </w:pPr>
      <w:r>
        <w:rPr>
          <w:rFonts w:ascii="Arial" w:hAnsi="Arial"/>
          <w:sz w:val="22"/>
        </w:rPr>
        <w:t xml:space="preserve">Two threat models were evaluated against the selected classifier.</w:t>
      </w:r>
    </w:p>
    <w:p>
      <w:pPr>
        <w:spacing w:after="120" w:line="276" w:lineRule="auto"/>
        <w:jc w:val="both"/>
      </w:pPr>
      <w:r>
        <w:rPr>
          <w:rFonts w:ascii="Arial" w:hAnsi="Arial"/>
          <w:b/>
          <w:sz w:val="22"/>
        </w:rPr>
        <w:t xml:space="preserve">Unconstrained.</w:t>
      </w:r>
      <w:r>
        <w:rPr>
          <w:rFonts w:ascii="Arial" w:hAnsi="Arial"/>
          <w:sz w:val="22"/>
        </w:rPr>
        <w:t xml:space="preserve"> Arbitrary features may be perturbed. This is the standard adversarial machine learning setting and corresponds to most published evasion results. Search proceeds by escalating random directions followed by binary search for the minimum perturbation norm.</w:t>
      </w:r>
    </w:p>
    <w:p>
      <w:pPr>
        <w:spacing w:after="120" w:line="276" w:lineRule="auto"/>
        <w:jc w:val="both"/>
      </w:pPr>
      <w:r>
        <w:rPr>
          <w:rFonts w:ascii="Arial" w:hAnsi="Arial"/>
          <w:b/>
          <w:sz w:val="22"/>
        </w:rPr>
        <w:t xml:space="preserve">Semantically constrained.</w:t>
      </w:r>
      <w:r>
        <w:rPr>
          <w:rFonts w:ascii="Arial" w:hAnsi="Arial"/>
          <w:sz w:val="22"/>
        </w:rPr>
        <w:t xml:space="preserve"> The adversary manipulates two physically meaningful parameters — proportional temporal dilation and forward packet padding — and every derived feature is recomputed consistently. Durations, inter-arrival statistics, and active and idle periods scale with time; per-second rates scale inversely; padding propagates to forward length statistics, byte totals, and mixed-direction aggregates. Non-negativity is enforced.</w:t>
      </w:r>
    </w:p>
    <w:p>
      <w:pPr>
        <w:spacing w:after="120" w:line="276" w:lineRule="auto"/>
        <w:jc w:val="both"/>
      </w:pPr>
      <w:r>
        <w:rPr>
          <w:rFonts w:ascii="Arial" w:hAnsi="Arial"/>
          <w:sz w:val="22"/>
        </w:rPr>
        <w:t xml:space="preserve">The distinction matters because backward-direction statistics are determined by the victim's responses, TCP flag counts by protocol semantics, initial window size and minimum segment size by the sending host's TCP stack, and destination port by the targeted service. None are freely selectable by an adversary who requires the attack to remain functional. Perturbing them independently produces flows that cannot exist.</w:t>
      </w:r>
    </w:p>
    <w:p>
      <w:pPr>
        <w:pStyle w:val="Heading3"/>
      </w:pPr>
      <w:r>
        <w:rPr>
          <w:rFonts w:ascii="Arial" w:hAnsi="Arial"/>
          <w:sz w:val="22"/>
        </w:rPr>
        <w:t xml:space="preserve">4.2 Results, semantically constrained</w:t>
      </w:r>
    </w:p>
    <w:tbl>
      <w:tblPr>
        <w:tblStyle w:val="TableGrid"/>
        <w:tblW w:w="9180" w:type="dxa"/>
        <w:tblLook w:val="04A0" w:firstRow="1" w:lastRow="0" w:firstColumn="1" w:lastColumn="0" w:noHBand="0" w:noVBand="1"/>
      </w:tblPr>
      <w:tblGrid>
        <w:gridCol w:w="2485"/>
        <w:gridCol w:w="2346"/>
        <w:gridCol w:w="2755"/>
        <w:gridCol w:w="1594"/>
      </w:tblGrid>
      <w:tr>
        <w:trPr>
          <w:tblHeader/>
        </w:trPr>
        <w:tc>
          <w:tcPr>
            <w:tcW w:w="2485" w:type="dxa"/>
            <w:shd w:val="clear" w:color="auto" w:fill="EFEFEF"/>
          </w:tcPr>
          <w:p>
            <w:pPr>
              <w:spacing w:after="40"/>
            </w:pPr>
            <w:r>
              <w:rPr>
                <w:rFonts w:ascii="Arial" w:hAnsi="Arial"/>
                <w:b/>
                <w:sz w:val="22"/>
              </w:rPr>
              <w:t xml:space="preserve">Attack class</w:t>
            </w:r>
          </w:p>
        </w:tc>
        <w:tc>
          <w:tcPr>
            <w:tcW w:w="2346" w:type="dxa"/>
            <w:shd w:val="clear" w:color="auto" w:fill="EFEFEF"/>
          </w:tcPr>
          <w:p>
            <w:pPr>
              <w:spacing w:after="40"/>
            </w:pPr>
            <w:r>
              <w:rPr>
                <w:rFonts w:ascii="Arial" w:hAnsi="Arial"/>
                <w:b/>
                <w:sz w:val="22"/>
              </w:rPr>
              <w:t xml:space="preserve">Evasion rate</w:t>
            </w:r>
          </w:p>
        </w:tc>
        <w:tc>
          <w:tcPr>
            <w:tcW w:w="2755" w:type="dxa"/>
            <w:shd w:val="clear" w:color="auto" w:fill="EFEFEF"/>
          </w:tcPr>
          <w:p>
            <w:pPr>
              <w:spacing w:after="40"/>
            </w:pPr>
            <w:r>
              <w:rPr>
                <w:rFonts w:ascii="Arial" w:hAnsi="Arial"/>
                <w:b/>
                <w:sz w:val="22"/>
              </w:rPr>
              <w:t xml:space="preserve">Median slowdown</w:t>
            </w:r>
          </w:p>
        </w:tc>
        <w:tc>
          <w:tcPr>
            <w:tcW w:w="1594" w:type="dxa"/>
            <w:shd w:val="clear" w:color="auto" w:fill="EFEFEF"/>
          </w:tcPr>
          <w:p>
            <w:pPr>
              <w:spacing w:after="40"/>
            </w:pPr>
            <w:r>
              <w:rPr>
                <w:rFonts w:ascii="Arial" w:hAnsi="Arial"/>
                <w:b/>
                <w:sz w:val="22"/>
              </w:rPr>
              <w:t xml:space="preserve">Minimum</w:t>
            </w:r>
          </w:p>
        </w:tc>
      </w:tr>
      <w:tr>
        <w:tc>
          <w:tcPr>
            <w:tcW w:w="2485" w:type="dxa"/>
          </w:tcPr>
          <w:p>
            <w:pPr>
              <w:spacing w:after="40"/>
            </w:pPr>
            <w:r>
              <w:rPr>
                <w:rFonts w:ascii="Arial" w:hAnsi="Arial"/>
                <w:sz w:val="22"/>
              </w:rPr>
              <w:t xml:space="preserve">Web Attacks</w:t>
            </w:r>
          </w:p>
        </w:tc>
        <w:tc>
          <w:tcPr>
            <w:tcW w:w="2346" w:type="dxa"/>
          </w:tcPr>
          <w:p>
            <w:pPr>
              <w:spacing w:after="40"/>
            </w:pPr>
            <w:r>
              <w:rPr>
                <w:rFonts w:ascii="Arial" w:hAnsi="Arial"/>
                <w:sz w:val="22"/>
              </w:rPr>
              <w:t xml:space="preserve">100%</w:t>
            </w:r>
          </w:p>
        </w:tc>
        <w:tc>
          <w:tcPr>
            <w:tcW w:w="2755" w:type="dxa"/>
          </w:tcPr>
          <w:p>
            <w:pPr>
              <w:spacing w:after="40"/>
            </w:pPr>
            <w:r>
              <w:rPr>
                <w:rFonts w:ascii="Arial" w:hAnsi="Arial"/>
                <w:sz w:val="22"/>
              </w:rPr>
              <w:t xml:space="preserve">1.65×</w:t>
            </w:r>
          </w:p>
        </w:tc>
        <w:tc>
          <w:tcPr>
            <w:tcW w:w="1594" w:type="dxa"/>
          </w:tcPr>
          <w:p>
            <w:pPr>
              <w:spacing w:after="40"/>
            </w:pPr>
            <w:r>
              <w:rPr>
                <w:rFonts w:ascii="Arial" w:hAnsi="Arial"/>
                <w:sz w:val="22"/>
              </w:rPr>
              <w:t xml:space="preserve">1.45×</w:t>
            </w:r>
          </w:p>
        </w:tc>
      </w:tr>
      <w:tr>
        <w:tc>
          <w:tcPr>
            <w:tcW w:w="2485" w:type="dxa"/>
          </w:tcPr>
          <w:p>
            <w:pPr>
              <w:spacing w:after="40"/>
            </w:pPr>
            <w:r>
              <w:rPr>
                <w:rFonts w:ascii="Arial" w:hAnsi="Arial"/>
                <w:sz w:val="22"/>
              </w:rPr>
              <w:t xml:space="preserve">Port Scanning</w:t>
            </w:r>
          </w:p>
        </w:tc>
        <w:tc>
          <w:tcPr>
            <w:tcW w:w="2346" w:type="dxa"/>
          </w:tcPr>
          <w:p>
            <w:pPr>
              <w:spacing w:after="40"/>
            </w:pPr>
            <w:r>
              <w:rPr>
                <w:rFonts w:ascii="Arial" w:hAnsi="Arial"/>
                <w:sz w:val="22"/>
              </w:rPr>
              <w:t xml:space="preserve">100%</w:t>
            </w:r>
          </w:p>
        </w:tc>
        <w:tc>
          <w:tcPr>
            <w:tcW w:w="2755" w:type="dxa"/>
          </w:tcPr>
          <w:p>
            <w:pPr>
              <w:spacing w:after="40"/>
            </w:pPr>
            <w:r>
              <w:rPr>
                <w:rFonts w:ascii="Arial" w:hAnsi="Arial"/>
                <w:sz w:val="22"/>
              </w:rPr>
              <w:t xml:space="preserve">2.88×</w:t>
            </w:r>
          </w:p>
        </w:tc>
        <w:tc>
          <w:tcPr>
            <w:tcW w:w="1594" w:type="dxa"/>
          </w:tcPr>
          <w:p>
            <w:pPr>
              <w:spacing w:after="40"/>
            </w:pPr>
            <w:r>
              <w:rPr>
                <w:rFonts w:ascii="Arial" w:hAnsi="Arial"/>
                <w:sz w:val="22"/>
              </w:rPr>
              <w:t xml:space="preserve">1.00×</w:t>
            </w:r>
          </w:p>
        </w:tc>
      </w:tr>
      <w:tr>
        <w:tc>
          <w:tcPr>
            <w:tcW w:w="2485" w:type="dxa"/>
          </w:tcPr>
          <w:p>
            <w:pPr>
              <w:spacing w:after="40"/>
            </w:pPr>
            <w:r>
              <w:rPr>
                <w:rFonts w:ascii="Arial" w:hAnsi="Arial"/>
                <w:sz w:val="22"/>
              </w:rPr>
              <w:t xml:space="preserve">Bots</w:t>
            </w:r>
          </w:p>
        </w:tc>
        <w:tc>
          <w:tcPr>
            <w:tcW w:w="2346" w:type="dxa"/>
          </w:tcPr>
          <w:p>
            <w:pPr>
              <w:spacing w:after="40"/>
            </w:pPr>
            <w:r>
              <w:rPr>
                <w:rFonts w:ascii="Arial" w:hAnsi="Arial"/>
                <w:sz w:val="22"/>
              </w:rPr>
              <w:t xml:space="preserve">100%</w:t>
            </w:r>
          </w:p>
        </w:tc>
        <w:tc>
          <w:tcPr>
            <w:tcW w:w="2755" w:type="dxa"/>
          </w:tcPr>
          <w:p>
            <w:pPr>
              <w:spacing w:after="40"/>
            </w:pPr>
            <w:r>
              <w:rPr>
                <w:rFonts w:ascii="Arial" w:hAnsi="Arial"/>
                <w:sz w:val="22"/>
              </w:rPr>
              <w:t xml:space="preserve">9.38×</w:t>
            </w:r>
          </w:p>
        </w:tc>
        <w:tc>
          <w:tcPr>
            <w:tcW w:w="1594" w:type="dxa"/>
          </w:tcPr>
          <w:p>
            <w:pPr>
              <w:spacing w:after="40"/>
            </w:pPr>
            <w:r>
              <w:rPr>
                <w:rFonts w:ascii="Arial" w:hAnsi="Arial"/>
                <w:sz w:val="22"/>
              </w:rPr>
              <w:t xml:space="preserve">1.00×</w:t>
            </w:r>
          </w:p>
        </w:tc>
      </w:tr>
      <w:tr>
        <w:tc>
          <w:tcPr>
            <w:tcW w:w="2485" w:type="dxa"/>
          </w:tcPr>
          <w:p>
            <w:pPr>
              <w:spacing w:after="40"/>
            </w:pPr>
            <w:r>
              <w:rPr>
                <w:rFonts w:ascii="Arial" w:hAnsi="Arial"/>
                <w:sz w:val="22"/>
              </w:rPr>
              <w:t xml:space="preserve">DDoS</w:t>
            </w:r>
          </w:p>
        </w:tc>
        <w:tc>
          <w:tcPr>
            <w:tcW w:w="2346" w:type="dxa"/>
          </w:tcPr>
          <w:p>
            <w:pPr>
              <w:spacing w:after="40"/>
            </w:pPr>
            <w:r>
              <w:rPr>
                <w:rFonts w:ascii="Arial" w:hAnsi="Arial"/>
                <w:sz w:val="22"/>
              </w:rPr>
              <w:t xml:space="preserve">88%</w:t>
            </w:r>
          </w:p>
        </w:tc>
        <w:tc>
          <w:tcPr>
            <w:tcW w:w="2755" w:type="dxa"/>
          </w:tcPr>
          <w:p>
            <w:pPr>
              <w:spacing w:after="40"/>
            </w:pPr>
            <w:r>
              <w:rPr>
                <w:rFonts w:ascii="Arial" w:hAnsi="Arial"/>
                <w:sz w:val="22"/>
              </w:rPr>
              <w:t xml:space="preserve">7.00×</w:t>
            </w:r>
          </w:p>
        </w:tc>
        <w:tc>
          <w:tcPr>
            <w:tcW w:w="1594" w:type="dxa"/>
          </w:tcPr>
          <w:p>
            <w:pPr>
              <w:spacing w:after="40"/>
            </w:pPr>
            <w:r>
              <w:rPr>
                <w:rFonts w:ascii="Arial" w:hAnsi="Arial"/>
                <w:sz w:val="22"/>
              </w:rPr>
              <w:t xml:space="preserve">1.00×</w:t>
            </w:r>
          </w:p>
        </w:tc>
      </w:tr>
      <w:tr>
        <w:tc>
          <w:tcPr>
            <w:tcW w:w="2485" w:type="dxa"/>
          </w:tcPr>
          <w:p>
            <w:pPr>
              <w:spacing w:after="40"/>
            </w:pPr>
            <w:r>
              <w:rPr>
                <w:rFonts w:ascii="Arial" w:hAnsi="Arial"/>
                <w:sz w:val="22"/>
              </w:rPr>
              <w:t xml:space="preserve">DoS</w:t>
            </w:r>
          </w:p>
        </w:tc>
        <w:tc>
          <w:tcPr>
            <w:tcW w:w="2346" w:type="dxa"/>
          </w:tcPr>
          <w:p>
            <w:pPr>
              <w:spacing w:after="40"/>
            </w:pPr>
            <w:r>
              <w:rPr>
                <w:rFonts w:ascii="Arial" w:hAnsi="Arial"/>
                <w:sz w:val="22"/>
              </w:rPr>
              <w:t xml:space="preserve">20%</w:t>
            </w:r>
          </w:p>
        </w:tc>
        <w:tc>
          <w:tcPr>
            <w:tcW w:w="2755" w:type="dxa"/>
          </w:tcPr>
          <w:p>
            <w:pPr>
              <w:spacing w:after="40"/>
            </w:pPr>
            <w:r>
              <w:rPr>
                <w:rFonts w:ascii="Arial" w:hAnsi="Arial"/>
                <w:sz w:val="22"/>
              </w:rPr>
              <w:t xml:space="preserve">7.25×</w:t>
            </w:r>
          </w:p>
        </w:tc>
        <w:tc>
          <w:tcPr>
            <w:tcW w:w="1594" w:type="dxa"/>
          </w:tcPr>
          <w:p>
            <w:pPr>
              <w:spacing w:after="40"/>
            </w:pPr>
            <w:r>
              <w:rPr>
                <w:rFonts w:ascii="Arial" w:hAnsi="Arial"/>
                <w:sz w:val="22"/>
              </w:rPr>
              <w:t xml:space="preserve">1.05×</w:t>
            </w:r>
          </w:p>
        </w:tc>
      </w:tr>
      <w:tr>
        <w:tc>
          <w:tcPr>
            <w:tcW w:w="2485" w:type="dxa"/>
          </w:tcPr>
          <w:p>
            <w:pPr>
              <w:spacing w:after="40"/>
            </w:pPr>
            <w:r>
              <w:rPr>
                <w:rFonts w:ascii="Arial" w:hAnsi="Arial"/>
                <w:sz w:val="22"/>
              </w:rPr>
              <w:t xml:space="preserve">Brute Force</w:t>
            </w:r>
          </w:p>
        </w:tc>
        <w:tc>
          <w:tcPr>
            <w:tcW w:w="2346" w:type="dxa"/>
          </w:tcPr>
          <w:p>
            <w:pPr>
              <w:spacing w:after="40"/>
            </w:pPr>
            <w:r>
              <w:rPr>
                <w:rFonts w:ascii="Arial" w:hAnsi="Arial"/>
                <w:sz w:val="22"/>
              </w:rPr>
              <w:t xml:space="preserve">4%</w:t>
            </w:r>
          </w:p>
        </w:tc>
        <w:tc>
          <w:tcPr>
            <w:tcW w:w="2755" w:type="dxa"/>
          </w:tcPr>
          <w:p>
            <w:pPr>
              <w:spacing w:after="40"/>
            </w:pPr>
            <w:r>
              <w:rPr>
                <w:rFonts w:ascii="Arial" w:hAnsi="Arial"/>
                <w:sz w:val="22"/>
              </w:rPr>
              <w:t xml:space="preserve">358×</w:t>
            </w:r>
          </w:p>
        </w:tc>
        <w:tc>
          <w:tcPr>
            <w:tcW w:w="1594" w:type="dxa"/>
          </w:tcPr>
          <w:p>
            <w:pPr>
              <w:spacing w:after="40"/>
            </w:pPr>
            <w:r>
              <w:rPr>
                <w:rFonts w:ascii="Arial" w:hAnsi="Arial"/>
                <w:sz w:val="22"/>
              </w:rPr>
              <w:t xml:space="preserve">234×</w:t>
            </w:r>
          </w:p>
        </w:tc>
      </w:tr>
    </w:tbl>
    <w:p>
      <w:pPr>
        <w:spacing w:after="120"/>
      </w:pPr>
    </w:p>
    <w:p>
      <w:pPr>
        <w:spacing w:after="120" w:line="276" w:lineRule="auto"/>
        <w:jc w:val="both"/>
      </w:pPr>
      <w:r>
        <w:rPr>
          <w:rFonts w:ascii="Arial" w:hAnsi="Arial"/>
          <w:sz w:val="22"/>
        </w:rPr>
        <w:t xml:space="preserve">Most-exploited features, by contribution to successful perturbations: flow duration, forward inter-arrival maximum, flow inter-arrival mean, flow inter-arrival maximum, forward inter-arrival total. Temporal features dominate.</w:t>
      </w:r>
    </w:p>
    <w:p>
      <w:pPr>
        <w:pStyle w:val="Heading3"/>
      </w:pPr>
      <w:r>
        <w:rPr>
          <w:rFonts w:ascii="Arial" w:hAnsi="Arial"/>
          <w:sz w:val="22"/>
        </w:rPr>
        <w:t xml:space="preserve">4.3 Finding</w:t>
      </w:r>
    </w:p>
    <w:p>
      <w:pPr>
        <w:spacing w:after="120" w:line="276" w:lineRule="auto"/>
        <w:jc w:val="both"/>
      </w:pPr>
      <w:r>
        <w:rPr>
          <w:rFonts w:ascii="Arial" w:hAnsi="Arial"/>
          <w:sz w:val="22"/>
        </w:rPr>
        <w:t xml:space="preserve">Evasion cost is inversely proportional to the attack's rate-dependence.</w:t>
      </w:r>
    </w:p>
    <w:p>
      <w:pPr>
        <w:spacing w:after="120" w:line="276" w:lineRule="auto"/>
        <w:jc w:val="both"/>
      </w:pPr>
      <w:r>
        <w:rPr>
          <w:rFonts w:ascii="Arial" w:hAnsi="Arial"/>
          <w:sz w:val="22"/>
        </w:rPr>
        <w:t xml:space="preserve">The classifier's decision boundary is dominated by temporal features. Attack classes whose efficacy is independent of transmission rate — web application attacks, port scanning — evade at negligible cost, since delay imposes no functional penalty on the adversary. Attack classes requiring volume or throughput — brute force, denial of service — cannot be slowed sufficiently to evade without ceasing to constitute the attack. A brute-force attempt dilated by a factor of 358 is not a brute-force attack.</w:t>
      </w:r>
    </w:p>
    <w:p>
      <w:pPr>
        <w:spacing w:after="120" w:line="276" w:lineRule="auto"/>
        <w:jc w:val="both"/>
      </w:pPr>
      <w:r>
        <w:rPr>
          <w:rFonts w:ascii="Arial" w:hAnsi="Arial"/>
          <w:sz w:val="22"/>
        </w:rPr>
        <w:t xml:space="preserve">The temporal cost is therefore itself the defence, but only for rate-dependent classes.</w:t>
      </w:r>
    </w:p>
    <w:p>
      <w:pPr>
        <w:spacing w:after="120" w:line="276" w:lineRule="auto"/>
        <w:jc w:val="both"/>
      </w:pPr>
      <w:r>
        <w:rPr>
          <w:rFonts w:ascii="Arial" w:hAnsi="Arial"/>
          <w:sz w:val="22"/>
        </w:rPr>
        <w:t xml:space="preserve">This reproduces experimentally a documented operational technique: slow scanning to evade intrusion detection is established practice, reflected in scanner timing templates designed for that purpose.</w:t>
      </w:r>
    </w:p>
    <w:p>
      <w:pPr>
        <w:spacing w:after="120" w:line="276" w:lineRule="auto"/>
        <w:jc w:val="both"/>
      </w:pPr>
      <w:r>
        <w:rPr>
          <w:rFonts w:ascii="Arial" w:hAnsi="Arial"/>
          <w:sz w:val="22"/>
        </w:rPr>
        <w:t xml:space="preserve">The corresponding recommendation is that detection of rate-independent attack classes requires features capturing payload or behavioural properties rather than flow timing statistics.</w:t>
      </w:r>
    </w:p>
    <w:p>
      <w:pPr>
        <w:pStyle w:val="Heading3"/>
      </w:pPr>
      <w:r>
        <w:rPr>
          <w:rFonts w:ascii="Arial" w:hAnsi="Arial"/>
          <w:sz w:val="22"/>
        </w:rPr>
        <w:t xml:space="preserve">4.4 Confidence and robustness are unrelated</w:t>
      </w:r>
    </w:p>
    <w:p>
      <w:pPr>
        <w:spacing w:after="120" w:line="276" w:lineRule="auto"/>
        <w:jc w:val="both"/>
      </w:pPr>
      <w:r>
        <w:rPr>
          <w:rFonts w:ascii="Arial" w:hAnsi="Arial"/>
          <w:sz w:val="22"/>
        </w:rPr>
        <w:t xml:space="preserve">Correctly classified flows return confidence values of approximately 0.9999. The same flows evade at temporal dilation factors under 2. High predictive confidence provides no indication of adversarial robustness, and cannot be used as a proxy for it.</w:t>
      </w:r>
    </w:p>
    <w:p>
      <w:pPr>
        <w:spacing w:after="120" w:line="276" w:lineRule="auto"/>
        <w:jc w:val="both"/>
      </w:pPr>
      <w:r>
        <w:rPr>
          <w:rFonts w:ascii="Arial" w:hAnsi="Arial"/>
          <w:sz w:val="22"/>
        </w:rPr>
        <w:t xml:space="preserve">A partial mitigation arises from a separate observation: in live operation, a misclassified flow returned confidence 0.227 against a mean of 0.9999 for correct predictions. A confidence floor routing low-certainty predictions to manual review would capture that failure mode, though it offers no protection against an adversary optimising specifically for high-confidence misclassification.</w:t>
      </w:r>
    </w:p>
    <w:p>
      <w:pPr>
        <w:pStyle w:val="Heading2"/>
      </w:pPr>
      <w:r>
        <w:rPr>
          <w:rFonts w:ascii="Arial" w:hAnsi="Arial"/>
          <w:sz w:val="22"/>
        </w:rPr>
        <w:t xml:space="preserve">5. Contribution</w:t>
      </w:r>
    </w:p>
    <w:p>
      <w:pPr>
        <w:spacing w:after="120" w:line="276" w:lineRule="auto"/>
        <w:jc w:val="both"/>
      </w:pPr>
      <w:r>
        <w:rPr>
          <w:rFonts w:ascii="Arial" w:hAnsi="Arial"/>
          <w:sz w:val="22"/>
        </w:rPr>
        <w:t xml:space="preserve">The infrastructure security controls implemented here were verified as effective: the endpoint rejects unauthenticated requests, the function has no internet route, egress is constrained, privileges are minimal, and the model artefact cannot be modified from the inference path.</w:t>
      </w:r>
    </w:p>
    <w:p>
      <w:pPr>
        <w:spacing w:after="120" w:line="276" w:lineRule="auto"/>
        <w:jc w:val="both"/>
      </w:pPr>
      <w:r>
        <w:rPr>
          <w:rFonts w:ascii="Arial" w:hAnsi="Arial"/>
          <w:sz w:val="22"/>
        </w:rPr>
        <w:t xml:space="preserve">None of these controls provide any protection against evasion of the classifier they surround. The adversary who slows their traffic by a factor of two does not encounter the IAM boundary, the network isolation, or the encryption. They encounter only the decision boundary.</w:t>
      </w:r>
    </w:p>
    <w:p>
      <w:pPr>
        <w:spacing w:after="120" w:line="276" w:lineRule="auto"/>
        <w:jc w:val="both"/>
      </w:pPr>
      <w:r>
        <w:rPr>
          <w:rFonts w:ascii="Arial" w:hAnsi="Arial"/>
          <w:sz w:val="22"/>
        </w:rPr>
        <w:t xml:space="preserve">The distinction between securing a machine learning pipeline and securing the model within it is the project's central finding, and it is demonstrated rather than asserted: every infrastructure threat is closed with test evidence, and every remaining high-severity risk is a property of the model.</w:t>
      </w:r>
    </w:p>
    <w:sectPr w:rsidR="00D02BD5" w:rsidSect="006F7A04">
      <w:headerReference w:type="default" r:id="rId15"/>
      <w:footerReference w:type="default" r:id="rId16"/>
      <w:pgSz w:w="11906" w:h="16838"/>
      <w:pgMar w:top="2740" w:right="1440" w:bottom="1440" w:left="1440" w:header="907"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4131" w:rsidRDefault="008A4131" w:rsidP="002D1619">
      <w:pPr>
        <w:spacing w:after="0" w:line="240" w:lineRule="auto"/>
      </w:pPr>
      <w:r>
        <w:separator/>
      </w:r>
    </w:p>
  </w:endnote>
  <w:endnote w:type="continuationSeparator" w:id="0">
    <w:p w:rsidR="008A4131" w:rsidRDefault="008A4131"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6934" w:rsidRPr="00F80BFC" w:rsidRDefault="00F86934" w:rsidP="00A7468E">
    <w:pPr>
      <w:autoSpaceDE w:val="0"/>
      <w:autoSpaceDN w:val="0"/>
      <w:adjustRightInd w:val="0"/>
      <w:spacing w:after="0" w:line="287" w:lineRule="auto"/>
      <w:rPr>
        <w:rFonts w:ascii="Arial" w:hAnsi="Arial" w:cs="Arial"/>
        <w:b/>
        <w:color w:val="424242"/>
        <w:sz w:val="18"/>
        <w:szCs w:val="18"/>
      </w:rPr>
    </w:pPr>
  </w:p>
  <w:p w:rsidR="002D1619" w:rsidRPr="00D35D6D" w:rsidRDefault="002D1619" w:rsidP="00F86934">
    <w:pPr>
      <w:autoSpaceDE w:val="0"/>
      <w:autoSpaceDN w:val="0"/>
      <w:adjustRightInd w:val="0"/>
      <w:spacing w:after="0" w:line="287" w:lineRule="auto"/>
      <w:jc w:val="center"/>
      <w:rPr>
        <w:rFonts w:ascii="Century Gothic" w:hAnsi="Century Gothic"/>
        <w:color w:val="424242"/>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4131" w:rsidRDefault="008A4131" w:rsidP="002D1619">
      <w:pPr>
        <w:spacing w:after="0" w:line="240" w:lineRule="auto"/>
      </w:pPr>
      <w:r>
        <w:separator/>
      </w:r>
    </w:p>
  </w:footnote>
  <w:footnote w:type="continuationSeparator" w:id="0">
    <w:p w:rsidR="008A4131" w:rsidRDefault="008A4131"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1619" w:rsidRDefault="00874161" w:rsidP="00874161">
    <w:pPr>
      <w:pStyle w:val="Header"/>
      <w:jc w:val="right"/>
    </w:pPr>
    <w:r>
      <w:rPr>
        <w:noProof/>
        <w:lang w:eastAsia="en-GB"/>
      </w:rPr>
      <w:drawing>
        <wp:anchor distT="0" distB="0" distL="114300" distR="114300" simplePos="0" relativeHeight="251658240" behindDoc="1" locked="0" layoutInCell="1" allowOverlap="1">
          <wp:simplePos x="0" y="0"/>
          <wp:positionH relativeFrom="column">
            <wp:posOffset>5057776</wp:posOffset>
          </wp:positionH>
          <wp:positionV relativeFrom="paragraph">
            <wp:posOffset>5080</wp:posOffset>
          </wp:positionV>
          <wp:extent cx="990600" cy="1095831"/>
          <wp:effectExtent l="0" t="0" r="0" b="9525"/>
          <wp:wrapNone/>
          <wp:docPr id="2" name="Picture 2"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4971" cy="110066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1619" w:rsidRDefault="002D1619">
    <w:pPr>
      <w:pStyle w:val="Header"/>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04"/>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0216"/>
    <w:rsid w:val="001315DA"/>
    <w:rsid w:val="001C7B66"/>
    <w:rsid w:val="001F27D4"/>
    <w:rsid w:val="002D1619"/>
    <w:rsid w:val="00384E4C"/>
    <w:rsid w:val="0045697C"/>
    <w:rsid w:val="00485CD6"/>
    <w:rsid w:val="0053670D"/>
    <w:rsid w:val="00561A67"/>
    <w:rsid w:val="00670367"/>
    <w:rsid w:val="006F7A04"/>
    <w:rsid w:val="00760216"/>
    <w:rsid w:val="00771BC5"/>
    <w:rsid w:val="00792A43"/>
    <w:rsid w:val="00792EA5"/>
    <w:rsid w:val="00874161"/>
    <w:rsid w:val="008A4131"/>
    <w:rsid w:val="008C0330"/>
    <w:rsid w:val="008F3E9E"/>
    <w:rsid w:val="00A7468E"/>
    <w:rsid w:val="00A91CFF"/>
    <w:rsid w:val="00B05C40"/>
    <w:rsid w:val="00C150C0"/>
    <w:rsid w:val="00C66F50"/>
    <w:rsid w:val="00C87D60"/>
    <w:rsid w:val="00D02BD5"/>
    <w:rsid w:val="00D35D6D"/>
    <w:rsid w:val="00ED1E9F"/>
    <w:rsid w:val="00F74267"/>
    <w:rsid w:val="00F80BFC"/>
    <w:rsid w:val="00F86934"/>
    <w:rsid w:val="00FC721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BF2F66"/>
  <w15:docId w15:val="{23CA3B3E-7A4C-A24E-A8AC-131FE98A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Heading1">
    <w:name w:val="heading 1"/>
    <w:basedOn w:val="Normal"/>
    <w:next w:val="Normal"/>
    <w:qFormat/>
    <w:pPr>
      <w:keepNext/>
      <w:spacing w:before="360" w:after="160"/>
      <w:outlineLvl w:val="0"/>
    </w:pPr>
    <w:rPr>
      <w:rFonts w:ascii="Arial" w:hAnsi="Arial"/>
      <w:b/>
      <w:sz w:val="32"/>
      <w:szCs w:val="32"/>
    </w:rPr>
  </w:style>
  <w:style w:type="paragraph" w:styleId="Heading2">
    <w:name w:val="heading 2"/>
    <w:basedOn w:val="Normal"/>
    <w:next w:val="Normal"/>
    <w:qFormat/>
    <w:pPr>
      <w:keepNext/>
      <w:spacing w:before="300" w:after="140"/>
      <w:outlineLvl w:val="1"/>
    </w:pPr>
    <w:rPr>
      <w:rFonts w:ascii="Arial" w:hAnsi="Arial"/>
      <w:b/>
      <w:sz w:val="26"/>
      <w:szCs w:val="26"/>
    </w:rPr>
  </w:style>
  <w:style w:type="paragraph" w:styleId="Heading3">
    <w:name w:val="heading 3"/>
    <w:basedOn w:val="Normal"/>
    <w:next w:val="Normal"/>
    <w:qFormat/>
    <w:pPr>
      <w:keepNext/>
      <w:spacing w:before="240" w:after="120"/>
      <w:outlineLvl w:val="2"/>
    </w:pPr>
    <w:rPr>
      <w:rFonts w:ascii="Arial" w:hAnsi="Arial"/>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Num9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6</Words>
  <Characters>40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jshort</dc:creator>
  <cp:lastModifiedBy>Christine Theodoridou</cp:lastModifiedBy>
  <cp:revision>11</cp:revision>
  <cp:lastPrinted>2015-08-05T15:29:00Z</cp:lastPrinted>
  <dcterms:created xsi:type="dcterms:W3CDTF">2016-05-18T07:34:00Z</dcterms:created>
  <dcterms:modified xsi:type="dcterms:W3CDTF">2018-04-10T09:24:00Z</dcterms:modified>
</cp:coreProperties>
</file>