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2EA5" w:rsidRDefault="00760216">
      <w:r>
        <w:rPr>
          <w:noProof/>
          <w:lang w:eastAsia="en-GB"/>
        </w:rPr>
        <w:softHyphen/>
      </w:r>
      <w:r>
        <w:rPr>
          <w:noProof/>
          <w:lang w:eastAsia="en-GB"/>
        </w:rPr>
        <w:softHyphen/>
      </w:r>
      <w:r>
        <w:rPr>
          <w:noProof/>
          <w:lang w:eastAsia="en-GB"/>
        </w:rPr>
        <w:softHyphen/>
      </w:r>
    </w:p>
    <w:p w:rsidR="00760216" w:rsidRDefault="00760216"/>
    <w:p w:rsidR="00D02BD5" w:rsidRDefault="00D02BD5"/>
    <w:tbl>
      <w:tblPr>
        <w:tblStyle w:val="TableGrid"/>
        <w:tblW w:w="0" w:type="auto"/>
        <w:tblLook w:val="04A0" w:firstRow="1" w:lastRow="0" w:firstColumn="1" w:lastColumn="0" w:noHBand="0" w:noVBand="1"/>
      </w:tblPr>
      <w:tblGrid>
        <w:gridCol w:w="9180"/>
      </w:tblGrid>
      <w:tr w:rsidR="008F3E9E" w:rsidTr="00835536">
        <w:tc>
          <w:tcPr>
            <w:tcW w:w="9180" w:type="dxa"/>
          </w:tcPr>
          <w:p w:rsidR="008F3E9E" w:rsidRDefault="006F7A04" w:rsidP="00835536">
            <w:pPr>
              <w:rPr>
                <w:sz w:val="32"/>
                <w:szCs w:val="32"/>
              </w:rPr>
            </w:pPr>
            <w:r>
              <w:rPr>
                <w:noProof/>
                <w:sz w:val="32"/>
                <w:szCs w:val="32"/>
              </w:rPr>
              <w:drawing>
                <wp:anchor distT="0" distB="0" distL="114300" distR="114300" simplePos="0" relativeHeight="251658240" behindDoc="0" locked="0" layoutInCell="1" allowOverlap="1" wp14:anchorId="2ABADF2E">
                  <wp:simplePos x="0" y="0"/>
                  <wp:positionH relativeFrom="margin">
                    <wp:posOffset>0</wp:posOffset>
                  </wp:positionH>
                  <wp:positionV relativeFrom="margin">
                    <wp:posOffset>45720</wp:posOffset>
                  </wp:positionV>
                  <wp:extent cx="1274445" cy="19558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8-04-10 at 08.58.31.png"/>
                          <pic:cNvPicPr/>
                        </pic:nvPicPr>
                        <pic:blipFill>
                          <a:blip r:embed="rId7">
                            <a:extLst>
                              <a:ext uri="{28A0092B-C50C-407E-A947-70E740481C1C}">
                                <a14:useLocalDpi xmlns:a14="http://schemas.microsoft.com/office/drawing/2010/main" val="0"/>
                              </a:ext>
                            </a:extLst>
                          </a:blip>
                          <a:stretch>
                            <a:fillRect/>
                          </a:stretch>
                        </pic:blipFill>
                        <pic:spPr>
                          <a:xfrm>
                            <a:off x="0" y="0"/>
                            <a:ext cx="1274445" cy="195580"/>
                          </a:xfrm>
                          <a:prstGeom prst="rect">
                            <a:avLst/>
                          </a:prstGeom>
                        </pic:spPr>
                      </pic:pic>
                    </a:graphicData>
                  </a:graphic>
                </wp:anchor>
              </w:drawing>
            </w:r>
          </w:p>
          <w:p w:rsidR="008F3E9E" w:rsidRDefault="008F3E9E" w:rsidP="00835536">
            <w:pPr>
              <w:rPr>
                <w:sz w:val="32"/>
                <w:szCs w:val="32"/>
              </w:rPr>
            </w:pPr>
          </w:p>
          <w:p w:rsidR="008F3E9E" w:rsidRPr="006759EF" w:rsidRDefault="008F3E9E" w:rsidP="00835536">
            <w:pPr>
              <w:rPr>
                <w:sz w:val="32"/>
                <w:szCs w:val="32"/>
              </w:rPr>
            </w:pPr>
          </w:p>
          <w:p>
            <w:pPr>
              <w:spacing w:before="60"/>
              <w:ind w:left="2600"/>
              <w:rPr>
                <w:rFonts w:ascii="Arial" w:hAnsi="Arial"/>
                <w:sz w:val="24"/>
              </w:rPr>
            </w:pPr>
            <w:r>
              <w:rPr>
                <w:rFonts w:ascii="Arial" w:hAnsi="Arial"/>
                <w:sz w:val="24"/>
              </w:rPr>
              <w:t xml:space="preserve">Arden University</w:t>
            </w:r>
          </w:p>
        </w:tc>
      </w:tr>
      <w:tr w:rsidR="008F3E9E" w:rsidTr="00835536">
        <w:tc>
          <w:tcPr>
            <w:tcW w:w="9180" w:type="dxa"/>
          </w:tcPr>
          <w:p w:rsidR="008F3E9E" w:rsidRDefault="006F7A04" w:rsidP="00835536">
            <w:pPr>
              <w:rPr>
                <w:sz w:val="32"/>
                <w:szCs w:val="32"/>
              </w:rPr>
            </w:pPr>
            <w:r>
              <w:rPr>
                <w:noProof/>
                <w:sz w:val="32"/>
                <w:szCs w:val="32"/>
              </w:rPr>
              <w:drawing>
                <wp:anchor distT="0" distB="0" distL="114300" distR="114300" simplePos="0" relativeHeight="251659264" behindDoc="0" locked="0" layoutInCell="1" allowOverlap="1" wp14:anchorId="5855CA05">
                  <wp:simplePos x="0" y="0"/>
                  <wp:positionH relativeFrom="margin">
                    <wp:posOffset>0</wp:posOffset>
                  </wp:positionH>
                  <wp:positionV relativeFrom="margin">
                    <wp:posOffset>22860</wp:posOffset>
                  </wp:positionV>
                  <wp:extent cx="1565910" cy="212230"/>
                  <wp:effectExtent l="0" t="0" r="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18-04-10 at 09.00.20.png"/>
                          <pic:cNvPicPr/>
                        </pic:nvPicPr>
                        <pic:blipFill>
                          <a:blip r:embed="rId8">
                            <a:extLst>
                              <a:ext uri="{28A0092B-C50C-407E-A947-70E740481C1C}">
                                <a14:useLocalDpi xmlns:a14="http://schemas.microsoft.com/office/drawing/2010/main" val="0"/>
                              </a:ext>
                            </a:extLst>
                          </a:blip>
                          <a:stretch>
                            <a:fillRect/>
                          </a:stretch>
                        </pic:blipFill>
                        <pic:spPr>
                          <a:xfrm>
                            <a:off x="0" y="0"/>
                            <a:ext cx="1565910" cy="212230"/>
                          </a:xfrm>
                          <a:prstGeom prst="rect">
                            <a:avLst/>
                          </a:prstGeom>
                        </pic:spPr>
                      </pic:pic>
                    </a:graphicData>
                  </a:graphic>
                </wp:anchor>
              </w:drawing>
            </w:r>
          </w:p>
          <w:p w:rsidR="008F3E9E" w:rsidRDefault="008F3E9E" w:rsidP="00835536">
            <w:pPr>
              <w:rPr>
                <w:sz w:val="32"/>
                <w:szCs w:val="32"/>
              </w:rPr>
            </w:pPr>
          </w:p>
          <w:p w:rsidR="008F3E9E" w:rsidRPr="006759EF" w:rsidRDefault="008F3E9E" w:rsidP="00835536">
            <w:pPr>
              <w:rPr>
                <w:sz w:val="32"/>
                <w:szCs w:val="32"/>
              </w:rPr>
            </w:pPr>
          </w:p>
          <w:p>
            <w:pPr>
              <w:spacing w:before="60"/>
              <w:ind w:left="2600"/>
              <w:rPr>
                <w:rFonts w:ascii="Arial" w:hAnsi="Arial"/>
                <w:sz w:val="24"/>
              </w:rPr>
            </w:pPr>
            <w:r>
              <w:rPr>
                <w:rFonts w:ascii="Arial" w:hAnsi="Arial"/>
                <w:sz w:val="24"/>
              </w:rPr>
              <w:t xml:space="preserve">MSc Cyber Security</w:t>
            </w:r>
          </w:p>
        </w:tc>
      </w:tr>
      <w:tr w:rsidR="008F3E9E" w:rsidTr="00835536">
        <w:tc>
          <w:tcPr>
            <w:tcW w:w="9180" w:type="dxa"/>
          </w:tcPr>
          <w:p w:rsidR="008F3E9E" w:rsidRDefault="006F7A04" w:rsidP="00835536">
            <w:pPr>
              <w:rPr>
                <w:sz w:val="32"/>
                <w:szCs w:val="32"/>
              </w:rPr>
            </w:pPr>
            <w:r>
              <w:rPr>
                <w:noProof/>
                <w:sz w:val="32"/>
                <w:szCs w:val="32"/>
              </w:rPr>
              <w:drawing>
                <wp:anchor distT="0" distB="0" distL="114300" distR="114300" simplePos="0" relativeHeight="251660288" behindDoc="0" locked="0" layoutInCell="1" allowOverlap="1">
                  <wp:simplePos x="0" y="0"/>
                  <wp:positionH relativeFrom="margin">
                    <wp:posOffset>14483</wp:posOffset>
                  </wp:positionH>
                  <wp:positionV relativeFrom="margin">
                    <wp:posOffset>6698</wp:posOffset>
                  </wp:positionV>
                  <wp:extent cx="3148965" cy="233680"/>
                  <wp:effectExtent l="0" t="0" r="63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8-04-10 at 09.02.04.png"/>
                          <pic:cNvPicPr/>
                        </pic:nvPicPr>
                        <pic:blipFill>
                          <a:blip r:embed="rId9">
                            <a:extLst>
                              <a:ext uri="{28A0092B-C50C-407E-A947-70E740481C1C}">
                                <a14:useLocalDpi xmlns:a14="http://schemas.microsoft.com/office/drawing/2010/main" val="0"/>
                              </a:ext>
                            </a:extLst>
                          </a:blip>
                          <a:stretch>
                            <a:fillRect/>
                          </a:stretch>
                        </pic:blipFill>
                        <pic:spPr>
                          <a:xfrm>
                            <a:off x="0" y="0"/>
                            <a:ext cx="3148965" cy="233680"/>
                          </a:xfrm>
                          <a:prstGeom prst="rect">
                            <a:avLst/>
                          </a:prstGeom>
                        </pic:spPr>
                      </pic:pic>
                    </a:graphicData>
                  </a:graphic>
                </wp:anchor>
              </w:drawing>
            </w:r>
            <w:bookmarkStart w:id="0" w:name="_GoBack"/>
            <w:bookmarkEnd w:id="0"/>
          </w:p>
          <w:p w:rsidR="008F3E9E" w:rsidRDefault="008F3E9E" w:rsidP="00835536">
            <w:pPr>
              <w:rPr>
                <w:sz w:val="32"/>
                <w:szCs w:val="32"/>
              </w:rPr>
            </w:pPr>
          </w:p>
          <w:p w:rsidR="008F3E9E" w:rsidRPr="006759EF" w:rsidRDefault="008F3E9E" w:rsidP="00835536">
            <w:pPr>
              <w:rPr>
                <w:sz w:val="32"/>
                <w:szCs w:val="32"/>
              </w:rPr>
            </w:pPr>
          </w:p>
          <w:p>
            <w:pPr>
              <w:spacing w:before="60"/>
              <w:ind w:left="2600"/>
              <w:rPr>
                <w:rFonts w:ascii="Arial" w:hAnsi="Arial"/>
                <w:sz w:val="24"/>
              </w:rPr>
            </w:pPr>
            <w:r>
              <w:rPr>
                <w:rFonts w:ascii="Arial" w:hAnsi="Arial"/>
                <w:sz w:val="24"/>
              </w:rPr>
              <w:t xml:space="preserve">Advanced Computing Project (COM7014)</w:t>
            </w:r>
          </w:p>
        </w:tc>
      </w:tr>
      <w:tr w:rsidR="008F3E9E" w:rsidTr="00835536">
        <w:tc>
          <w:tcPr>
            <w:tcW w:w="9180" w:type="dxa"/>
          </w:tcPr>
          <w:p w:rsidR="008F3E9E" w:rsidRDefault="00485CD6" w:rsidP="00835536">
            <w:pPr>
              <w:rPr>
                <w:sz w:val="32"/>
                <w:szCs w:val="32"/>
              </w:rPr>
            </w:pPr>
            <w:r>
              <w:rPr>
                <w:noProof/>
                <w:sz w:val="32"/>
                <w:szCs w:val="32"/>
              </w:rPr>
              <w:drawing>
                <wp:anchor distT="0" distB="0" distL="114300" distR="114300" simplePos="0" relativeHeight="251661312" behindDoc="0" locked="0" layoutInCell="1" allowOverlap="1">
                  <wp:simplePos x="0" y="0"/>
                  <wp:positionH relativeFrom="margin">
                    <wp:posOffset>0</wp:posOffset>
                  </wp:positionH>
                  <wp:positionV relativeFrom="margin">
                    <wp:posOffset>22860</wp:posOffset>
                  </wp:positionV>
                  <wp:extent cx="1436370" cy="189865"/>
                  <wp:effectExtent l="0" t="0" r="0" b="63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18-04-10 at 09.03.01.png"/>
                          <pic:cNvPicPr/>
                        </pic:nvPicPr>
                        <pic:blipFill>
                          <a:blip r:embed="rId10">
                            <a:extLst>
                              <a:ext uri="{28A0092B-C50C-407E-A947-70E740481C1C}">
                                <a14:useLocalDpi xmlns:a14="http://schemas.microsoft.com/office/drawing/2010/main" val="0"/>
                              </a:ext>
                            </a:extLst>
                          </a:blip>
                          <a:stretch>
                            <a:fillRect/>
                          </a:stretch>
                        </pic:blipFill>
                        <pic:spPr>
                          <a:xfrm>
                            <a:off x="0" y="0"/>
                            <a:ext cx="1436370" cy="189865"/>
                          </a:xfrm>
                          <a:prstGeom prst="rect">
                            <a:avLst/>
                          </a:prstGeom>
                        </pic:spPr>
                      </pic:pic>
                    </a:graphicData>
                  </a:graphic>
                </wp:anchor>
              </w:drawing>
            </w:r>
          </w:p>
          <w:p w:rsidR="008F3E9E" w:rsidRDefault="008F3E9E" w:rsidP="00835536">
            <w:pPr>
              <w:rPr>
                <w:sz w:val="32"/>
                <w:szCs w:val="32"/>
              </w:rPr>
            </w:pPr>
          </w:p>
          <w:p w:rsidR="008F3E9E" w:rsidRPr="006759EF" w:rsidRDefault="008F3E9E" w:rsidP="00835536">
            <w:pPr>
              <w:rPr>
                <w:sz w:val="32"/>
                <w:szCs w:val="32"/>
              </w:rPr>
            </w:pPr>
          </w:p>
          <w:p>
            <w:pPr>
              <w:spacing w:before="60"/>
              <w:ind w:left="2600"/>
              <w:rPr>
                <w:rFonts w:ascii="Arial" w:hAnsi="Arial"/>
                <w:sz w:val="24"/>
              </w:rPr>
            </w:pPr>
            <w:r>
              <w:rPr>
                <w:rFonts w:ascii="Arial" w:hAnsi="Arial"/>
                <w:sz w:val="24"/>
              </w:rPr>
              <w:t xml:space="preserve">Literature Review Plan and Search Strategy</w:t>
            </w:r>
          </w:p>
        </w:tc>
      </w:tr>
      <w:tr w:rsidR="008F3E9E" w:rsidTr="00835536">
        <w:tc>
          <w:tcPr>
            <w:tcW w:w="9180" w:type="dxa"/>
          </w:tcPr>
          <w:p w:rsidR="008F3E9E" w:rsidRDefault="00384E4C" w:rsidP="001315DA">
            <w:pPr>
              <w:rPr>
                <w:sz w:val="32"/>
                <w:szCs w:val="32"/>
              </w:rPr>
            </w:pPr>
            <w:r>
              <w:rPr>
                <w:noProof/>
                <w:sz w:val="32"/>
                <w:szCs w:val="32"/>
              </w:rPr>
              <w:drawing>
                <wp:anchor distT="0" distB="0" distL="114300" distR="114300" simplePos="0" relativeHeight="251662336" behindDoc="0" locked="0" layoutInCell="1" allowOverlap="1">
                  <wp:simplePos x="0" y="0"/>
                  <wp:positionH relativeFrom="margin">
                    <wp:posOffset>-27992</wp:posOffset>
                  </wp:positionH>
                  <wp:positionV relativeFrom="margin">
                    <wp:posOffset>27992</wp:posOffset>
                  </wp:positionV>
                  <wp:extent cx="1436370" cy="180123"/>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18-04-10 at 09.04.59.png"/>
                          <pic:cNvPicPr/>
                        </pic:nvPicPr>
                        <pic:blipFill>
                          <a:blip r:embed="rId11">
                            <a:extLst>
                              <a:ext uri="{28A0092B-C50C-407E-A947-70E740481C1C}">
                                <a14:useLocalDpi xmlns:a14="http://schemas.microsoft.com/office/drawing/2010/main" val="0"/>
                              </a:ext>
                            </a:extLst>
                          </a:blip>
                          <a:stretch>
                            <a:fillRect/>
                          </a:stretch>
                        </pic:blipFill>
                        <pic:spPr>
                          <a:xfrm>
                            <a:off x="0" y="0"/>
                            <a:ext cx="1436370" cy="180123"/>
                          </a:xfrm>
                          <a:prstGeom prst="rect">
                            <a:avLst/>
                          </a:prstGeom>
                        </pic:spPr>
                      </pic:pic>
                    </a:graphicData>
                  </a:graphic>
                </wp:anchor>
              </w:drawing>
            </w:r>
          </w:p>
          <w:p w:rsidR="008F3E9E" w:rsidRDefault="008F3E9E" w:rsidP="00835536">
            <w:pPr>
              <w:rPr>
                <w:sz w:val="32"/>
                <w:szCs w:val="32"/>
              </w:rPr>
            </w:pPr>
          </w:p>
          <w:p w:rsidR="008F3E9E" w:rsidRPr="006759EF" w:rsidRDefault="008F3E9E" w:rsidP="00835536">
            <w:pPr>
              <w:rPr>
                <w:sz w:val="32"/>
                <w:szCs w:val="32"/>
              </w:rPr>
            </w:pPr>
          </w:p>
          <w:p>
            <w:pPr>
              <w:spacing w:before="60"/>
              <w:ind w:left="2600"/>
              <w:rPr>
                <w:rFonts w:ascii="Arial" w:hAnsi="Arial"/>
                <w:sz w:val="24"/>
              </w:rPr>
            </w:pPr>
            <w:r>
              <w:rPr>
                <w:rFonts w:ascii="Arial" w:hAnsi="Arial"/>
                <w:sz w:val="24"/>
              </w:rPr>
              <w:t xml:space="preserve">[Insert Student Number]</w:t>
            </w:r>
          </w:p>
        </w:tc>
      </w:tr>
      <w:tr w:rsidR="008F3E9E" w:rsidTr="00835536">
        <w:tc>
          <w:tcPr>
            <w:tcW w:w="9180" w:type="dxa"/>
          </w:tcPr>
          <w:p w:rsidR="008F3E9E" w:rsidRDefault="00771BC5" w:rsidP="00835536">
            <w:pPr>
              <w:rPr>
                <w:sz w:val="32"/>
                <w:szCs w:val="32"/>
              </w:rPr>
            </w:pPr>
            <w:r>
              <w:rPr>
                <w:noProof/>
                <w:sz w:val="32"/>
                <w:szCs w:val="32"/>
              </w:rPr>
              <w:drawing>
                <wp:anchor distT="0" distB="0" distL="114300" distR="114300" simplePos="0" relativeHeight="251663360" behindDoc="0" locked="0" layoutInCell="1" allowOverlap="1">
                  <wp:simplePos x="0" y="0"/>
                  <wp:positionH relativeFrom="margin">
                    <wp:posOffset>2038</wp:posOffset>
                  </wp:positionH>
                  <wp:positionV relativeFrom="margin">
                    <wp:posOffset>23327</wp:posOffset>
                  </wp:positionV>
                  <wp:extent cx="1045029" cy="197957"/>
                  <wp:effectExtent l="0" t="0" r="0" b="571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18-04-10 at 09.06.03.png"/>
                          <pic:cNvPicPr/>
                        </pic:nvPicPr>
                        <pic:blipFill>
                          <a:blip r:embed="rId12">
                            <a:extLst>
                              <a:ext uri="{28A0092B-C50C-407E-A947-70E740481C1C}">
                                <a14:useLocalDpi xmlns:a14="http://schemas.microsoft.com/office/drawing/2010/main" val="0"/>
                              </a:ext>
                            </a:extLst>
                          </a:blip>
                          <a:stretch>
                            <a:fillRect/>
                          </a:stretch>
                        </pic:blipFill>
                        <pic:spPr>
                          <a:xfrm>
                            <a:off x="0" y="0"/>
                            <a:ext cx="1045029" cy="197957"/>
                          </a:xfrm>
                          <a:prstGeom prst="rect">
                            <a:avLst/>
                          </a:prstGeom>
                        </pic:spPr>
                      </pic:pic>
                    </a:graphicData>
                  </a:graphic>
                </wp:anchor>
              </w:drawing>
            </w:r>
          </w:p>
          <w:p w:rsidR="008F3E9E" w:rsidRDefault="008F3E9E" w:rsidP="00835536">
            <w:pPr>
              <w:rPr>
                <w:sz w:val="32"/>
                <w:szCs w:val="32"/>
              </w:rPr>
            </w:pPr>
          </w:p>
          <w:p w:rsidR="008F3E9E" w:rsidRPr="006759EF" w:rsidRDefault="008F3E9E" w:rsidP="00835536">
            <w:pPr>
              <w:rPr>
                <w:sz w:val="32"/>
                <w:szCs w:val="32"/>
              </w:rPr>
            </w:pPr>
          </w:p>
          <w:p>
            <w:pPr>
              <w:spacing w:before="60"/>
              <w:ind w:left="2600"/>
              <w:rPr>
                <w:rFonts w:ascii="Arial" w:hAnsi="Arial"/>
                <w:sz w:val="24"/>
              </w:rPr>
            </w:pPr>
            <w:r>
              <w:rPr>
                <w:rFonts w:ascii="Arial" w:hAnsi="Arial"/>
                <w:sz w:val="24"/>
              </w:rPr>
              <w:t xml:space="preserve">[Insert Supervisor Name]</w:t>
            </w:r>
          </w:p>
        </w:tc>
      </w:tr>
      <w:tr w:rsidR="008F3E9E" w:rsidTr="00835536">
        <w:tc>
          <w:tcPr>
            <w:tcW w:w="9180" w:type="dxa"/>
          </w:tcPr>
          <w:p w:rsidR="008F3E9E" w:rsidRDefault="00A91CFF" w:rsidP="00835536">
            <w:pPr>
              <w:rPr>
                <w:sz w:val="32"/>
                <w:szCs w:val="32"/>
              </w:rPr>
            </w:pPr>
            <w:r>
              <w:rPr>
                <w:noProof/>
                <w:sz w:val="32"/>
                <w:szCs w:val="32"/>
              </w:rPr>
              <w:drawing>
                <wp:anchor distT="0" distB="0" distL="114300" distR="114300" simplePos="0" relativeHeight="251664384" behindDoc="0" locked="0" layoutInCell="1" allowOverlap="1">
                  <wp:simplePos x="0" y="0"/>
                  <wp:positionH relativeFrom="margin">
                    <wp:posOffset>635</wp:posOffset>
                  </wp:positionH>
                  <wp:positionV relativeFrom="margin">
                    <wp:posOffset>22390</wp:posOffset>
                  </wp:positionV>
                  <wp:extent cx="1077595" cy="201295"/>
                  <wp:effectExtent l="0" t="0" r="1905" b="190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18-04-10 at 09.08.02.png"/>
                          <pic:cNvPicPr/>
                        </pic:nvPicPr>
                        <pic:blipFill>
                          <a:blip r:embed="rId13">
                            <a:extLst>
                              <a:ext uri="{28A0092B-C50C-407E-A947-70E740481C1C}">
                                <a14:useLocalDpi xmlns:a14="http://schemas.microsoft.com/office/drawing/2010/main" val="0"/>
                              </a:ext>
                            </a:extLst>
                          </a:blip>
                          <a:stretch>
                            <a:fillRect/>
                          </a:stretch>
                        </pic:blipFill>
                        <pic:spPr>
                          <a:xfrm>
                            <a:off x="0" y="0"/>
                            <a:ext cx="1077595" cy="201295"/>
                          </a:xfrm>
                          <a:prstGeom prst="rect">
                            <a:avLst/>
                          </a:prstGeom>
                        </pic:spPr>
                      </pic:pic>
                    </a:graphicData>
                  </a:graphic>
                </wp:anchor>
              </w:drawing>
            </w:r>
          </w:p>
          <w:p w:rsidR="00A91CFF" w:rsidRDefault="00A91CFF" w:rsidP="00835536">
            <w:pPr>
              <w:rPr>
                <w:sz w:val="32"/>
                <w:szCs w:val="32"/>
              </w:rPr>
            </w:pPr>
          </w:p>
          <w:p w:rsidR="008F3E9E" w:rsidRPr="006759EF" w:rsidRDefault="008F3E9E" w:rsidP="00835536">
            <w:pPr>
              <w:rPr>
                <w:sz w:val="18"/>
                <w:szCs w:val="18"/>
              </w:rPr>
            </w:pPr>
          </w:p>
          <w:p w:rsidR="008F3E9E" w:rsidRPr="006759EF" w:rsidRDefault="00A91CFF" w:rsidP="00835536">
            <w:pPr>
              <w:rPr>
                <w:sz w:val="32"/>
                <w:szCs w:val="32"/>
              </w:rPr>
            </w:pPr>
            <w:r>
              <w:rPr>
                <w:noProof/>
                <w:sz w:val="32"/>
                <w:szCs w:val="32"/>
              </w:rPr>
              <w:drawing>
                <wp:inline distT="0" distB="0" distL="0" distR="0">
                  <wp:extent cx="3396343" cy="126055"/>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18-04-10 at 09.07.22.png"/>
                          <pic:cNvPicPr/>
                        </pic:nvPicPr>
                        <pic:blipFill>
                          <a:blip r:embed="rId14">
                            <a:extLst>
                              <a:ext uri="{28A0092B-C50C-407E-A947-70E740481C1C}">
                                <a14:useLocalDpi xmlns:a14="http://schemas.microsoft.com/office/drawing/2010/main" val="0"/>
                              </a:ext>
                            </a:extLst>
                          </a:blip>
                          <a:stretch>
                            <a:fillRect/>
                          </a:stretch>
                        </pic:blipFill>
                        <pic:spPr>
                          <a:xfrm>
                            <a:off x="0" y="0"/>
                            <a:ext cx="3396343" cy="126055"/>
                          </a:xfrm>
                          <a:prstGeom prst="rect">
                            <a:avLst/>
                          </a:prstGeom>
                        </pic:spPr>
                      </pic:pic>
                    </a:graphicData>
                  </a:graphic>
                </wp:inline>
              </w:drawing>
            </w:r>
          </w:p>
          <w:p>
            <w:pPr>
              <w:spacing w:before="60"/>
              <w:ind w:left="2600"/>
              <w:rPr>
                <w:rFonts w:ascii="Arial" w:hAnsi="Arial"/>
                <w:sz w:val="24"/>
              </w:rPr>
            </w:pPr>
            <w:r>
              <w:rPr>
                <w:rFonts w:ascii="Arial" w:hAnsi="Arial"/>
                <w:sz w:val="24"/>
              </w:rPr>
              <w:t xml:space="preserve">3,060 (this document)</w:t>
            </w:r>
          </w:p>
        </w:tc>
      </w:tr>
    </w:tbl>
    <w:p>
      <w:r>
        <w:br w:type="page"/>
      </w:r>
    </w:p>
    <w:p>
      <w:pPr>
        <w:spacing w:before="240" w:after="80"/>
        <w:jc w:val="center"/>
      </w:pPr>
      <w:r>
        <w:rPr>
          <w:rFonts w:ascii="Arial" w:hAnsi="Arial"/>
          <w:b/>
          <w:sz w:val="36"/>
        </w:rPr>
        <w:t>Literature Review Plan</w:t>
      </w:r>
    </w:p>
    <w:p>
      <w:pPr>
        <w:spacing w:after="320"/>
        <w:jc w:val="center"/>
      </w:pPr>
      <w:r>
        <w:rPr>
          <w:rFonts w:ascii="Arial" w:hAnsi="Arial"/>
          <w:sz w:val="24"/>
          <w:color w:val="595959"/>
        </w:rPr>
        <w:t>Structure, search strategy and starting sources</w:t>
      </w:r>
    </w:p>
    <w:p>
      <w:pPr>
        <w:spacing w:after="120" w:line="276" w:lineRule="auto"/>
        <w:jc w:val="both"/>
      </w:pPr>
      <w:r>
        <w:rPr>
          <w:rFonts w:ascii="Arial" w:hAnsi="Arial"/>
          <w:sz w:val="22"/>
        </w:rPr>
        <w:t xml:space="preserve">Structure, search strategy and starting sources for the Fact Finding chapter. Target length approximately 3,000 words across six themes.</w:t>
      </w:r>
    </w:p>
    <w:p>
      <w:pPr>
        <w:spacing w:after="120" w:line="276" w:lineRule="auto"/>
        <w:jc w:val="both"/>
      </w:pPr>
      <w:r>
        <w:rPr>
          <w:rFonts w:ascii="Arial" w:hAnsi="Arial"/>
          <w:sz w:val="22"/>
        </w:rPr>
        <w:t xml:space="preserve">Every citation listed in section 3 was located through database search and its bibliographic details recorded. Where a detail is marked for verification, confirm it against the publisher record before citing.</w:t>
      </w:r>
    </w:p>
    <w:p>
      <w:pPr>
        <w:pStyle w:val="Heading2"/>
      </w:pPr>
      <w:r>
        <w:rPr>
          <w:rFonts w:ascii="Arial" w:hAnsi="Arial"/>
          <w:sz w:val="22"/>
        </w:rPr>
        <w:t xml:space="preserve">1. What this chapter must do</w:t>
      </w:r>
    </w:p>
    <w:p>
      <w:pPr>
        <w:spacing w:after="120" w:line="276" w:lineRule="auto"/>
        <w:jc w:val="both"/>
      </w:pPr>
      <w:r>
        <w:rPr>
          <w:rFonts w:ascii="Arial" w:hAnsi="Arial"/>
          <w:sz w:val="22"/>
        </w:rPr>
        <w:t xml:space="preserve">The marking criteria distinguish "some relevant sources" at the lower bands from "comprehensive use of supporting sources of the highest quality" at the top. The distinguishing factor is not volume but function: sources must do work in the argument rather than sit in a list.</w:t>
      </w:r>
    </w:p>
    <w:p>
      <w:pPr>
        <w:spacing w:after="120" w:line="276" w:lineRule="auto"/>
        <w:jc w:val="both"/>
      </w:pPr>
      <w:r>
        <w:rPr>
          <w:rFonts w:ascii="Arial" w:hAnsi="Arial"/>
          <w:sz w:val="22"/>
        </w:rPr>
        <w:t xml:space="preserve">Three specific jobs for this chapter:</w:t>
      </w:r>
    </w:p>
    <w:p>
      <w:pPr>
        <w:spacing w:after="120" w:line="276" w:lineRule="auto"/>
        <w:jc w:val="both"/>
      </w:pPr>
      <w:r>
        <w:rPr>
          <w:rFonts w:ascii="Arial" w:hAnsi="Arial"/>
          <w:b/>
          <w:sz w:val="22"/>
        </w:rPr>
        <w:t xml:space="preserve">Establish a benchmark.</w:t>
      </w:r>
      <w:r>
        <w:rPr>
          <w:rFonts w:ascii="Arial" w:hAnsi="Arial"/>
          <w:sz w:val="22"/>
        </w:rPr>
        <w:t xml:space="preserve"> A macro F1 of 0.972 means nothing without published comparators on the same dataset. This is also the prerequisite for the Critical Evaluation chapter, which cannot position the result without it.</w:t>
      </w:r>
    </w:p>
    <w:p>
      <w:pPr>
        <w:spacing w:after="120" w:line="276" w:lineRule="auto"/>
        <w:jc w:val="both"/>
      </w:pPr>
      <w:r>
        <w:rPr>
          <w:rFonts w:ascii="Arial" w:hAnsi="Arial"/>
          <w:b/>
          <w:sz w:val="22"/>
        </w:rPr>
        <w:t xml:space="preserve">Justify method choices retrospectively.</w:t>
      </w:r>
      <w:r>
        <w:rPr>
          <w:rFonts w:ascii="Arial" w:hAnsi="Arial"/>
          <w:sz w:val="22"/>
        </w:rPr>
        <w:t xml:space="preserve"> The imbalance strategy, the model families compared, and the threshold approach were all chosen for reasons; the literature supplies the grounding those reasons need.</w:t>
      </w:r>
    </w:p>
    <w:p>
      <w:pPr>
        <w:spacing w:after="120" w:line="276" w:lineRule="auto"/>
        <w:jc w:val="both"/>
      </w:pPr>
      <w:r>
        <w:rPr>
          <w:rFonts w:ascii="Arial" w:hAnsi="Arial"/>
          <w:b/>
          <w:sz w:val="22"/>
        </w:rPr>
        <w:t xml:space="preserve">Position the evasion finding.</w:t>
      </w:r>
      <w:r>
        <w:rPr>
          <w:rFonts w:ascii="Arial" w:hAnsi="Arial"/>
          <w:sz w:val="22"/>
        </w:rPr>
        <w:t xml:space="preserve"> This is the strongest section available. There is an established literature on constrained adversarial attacks in the network domain, and the experiments reproduce its central concern independently. A review that engages with that literature reads very differently from a generic survey.</w:t>
      </w:r>
    </w:p>
    <w:p>
      <w:pPr>
        <w:pStyle w:val="Heading2"/>
      </w:pPr>
      <w:r>
        <w:rPr>
          <w:rFonts w:ascii="Arial" w:hAnsi="Arial"/>
          <w:sz w:val="22"/>
        </w:rPr>
        <w:t xml:space="preserve">2. Search strategy</w:t>
      </w:r>
    </w:p>
    <w:p>
      <w:pPr>
        <w:spacing w:after="120" w:line="276" w:lineRule="auto"/>
        <w:jc w:val="both"/>
      </w:pPr>
      <w:r>
        <w:rPr>
          <w:rFonts w:ascii="Arial" w:hAnsi="Arial"/>
          <w:b/>
          <w:sz w:val="22"/>
        </w:rPr>
        <w:t xml:space="preserve">Databases.</w:t>
      </w:r>
      <w:r>
        <w:rPr>
          <w:rFonts w:ascii="Arial" w:hAnsi="Arial"/>
          <w:sz w:val="22"/>
        </w:rPr>
        <w:t xml:space="preserve"> IEEE Xplore, ACM Digital Library, and ScienceDirect through the Arden library. Google Scholar for citation chaining only, not as a primary source.</w:t>
      </w:r>
    </w:p>
    <w:p>
      <w:pPr>
        <w:spacing w:after="120" w:line="276" w:lineRule="auto"/>
        <w:jc w:val="both"/>
      </w:pPr>
      <w:r>
        <w:rPr>
          <w:rFonts w:ascii="Arial" w:hAnsi="Arial"/>
          <w:b/>
          <w:sz w:val="22"/>
        </w:rPr>
        <w:t xml:space="preserve">Method.</w:t>
      </w:r>
      <w:r>
        <w:rPr>
          <w:rFonts w:ascii="Arial" w:hAnsi="Arial"/>
          <w:sz w:val="22"/>
        </w:rPr>
        <w:t xml:space="preserve"> Start from the sources in section 3, then work in two directions: backward through their reference lists, and forward through "cited by" to find more recent work. Citation chaining from a small set of well-chosen papers is more efficient than keyword searching and produces a more coherent review.</w:t>
      </w:r>
    </w:p>
    <w:p>
      <w:pPr>
        <w:spacing w:after="120" w:line="276" w:lineRule="auto"/>
        <w:jc w:val="both"/>
      </w:pPr>
      <w:r>
        <w:rPr>
          <w:rFonts w:ascii="Arial" w:hAnsi="Arial"/>
          <w:b/>
          <w:sz w:val="22"/>
        </w:rPr>
        <w:t xml:space="preserve">Selection criteria.</w:t>
      </w:r>
      <w:r>
        <w:rPr>
          <w:rFonts w:ascii="Arial" w:hAnsi="Arial"/>
          <w:sz w:val="22"/>
        </w:rPr>
        <w:t xml:space="preserve"> Prefer peer-reviewed venues and primary standards (NIST, MITRE) over blog posts and preprints, though arXiv preprints from established groups are acceptable where no published version exists. Prefer work from 2019 onward for anything concerning current practice; foundational papers may be older.</w:t>
      </w:r>
    </w:p>
    <w:p>
      <w:pPr>
        <w:spacing w:after="120" w:line="276" w:lineRule="auto"/>
        <w:jc w:val="both"/>
      </w:pPr>
      <w:r>
        <w:rPr>
          <w:rFonts w:ascii="Arial" w:hAnsi="Arial"/>
          <w:b/>
          <w:sz w:val="22"/>
        </w:rPr>
        <w:t xml:space="preserve">Recording.</w:t>
      </w:r>
      <w:r>
        <w:rPr>
          <w:rFonts w:ascii="Arial" w:hAnsi="Arial"/>
          <w:sz w:val="22"/>
        </w:rPr>
        <w:t xml:space="preserve"> Keep a reading log with, for each source: full citation, the specific claim it supports in your argument, and the page or section where that claim appears. Reconstructing this at write-up time is far more work than capturing it while reading.</w:t>
      </w:r>
    </w:p>
    <w:p>
      <w:pPr>
        <w:pStyle w:val="Heading2"/>
      </w:pPr>
      <w:r>
        <w:rPr>
          <w:rFonts w:ascii="Arial" w:hAnsi="Arial"/>
          <w:sz w:val="22"/>
        </w:rPr>
        <w:t xml:space="preserve">3. Themes and starting sources</w:t>
      </w:r>
    </w:p>
    <w:p>
      <w:pPr>
        <w:pStyle w:val="Heading3"/>
      </w:pPr>
      <w:r>
        <w:rPr>
          <w:rFonts w:ascii="Arial" w:hAnsi="Arial"/>
          <w:sz w:val="22"/>
        </w:rPr>
        <w:t xml:space="preserve">3.1 Machine learning for intrusion detection, and CICIDS2017 benchmarks</w:t>
      </w:r>
    </w:p>
    <w:p>
      <w:pPr>
        <w:spacing w:after="120" w:line="276" w:lineRule="auto"/>
        <w:jc w:val="both"/>
      </w:pPr>
      <w:r>
        <w:rPr>
          <w:rFonts w:ascii="Arial" w:hAnsi="Arial"/>
          <w:b/>
          <w:sz w:val="22"/>
        </w:rPr>
        <w:t xml:space="preserve">Purpose.</w:t>
      </w:r>
      <w:r>
        <w:rPr>
          <w:rFonts w:ascii="Arial" w:hAnsi="Arial"/>
          <w:sz w:val="22"/>
        </w:rPr>
        <w:t xml:space="preserve"> Establish what performance is typical on this dataset so 0.972 can be positioned rather than merely reported.</w:t>
      </w:r>
    </w:p>
    <w:p>
      <w:pPr>
        <w:spacing w:after="120" w:line="276" w:lineRule="auto"/>
        <w:jc w:val="both"/>
      </w:pPr>
      <w:r>
        <w:rPr>
          <w:rFonts w:ascii="Arial" w:hAnsi="Arial"/>
          <w:b/>
          <w:sz w:val="22"/>
        </w:rPr>
        <w:t xml:space="preserve">Starting sources:</w:t>
      </w:r>
    </w:p>
    <w:p>
      <w:pPr>
        <w:spacing w:after="120" w:line="276" w:lineRule="auto"/>
        <w:jc w:val="both"/>
      </w:pPr>
      <w:r>
        <w:rPr>
          <w:rFonts w:ascii="Arial" w:hAnsi="Arial"/>
          <w:sz w:val="22"/>
        </w:rPr>
        <w:t xml:space="preserve">Maseer, Z.K., Yusof, R., Bahaman, N., Mostafa, S.A. and Foozy, C.F.M. (2021) 'Benchmarking of machine learning for anomaly based intrusion detection systems in the CICIDS2017 dataset', </w:t>
      </w:r>
      <w:r>
        <w:rPr>
          <w:rFonts w:ascii="Arial" w:hAnsi="Arial"/>
          <w:i/>
          <w:sz w:val="22"/>
        </w:rPr>
        <w:t xml:space="preserve">IEEE Access</w:t>
      </w:r>
      <w:r>
        <w:rPr>
          <w:rFonts w:ascii="Arial" w:hAnsi="Arial"/>
          <w:sz w:val="22"/>
        </w:rPr>
        <w:t xml:space="preserve">, 9, pp. 22351–22370.</w:t>
      </w:r>
    </w:p>
    <w:p>
      <w:pPr>
        <w:spacing w:after="120" w:line="276" w:lineRule="auto"/>
        <w:jc w:val="both"/>
      </w:pPr>
      <w:r>
        <w:rPr>
          <w:rFonts w:ascii="Arial" w:hAnsi="Arial"/>
          <w:sz w:val="22"/>
        </w:rPr>
        <w:t xml:space="preserve">This is the single most useful starting point. It evaluates a large set of supervised and unsupervised models on CICIDS2017 under consistent criteria, and explicitly criticises earlier work for arbitrary algorithm selection and shallow validation. It also reports training and testing time alongside accuracy, which supports your own reporting of training duration and deployment footprint.</w:t>
      </w:r>
    </w:p>
    <w:p>
      <w:pPr>
        <w:spacing w:after="120" w:line="276" w:lineRule="auto"/>
        <w:jc w:val="both"/>
      </w:pPr>
      <w:r>
        <w:rPr>
          <w:rFonts w:ascii="Arial" w:hAnsi="Arial"/>
          <w:sz w:val="22"/>
        </w:rPr>
        <w:t xml:space="preserve">Catillo, M., Pecchia, A. and Villano, U. (2022) 'Transferability of machine learning models learned from public intrusion detection datasets: the CICIDS2017 case study', </w:t>
      </w:r>
      <w:r>
        <w:rPr>
          <w:rFonts w:ascii="Arial" w:hAnsi="Arial"/>
          <w:i/>
          <w:sz w:val="22"/>
        </w:rPr>
        <w:t xml:space="preserve">Software Quality Journal</w:t>
      </w:r>
      <w:r>
        <w:rPr>
          <w:rFonts w:ascii="Arial" w:hAnsi="Arial"/>
          <w:sz w:val="22"/>
        </w:rPr>
        <w:t xml:space="preserve">, 30, pp. 955–981.</w:t>
      </w:r>
    </w:p>
    <w:p>
      <w:pPr>
        <w:spacing w:after="120" w:line="276" w:lineRule="auto"/>
        <w:jc w:val="both"/>
      </w:pPr>
      <w:r>
        <w:rPr>
          <w:rFonts w:ascii="Arial" w:hAnsi="Arial"/>
          <w:sz w:val="22"/>
        </w:rPr>
        <w:t xml:space="preserve">Concerns whether models trained on this dataset transfer to other conditions. Relevant to the limitation that your results are dataset-bound.</w:t>
      </w:r>
    </w:p>
    <w:p>
      <w:pPr>
        <w:spacing w:after="120" w:line="276" w:lineRule="auto"/>
        <w:jc w:val="both"/>
      </w:pPr>
      <w:r>
        <w:rPr>
          <w:rFonts w:ascii="Arial" w:hAnsi="Arial"/>
          <w:b/>
          <w:sz w:val="22"/>
        </w:rPr>
        <w:t xml:space="preserve">What to extract.</w:t>
      </w:r>
      <w:r>
        <w:rPr>
          <w:rFonts w:ascii="Arial" w:hAnsi="Arial"/>
          <w:sz w:val="22"/>
        </w:rPr>
        <w:t xml:space="preserve"> Reported macro F1 or per-class F1 for tree ensembles specifically. Note whether papers report accuracy or macro F1, and whether their test sets are resampled — many report inflated figures because they evaluate on balanced test data. That observation is itself worth making in your review.</w:t>
      </w:r>
    </w:p>
    <w:p>
      <w:pPr>
        <w:pStyle w:val="Heading3"/>
      </w:pPr>
      <w:r>
        <w:rPr>
          <w:rFonts w:ascii="Arial" w:hAnsi="Arial"/>
          <w:sz w:val="22"/>
        </w:rPr>
        <w:t xml:space="preserve">3.2 Dataset quality and known limitations</w:t>
      </w:r>
    </w:p>
    <w:p>
      <w:pPr>
        <w:spacing w:after="120" w:line="276" w:lineRule="auto"/>
        <w:jc w:val="both"/>
      </w:pPr>
      <w:r>
        <w:rPr>
          <w:rFonts w:ascii="Arial" w:hAnsi="Arial"/>
          <w:b/>
          <w:sz w:val="22"/>
        </w:rPr>
        <w:t xml:space="preserve">Purpose.</w:t>
      </w:r>
      <w:r>
        <w:rPr>
          <w:rFonts w:ascii="Arial" w:hAnsi="Arial"/>
          <w:sz w:val="22"/>
        </w:rPr>
        <w:t xml:space="preserve"> Demonstrate critical engagement with the data rather than uncritical use.</w:t>
      </w:r>
    </w:p>
    <w:p>
      <w:pPr>
        <w:spacing w:after="120" w:line="276" w:lineRule="auto"/>
        <w:jc w:val="both"/>
      </w:pPr>
      <w:r>
        <w:rPr>
          <w:rFonts w:ascii="Arial" w:hAnsi="Arial"/>
          <w:b/>
          <w:sz w:val="22"/>
        </w:rPr>
        <w:t xml:space="preserve">Starting source:</w:t>
      </w:r>
    </w:p>
    <w:p>
      <w:pPr>
        <w:spacing w:after="120" w:line="276" w:lineRule="auto"/>
        <w:jc w:val="both"/>
      </w:pPr>
      <w:r>
        <w:rPr>
          <w:rFonts w:ascii="Arial" w:hAnsi="Arial"/>
          <w:sz w:val="22"/>
        </w:rPr>
        <w:t xml:space="preserve">Engelen, G., Rimmer, V. and Joosen, W. (2021) 'Troubleshooting an intrusion detection dataset: the CICIDS2017 case study', in </w:t>
      </w:r>
      <w:r>
        <w:rPr>
          <w:rFonts w:ascii="Arial" w:hAnsi="Arial"/>
          <w:i/>
          <w:sz w:val="22"/>
        </w:rPr>
        <w:t xml:space="preserve">2021 IEEE Security and Privacy Workshops (SPW)</w:t>
      </w:r>
      <w:r>
        <w:rPr>
          <w:rFonts w:ascii="Arial" w:hAnsi="Arial"/>
          <w:sz w:val="22"/>
        </w:rPr>
        <w:t xml:space="preserve">. IEEE, pp. 7–12.</w:t>
      </w:r>
    </w:p>
    <w:p>
      <w:pPr>
        <w:spacing w:after="120" w:line="276" w:lineRule="auto"/>
        <w:jc w:val="both"/>
      </w:pPr>
      <w:r>
        <w:rPr>
          <w:rFonts w:ascii="Arial" w:hAnsi="Arial"/>
          <w:sz w:val="22"/>
        </w:rPr>
        <w:t xml:space="preserve">Documents labelling and generation errors in the original dataset. Essential for your report, because you used a cleaned redistribution and should be able to say what was wrong with the original and what the cleaning addressed.</w:t>
      </w:r>
    </w:p>
    <w:p>
      <w:pPr>
        <w:spacing w:after="120" w:line="276" w:lineRule="auto"/>
        <w:jc w:val="both"/>
      </w:pPr>
      <w:r>
        <w:rPr>
          <w:rFonts w:ascii="Arial" w:hAnsi="Arial"/>
          <w:b/>
          <w:sz w:val="22"/>
        </w:rPr>
        <w:t xml:space="preserve">What to extract.</w:t>
      </w:r>
      <w:r>
        <w:rPr>
          <w:rFonts w:ascii="Arial" w:hAnsi="Arial"/>
          <w:sz w:val="22"/>
        </w:rPr>
        <w:t xml:space="preserve"> The specific categories of error identified, and whether the cleaned distribution you used addresses them. If it does not, that is a limitation to state.</w:t>
      </w:r>
    </w:p>
    <w:p>
      <w:pPr>
        <w:pStyle w:val="Heading3"/>
      </w:pPr>
      <w:r>
        <w:rPr>
          <w:rFonts w:ascii="Arial" w:hAnsi="Arial"/>
          <w:sz w:val="22"/>
        </w:rPr>
        <w:t xml:space="preserve">3.3 Class imbalance in security datasets</w:t>
      </w:r>
    </w:p>
    <w:p>
      <w:pPr>
        <w:spacing w:after="120" w:line="276" w:lineRule="auto"/>
        <w:jc w:val="both"/>
      </w:pPr>
      <w:r>
        <w:rPr>
          <w:rFonts w:ascii="Arial" w:hAnsi="Arial"/>
          <w:b/>
          <w:sz w:val="22"/>
        </w:rPr>
        <w:t xml:space="preserve">Purpose.</w:t>
      </w:r>
      <w:r>
        <w:rPr>
          <w:rFonts w:ascii="Arial" w:hAnsi="Arial"/>
          <w:sz w:val="22"/>
        </w:rPr>
        <w:t xml:space="preserve"> Ground the E1 to E3 experiments and the finding that imbalance handling interacts with model architecture.</w:t>
      </w:r>
    </w:p>
    <w:p>
      <w:pPr>
        <w:spacing w:after="120" w:line="276" w:lineRule="auto"/>
        <w:jc w:val="both"/>
      </w:pPr>
      <w:r>
        <w:rPr>
          <w:rFonts w:ascii="Arial" w:hAnsi="Arial"/>
          <w:b/>
          <w:sz w:val="22"/>
        </w:rPr>
        <w:t xml:space="preserve">Starting source:</w:t>
      </w:r>
    </w:p>
    <w:p>
      <w:pPr>
        <w:spacing w:after="120" w:line="276" w:lineRule="auto"/>
        <w:jc w:val="both"/>
      </w:pPr>
      <w:r>
        <w:rPr>
          <w:rFonts w:ascii="Arial" w:hAnsi="Arial"/>
          <w:sz w:val="22"/>
        </w:rPr>
        <w:t xml:space="preserve">Chawla, N.V., Bowyer, K.W., Hall, L.O. and Kegelmeyer, W.P. (2002) 'SMOTE: synthetic minority over-sampling technique', </w:t>
      </w:r>
      <w:r>
        <w:rPr>
          <w:rFonts w:ascii="Arial" w:hAnsi="Arial"/>
          <w:i/>
          <w:sz w:val="22"/>
        </w:rPr>
        <w:t xml:space="preserve">Journal of Artificial Intelligence Research</w:t>
      </w:r>
      <w:r>
        <w:rPr>
          <w:rFonts w:ascii="Arial" w:hAnsi="Arial"/>
          <w:sz w:val="22"/>
        </w:rPr>
        <w:t xml:space="preserve">, 16, pp. 321–357.</w:t>
      </w:r>
    </w:p>
    <w:p>
      <w:pPr>
        <w:spacing w:after="120" w:line="276" w:lineRule="auto"/>
        <w:jc w:val="both"/>
      </w:pPr>
      <w:r>
        <w:rPr>
          <w:rFonts w:ascii="Arial" w:hAnsi="Arial"/>
          <w:sz w:val="22"/>
        </w:rPr>
        <w:t xml:space="preserve">The original SMOTE paper, and importantly it proposes combining oversampling with undersampling of the majority — which is what your hybrid strategy does. Cite it for that specifically, not just as a generic SMOTE reference. </w:t>
      </w:r>
      <w:r>
        <w:rPr>
          <w:rFonts w:ascii="Arial" w:hAnsi="Arial"/>
          <w:i/>
          <w:sz w:val="22"/>
        </w:rPr>
        <w:t xml:space="preserve">Verify the volume and page range against the publisher record.</w:t>
      </w:r>
    </w:p>
    <w:p>
      <w:pPr>
        <w:spacing w:after="120" w:line="276" w:lineRule="auto"/>
        <w:jc w:val="both"/>
      </w:pPr>
      <w:r>
        <w:rPr>
          <w:rFonts w:ascii="Arial" w:hAnsi="Arial"/>
          <w:b/>
          <w:sz w:val="22"/>
        </w:rPr>
        <w:t xml:space="preserve">What to search for.</w:t>
      </w:r>
      <w:r>
        <w:rPr>
          <w:rFonts w:ascii="Arial" w:hAnsi="Arial"/>
          <w:sz w:val="22"/>
        </w:rPr>
        <w:t xml:space="preserve"> Comparative studies of SMOTE against cost-sensitive learning, particularly any that test across multiple model families. Your E3 finding is that the two approaches interact with architecture; if the literature does not test this, that absence is worth stating and is what makes your result a contribution rather than a replication.</w:t>
      </w:r>
    </w:p>
    <w:p>
      <w:pPr>
        <w:pStyle w:val="Heading3"/>
      </w:pPr>
      <w:r>
        <w:rPr>
          <w:rFonts w:ascii="Arial" w:hAnsi="Arial"/>
          <w:sz w:val="22"/>
        </w:rPr>
        <w:t xml:space="preserve">3.4 Tree ensembles and neural networks on tabular data</w:t>
      </w:r>
    </w:p>
    <w:p>
      <w:pPr>
        <w:spacing w:after="120" w:line="276" w:lineRule="auto"/>
        <w:jc w:val="both"/>
      </w:pPr>
      <w:r>
        <w:rPr>
          <w:rFonts w:ascii="Arial" w:hAnsi="Arial"/>
          <w:b/>
          <w:sz w:val="22"/>
        </w:rPr>
        <w:t xml:space="preserve">Purpose.</w:t>
      </w:r>
      <w:r>
        <w:rPr>
          <w:rFonts w:ascii="Arial" w:hAnsi="Arial"/>
          <w:sz w:val="22"/>
        </w:rPr>
        <w:t xml:space="preserve"> Support the E1 finding that the MLP underperformed, as an expected result rather than an implementation failure.</w:t>
      </w:r>
    </w:p>
    <w:p>
      <w:pPr>
        <w:spacing w:after="120" w:line="276" w:lineRule="auto"/>
        <w:jc w:val="both"/>
      </w:pPr>
      <w:r>
        <w:rPr>
          <w:rFonts w:ascii="Arial" w:hAnsi="Arial"/>
          <w:b/>
          <w:sz w:val="22"/>
        </w:rPr>
        <w:t xml:space="preserve">Starting source:</w:t>
      </w:r>
    </w:p>
    <w:p>
      <w:pPr>
        <w:spacing w:after="120" w:line="276" w:lineRule="auto"/>
        <w:jc w:val="both"/>
      </w:pPr>
      <w:r>
        <w:rPr>
          <w:rFonts w:ascii="Arial" w:hAnsi="Arial"/>
          <w:sz w:val="22"/>
        </w:rPr>
        <w:t xml:space="preserve">Grinsztajn, L., Oyallon, E. and Varoquaux, G. (2022) 'Why do tree-based models still outperform deep learning on typical tabular data?', in </w:t>
      </w:r>
      <w:r>
        <w:rPr>
          <w:rFonts w:ascii="Arial" w:hAnsi="Arial"/>
          <w:i/>
          <w:sz w:val="22"/>
        </w:rPr>
        <w:t xml:space="preserve">Advances in Neural Information Processing Systems 35 (NeurIPS 2022) Datasets and Benchmarks Track</w:t>
      </w:r>
      <w:r>
        <w:rPr>
          <w:rFonts w:ascii="Arial" w:hAnsi="Arial"/>
          <w:sz w:val="22"/>
        </w:rPr>
        <w:t xml:space="preserve">. </w:t>
      </w:r>
      <w:r>
        <w:rPr>
          <w:rFonts w:ascii="Arial" w:hAnsi="Arial"/>
          <w:i/>
          <w:sz w:val="22"/>
        </w:rPr>
        <w:t xml:space="preserve">Verify the exact title, track and pagination.</w:t>
      </w:r>
    </w:p>
    <w:p>
      <w:pPr>
        <w:spacing w:after="120" w:line="276" w:lineRule="auto"/>
        <w:jc w:val="both"/>
      </w:pPr>
      <w:r>
        <w:rPr>
          <w:rFonts w:ascii="Arial" w:hAnsi="Arial"/>
          <w:b/>
          <w:sz w:val="22"/>
        </w:rPr>
        <w:t xml:space="preserve">What to extract.</w:t>
      </w:r>
      <w:r>
        <w:rPr>
          <w:rFonts w:ascii="Arial" w:hAnsi="Arial"/>
          <w:sz w:val="22"/>
        </w:rPr>
        <w:t xml:space="preserve"> The proposed mechanisms — inductive bias toward irregular functions, robustness to uninformative features, rotation invariance — and whether they apply to flow-based network features.</w:t>
      </w:r>
    </w:p>
    <w:p>
      <w:pPr>
        <w:pStyle w:val="Heading3"/>
      </w:pPr>
      <w:r>
        <w:rPr>
          <w:rFonts w:ascii="Arial" w:hAnsi="Arial"/>
          <w:sz w:val="22"/>
        </w:rPr>
        <w:t xml:space="preserve">3.5 Adversarial machine learning and evasion in the network domain</w:t>
      </w:r>
    </w:p>
    <w:p>
      <w:pPr>
        <w:spacing w:after="120" w:line="276" w:lineRule="auto"/>
        <w:jc w:val="both"/>
      </w:pPr>
      <w:r>
        <w:rPr>
          <w:rFonts w:ascii="Arial" w:hAnsi="Arial"/>
          <w:b/>
          <w:sz w:val="22"/>
        </w:rPr>
        <w:t xml:space="preserve">Purpose.</w:t>
      </w:r>
      <w:r>
        <w:rPr>
          <w:rFonts w:ascii="Arial" w:hAnsi="Arial"/>
          <w:sz w:val="22"/>
        </w:rPr>
        <w:t xml:space="preserve"> The most substantial theme, and the one where your work engages most directly with an active literature.</w:t>
      </w:r>
    </w:p>
    <w:p>
      <w:pPr>
        <w:spacing w:after="120" w:line="276" w:lineRule="auto"/>
        <w:jc w:val="both"/>
      </w:pPr>
      <w:r>
        <w:rPr>
          <w:rFonts w:ascii="Arial" w:hAnsi="Arial"/>
          <w:b/>
          <w:sz w:val="22"/>
        </w:rPr>
        <w:t xml:space="preserve">Foundational:</w:t>
      </w:r>
    </w:p>
    <w:p>
      <w:pPr>
        <w:spacing w:after="120" w:line="276" w:lineRule="auto"/>
        <w:jc w:val="both"/>
      </w:pPr>
      <w:r>
        <w:rPr>
          <w:rFonts w:ascii="Arial" w:hAnsi="Arial"/>
          <w:sz w:val="22"/>
        </w:rPr>
        <w:t xml:space="preserve">Goodfellow, I.J., Shlens, C. and Szegedy, C. (2015) 'Explaining and harnessing adversarial examples', </w:t>
      </w:r>
      <w:r>
        <w:rPr>
          <w:rFonts w:ascii="Arial" w:hAnsi="Arial"/>
          <w:i/>
          <w:sz w:val="22"/>
        </w:rPr>
        <w:t xml:space="preserve">arXiv:1412.6572</w:t>
      </w:r>
      <w:r>
        <w:rPr>
          <w:rFonts w:ascii="Arial" w:hAnsi="Arial"/>
          <w:sz w:val="22"/>
        </w:rPr>
        <w:t xml:space="preserve">.</w:t>
      </w:r>
    </w:p>
    <w:p>
      <w:pPr>
        <w:spacing w:after="120" w:line="276" w:lineRule="auto"/>
        <w:jc w:val="both"/>
      </w:pPr>
      <w:r>
        <w:rPr>
          <w:rFonts w:ascii="Arial" w:hAnsi="Arial"/>
          <w:sz w:val="22"/>
        </w:rPr>
        <w:t xml:space="preserve">Corona, I., Giacinto, G. and Roli, F. (2013) 'Adversarial attacks against intrusion detection systems: taxonomy, solutions and open issues', </w:t>
      </w:r>
      <w:r>
        <w:rPr>
          <w:rFonts w:ascii="Arial" w:hAnsi="Arial"/>
          <w:i/>
          <w:sz w:val="22"/>
        </w:rPr>
        <w:t xml:space="preserve">Information Sciences</w:t>
      </w:r>
      <w:r>
        <w:rPr>
          <w:rFonts w:ascii="Arial" w:hAnsi="Arial"/>
          <w:sz w:val="22"/>
        </w:rPr>
        <w:t xml:space="preserve">, 239, pp. 201–225.</w:t>
      </w:r>
    </w:p>
    <w:p>
      <w:pPr>
        <w:spacing w:after="120" w:line="276" w:lineRule="auto"/>
        <w:jc w:val="both"/>
      </w:pPr>
      <w:r>
        <w:rPr>
          <w:rFonts w:ascii="Arial" w:hAnsi="Arial"/>
          <w:b/>
          <w:sz w:val="22"/>
        </w:rPr>
        <w:t xml:space="preserve">The critical sub-theme — feature-space versus problem-space attacks:</w:t>
      </w:r>
    </w:p>
    <w:p>
      <w:pPr>
        <w:spacing w:after="120" w:line="276" w:lineRule="auto"/>
        <w:jc w:val="both"/>
      </w:pPr>
      <w:r>
        <w:rPr>
          <w:rFonts w:ascii="Arial" w:hAnsi="Arial"/>
          <w:sz w:val="22"/>
        </w:rPr>
        <w:t xml:space="preserve">This distinction is the exact concern that motivated your constrained E6 experiment, and the literature has a developed vocabulary for it that you should adopt.</w:t>
      </w:r>
    </w:p>
    <w:p>
      <w:pPr>
        <w:spacing w:after="120" w:line="276" w:lineRule="auto"/>
        <w:jc w:val="both"/>
      </w:pPr>
      <w:r>
        <w:rPr>
          <w:rFonts w:ascii="Arial" w:hAnsi="Arial"/>
          <w:sz w:val="22"/>
        </w:rPr>
        <w:t xml:space="preserve">Apruzzese, G., Andreolini, M., Ferretti, L., Marchetti, M. and Colajanni, M. (2021) 'Modeling realistic adversarial attacks against network intrusion detection systems', </w:t>
      </w:r>
      <w:r>
        <w:rPr>
          <w:rFonts w:ascii="Arial" w:hAnsi="Arial"/>
          <w:i/>
          <w:sz w:val="22"/>
        </w:rPr>
        <w:t xml:space="preserve">arXiv:2106.09380</w:t>
      </w:r>
      <w:r>
        <w:rPr>
          <w:rFonts w:ascii="Arial" w:hAnsi="Arial"/>
          <w:sz w:val="22"/>
        </w:rPr>
        <w:t xml:space="preserve">. </w:t>
      </w:r>
      <w:r>
        <w:rPr>
          <w:rFonts w:ascii="Arial" w:hAnsi="Arial"/>
          <w:i/>
          <w:sz w:val="22"/>
        </w:rPr>
        <w:t xml:space="preserve">Verify authorship and whether a published version exists.</w:t>
      </w:r>
    </w:p>
    <w:p>
      <w:pPr>
        <w:spacing w:after="120" w:line="276" w:lineRule="auto"/>
        <w:jc w:val="both"/>
      </w:pPr>
      <w:r>
        <w:rPr>
          <w:rFonts w:ascii="Arial" w:hAnsi="Arial"/>
          <w:sz w:val="22"/>
        </w:rPr>
        <w:t xml:space="preserve">Distinguishes feature-space attacks, which perturb the model's input vector directly, from problem-space attacks, which modify actual traffic such that the extracted features change as a consequence. It gives the worked example of increasing flow duration by adding communication delays — which is precisely your E6 method.</w:t>
      </w:r>
    </w:p>
    <w:p>
      <w:pPr>
        <w:spacing w:after="120" w:line="276" w:lineRule="auto"/>
        <w:jc w:val="both"/>
      </w:pPr>
      <w:r>
        <w:rPr>
          <w:rFonts w:ascii="Arial" w:hAnsi="Arial"/>
          <w:sz w:val="22"/>
        </w:rPr>
        <w:t xml:space="preserve">Catillo, M., Pecchia, A. and Villano, U. (2024) 'Towards realistic problem-space adversarial attacks against machine learning in network intrusion detection', in </w:t>
      </w:r>
      <w:r>
        <w:rPr>
          <w:rFonts w:ascii="Arial" w:hAnsi="Arial"/>
          <w:i/>
          <w:sz w:val="22"/>
        </w:rPr>
        <w:t xml:space="preserve">Proceedings of the 19th International Conference on Availability, Reliability and Security (ARES 2024)</w:t>
      </w:r>
      <w:r>
        <w:rPr>
          <w:rFonts w:ascii="Arial" w:hAnsi="Arial"/>
          <w:sz w:val="22"/>
        </w:rPr>
        <w:t xml:space="preserve">. ACM. doi:10.1145/3664476.3669974.</w:t>
      </w:r>
    </w:p>
    <w:p>
      <w:pPr>
        <w:spacing w:after="120" w:line="276" w:lineRule="auto"/>
        <w:jc w:val="both"/>
      </w:pPr>
      <w:r>
        <w:rPr>
          <w:rFonts w:ascii="Arial" w:hAnsi="Arial"/>
          <w:sz w:val="22"/>
        </w:rPr>
        <w:t xml:space="preserve">Performs problem-space perturbation of real traffic using a traffic control utility, on normal and denial-of-service traffic. Directly comparable to your work, and useful for discussing what a full problem-space implementation would have added.</w:t>
      </w:r>
    </w:p>
    <w:p>
      <w:pPr>
        <w:spacing w:after="120" w:line="276" w:lineRule="auto"/>
        <w:jc w:val="both"/>
      </w:pPr>
      <w:r>
        <w:rPr>
          <w:rFonts w:ascii="Arial" w:hAnsi="Arial"/>
          <w:sz w:val="22"/>
        </w:rPr>
        <w:t xml:space="preserve">Catillo, M., Pecchia, A. and Villano, U. (2023) 'A case study with CICIDS2017 on the robustness of machine learning against adversarial attacks in intrusion detection', in </w:t>
      </w:r>
      <w:r>
        <w:rPr>
          <w:rFonts w:ascii="Arial" w:hAnsi="Arial"/>
          <w:i/>
          <w:sz w:val="22"/>
        </w:rPr>
        <w:t xml:space="preserve">Proceedings of the 18th International Conference on Availability, Reliability and Security (ARES 2023)</w:t>
      </w:r>
      <w:r>
        <w:rPr>
          <w:rFonts w:ascii="Arial" w:hAnsi="Arial"/>
          <w:sz w:val="22"/>
        </w:rPr>
        <w:t xml:space="preserve">. ACM. doi:10.1145/3600160.3605031.</w:t>
      </w:r>
    </w:p>
    <w:p>
      <w:pPr>
        <w:spacing w:after="120" w:line="276" w:lineRule="auto"/>
        <w:jc w:val="both"/>
      </w:pPr>
      <w:r>
        <w:rPr>
          <w:rFonts w:ascii="Arial" w:hAnsi="Arial"/>
          <w:sz w:val="22"/>
        </w:rPr>
        <w:t xml:space="preserve">Same dataset, robustness focus. Compare their findings to yours.</w:t>
      </w:r>
    </w:p>
    <w:p>
      <w:pPr>
        <w:spacing w:after="120" w:line="276" w:lineRule="auto"/>
        <w:jc w:val="both"/>
      </w:pPr>
      <w:r>
        <w:rPr>
          <w:rFonts w:ascii="Arial" w:hAnsi="Arial"/>
          <w:b/>
          <w:sz w:val="22"/>
        </w:rPr>
        <w:t xml:space="preserve">The counter-argument, which you should engage with rather than avoid:</w:t>
      </w:r>
    </w:p>
    <w:p>
      <w:pPr>
        <w:spacing w:after="120" w:line="276" w:lineRule="auto"/>
        <w:jc w:val="both"/>
      </w:pPr>
      <w:r>
        <w:rPr>
          <w:rFonts w:ascii="Arial" w:hAnsi="Arial"/>
          <w:sz w:val="22"/>
        </w:rPr>
        <w:t xml:space="preserve">'Evasion adversarial attacks remain impractical against ML-based network intrusion detection systems, especially dynamic ones', </w:t>
      </w:r>
      <w:r>
        <w:rPr>
          <w:rFonts w:ascii="Arial" w:hAnsi="Arial"/>
          <w:i/>
          <w:sz w:val="22"/>
        </w:rPr>
        <w:t xml:space="preserve">arXiv:2306.05494</w:t>
      </w:r>
      <w:r>
        <w:rPr>
          <w:rFonts w:ascii="Arial" w:hAnsi="Arial"/>
          <w:sz w:val="22"/>
        </w:rPr>
        <w:t xml:space="preserve">. </w:t>
      </w:r>
      <w:r>
        <w:rPr>
          <w:rFonts w:ascii="Arial" w:hAnsi="Arial"/>
          <w:i/>
          <w:sz w:val="22"/>
        </w:rPr>
        <w:t xml:space="preserve">Verify authorship.</w:t>
      </w:r>
    </w:p>
    <w:p>
      <w:pPr>
        <w:spacing w:after="120" w:line="276" w:lineRule="auto"/>
        <w:jc w:val="both"/>
      </w:pPr>
      <w:r>
        <w:rPr>
          <w:rFonts w:ascii="Arial" w:hAnsi="Arial"/>
          <w:sz w:val="22"/>
        </w:rPr>
        <w:t xml:space="preserve">Argues that problem-space attacks are substantially harder than feature-space results suggest, because perturbations must survive the inverse feature-mapping problem and must preserve malicious functionality — modifying a packet's payload may nullify an SQL injection, for instance.</w:t>
      </w:r>
    </w:p>
    <w:p>
      <w:pPr>
        <w:spacing w:after="120" w:line="276" w:lineRule="auto"/>
        <w:jc w:val="both"/>
      </w:pPr>
      <w:r>
        <w:rPr>
          <w:rFonts w:ascii="Arial" w:hAnsi="Arial"/>
          <w:sz w:val="22"/>
        </w:rPr>
        <w:t xml:space="preserve">This is directly relevant to your finding, and engaging with it strengthens rather than weakens your position. Your constrained attack manipulates only timing and padding, both of which preserve functionality for rate-independent attacks, which is why web attacks evade at 1.65 times while brute force does not evade at all. Your result can be read as evidence for a more precise claim than either side makes: evasion practicality is class-dependent, determined by whether the attack's efficacy depends on transmission rate.</w:t>
      </w:r>
    </w:p>
    <w:p>
      <w:pPr>
        <w:spacing w:after="120" w:line="276" w:lineRule="auto"/>
        <w:jc w:val="both"/>
      </w:pPr>
      <w:r>
        <w:rPr>
          <w:rFonts w:ascii="Arial" w:hAnsi="Arial"/>
          <w:b/>
          <w:sz w:val="22"/>
        </w:rPr>
        <w:t xml:space="preserve">Constraint-aware attack construction:</w:t>
      </w:r>
    </w:p>
    <w:p>
      <w:pPr>
        <w:spacing w:after="120" w:line="276" w:lineRule="auto"/>
        <w:jc w:val="both"/>
      </w:pPr>
      <w:r>
        <w:rPr>
          <w:rFonts w:ascii="Arial" w:hAnsi="Arial"/>
          <w:sz w:val="22"/>
        </w:rPr>
        <w:t xml:space="preserve">Sheatsley, R. </w:t>
      </w:r>
      <w:r>
        <w:rPr>
          <w:rFonts w:ascii="Arial" w:hAnsi="Arial"/>
          <w:i/>
          <w:sz w:val="22"/>
        </w:rPr>
        <w:t xml:space="preserve">et al.</w:t>
      </w:r>
      <w:r>
        <w:rPr>
          <w:rFonts w:ascii="Arial" w:hAnsi="Arial"/>
          <w:sz w:val="22"/>
        </w:rPr>
        <w:t xml:space="preserve"> 'Subverting network intrusion detection: crafting adversarial examples accounting for domain-specific constraints'. </w:t>
      </w:r>
      <w:r>
        <w:rPr>
          <w:rFonts w:ascii="Arial" w:hAnsi="Arial"/>
          <w:i/>
          <w:sz w:val="22"/>
        </w:rPr>
        <w:t xml:space="preserve">Verify authorship, venue and year — the search result did not confirm these.</w:t>
      </w:r>
    </w:p>
    <w:p>
      <w:pPr>
        <w:spacing w:after="120" w:line="276" w:lineRule="auto"/>
        <w:jc w:val="both"/>
      </w:pPr>
      <w:r>
        <w:rPr>
          <w:rFonts w:ascii="Arial" w:hAnsi="Arial"/>
          <w:sz w:val="22"/>
        </w:rPr>
        <w:t xml:space="preserve">Dyrmishi, S. </w:t>
      </w:r>
      <w:r>
        <w:rPr>
          <w:rFonts w:ascii="Arial" w:hAnsi="Arial"/>
          <w:i/>
          <w:sz w:val="22"/>
        </w:rPr>
        <w:t xml:space="preserve">et al.</w:t>
      </w:r>
      <w:r>
        <w:rPr>
          <w:rFonts w:ascii="Arial" w:hAnsi="Arial"/>
          <w:sz w:val="22"/>
        </w:rPr>
        <w:t xml:space="preserve"> (2022) 'On the empirical effectiveness of unrealistic adversarial hardening against realistic adversarial attacks', </w:t>
      </w:r>
      <w:r>
        <w:rPr>
          <w:rFonts w:ascii="Arial" w:hAnsi="Arial"/>
          <w:i/>
          <w:sz w:val="22"/>
        </w:rPr>
        <w:t xml:space="preserve">arXiv:2202.03277</w:t>
      </w:r>
      <w:r>
        <w:rPr>
          <w:rFonts w:ascii="Arial" w:hAnsi="Arial"/>
          <w:sz w:val="22"/>
        </w:rPr>
        <w:t xml:space="preserve">. </w:t>
      </w:r>
      <w:r>
        <w:rPr>
          <w:rFonts w:ascii="Arial" w:hAnsi="Arial"/>
          <w:i/>
          <w:sz w:val="22"/>
        </w:rPr>
        <w:t xml:space="preserve">Verify authorship.</w:t>
      </w:r>
    </w:p>
    <w:p>
      <w:pPr>
        <w:spacing w:after="120" w:line="276" w:lineRule="auto"/>
        <w:jc w:val="both"/>
      </w:pPr>
      <w:r>
        <w:rPr>
          <w:rFonts w:ascii="Arial" w:hAnsi="Arial"/>
          <w:sz w:val="22"/>
        </w:rPr>
        <w:t xml:space="preserve">Argues that feature-space attacks under constraint satisfaction are an effective and much cheaper proxy for full problem-space attacks. This is the methodological justification for your approach and worth citing explicitly.</w:t>
      </w:r>
    </w:p>
    <w:p>
      <w:pPr>
        <w:spacing w:after="120" w:line="276" w:lineRule="auto"/>
        <w:jc w:val="both"/>
      </w:pPr>
      <w:r>
        <w:rPr>
          <w:rFonts w:ascii="Arial" w:hAnsi="Arial"/>
          <w:b/>
          <w:sz w:val="22"/>
        </w:rPr>
        <w:t xml:space="preserve">What to extract.</w:t>
      </w:r>
      <w:r>
        <w:rPr>
          <w:rFonts w:ascii="Arial" w:hAnsi="Arial"/>
          <w:sz w:val="22"/>
        </w:rPr>
        <w:t xml:space="preserve"> The vocabulary — feature space, problem space, inverse feature-mapping, constraint satisfaction — and adopt it. Also note which papers report unconstrained results without acknowledging the limitation, since your E5 versus E6 comparison quantifies exactly how much that overstates the threat.</w:t>
      </w:r>
    </w:p>
    <w:p>
      <w:pPr>
        <w:pStyle w:val="Heading3"/>
      </w:pPr>
      <w:r>
        <w:rPr>
          <w:rFonts w:ascii="Arial" w:hAnsi="Arial"/>
          <w:sz w:val="22"/>
        </w:rPr>
        <w:t xml:space="preserve">3.6 Cloud security architecture and threat modelling</w:t>
      </w:r>
    </w:p>
    <w:p>
      <w:pPr>
        <w:spacing w:after="120" w:line="276" w:lineRule="auto"/>
        <w:jc w:val="both"/>
      </w:pPr>
      <w:r>
        <w:rPr>
          <w:rFonts w:ascii="Arial" w:hAnsi="Arial"/>
          <w:b/>
          <w:sz w:val="22"/>
        </w:rPr>
        <w:t xml:space="preserve">Purpose.</w:t>
      </w:r>
      <w:r>
        <w:rPr>
          <w:rFonts w:ascii="Arial" w:hAnsi="Arial"/>
          <w:sz w:val="22"/>
        </w:rPr>
        <w:t xml:space="preserve"> Ground the deployment and threat model chapters. This theme is shorter than the others.</w:t>
      </w:r>
    </w:p>
    <w:p>
      <w:pPr>
        <w:spacing w:after="120" w:line="276" w:lineRule="auto"/>
        <w:jc w:val="both"/>
      </w:pPr>
      <w:r>
        <w:rPr>
          <w:rFonts w:ascii="Arial" w:hAnsi="Arial"/>
          <w:b/>
          <w:sz w:val="22"/>
        </w:rPr>
        <w:t xml:space="preserve">What to search for.</w:t>
      </w:r>
      <w:r>
        <w:rPr>
          <w:rFonts w:ascii="Arial" w:hAnsi="Arial"/>
          <w:sz w:val="22"/>
        </w:rPr>
        <w:t xml:space="preserve"> Least privilege and defence in depth in cloud contexts; serverless-specific security considerations, particularly the shift from network and host controls toward identity and configuration; NIST publications on zero trust architecture; and STRIDE's origins alongside critiques of its adequacy for machine learning systems.</w:t>
      </w:r>
    </w:p>
    <w:p>
      <w:pPr>
        <w:spacing w:after="120" w:line="276" w:lineRule="auto"/>
        <w:jc w:val="both"/>
      </w:pPr>
      <w:r>
        <w:rPr>
          <w:rFonts w:ascii="Arial" w:hAnsi="Arial"/>
          <w:sz w:val="22"/>
        </w:rPr>
        <w:t xml:space="preserve">For the ML-specific extension, MITRE ATLAS is the primary source and should be cited as a framework rather than a paper.</w:t>
      </w:r>
    </w:p>
    <w:p>
      <w:pPr>
        <w:pStyle w:val="Heading2"/>
      </w:pPr>
      <w:r>
        <w:rPr>
          <w:rFonts w:ascii="Arial" w:hAnsi="Arial"/>
          <w:sz w:val="22"/>
        </w:rPr>
        <w:t xml:space="preserve">4. Structuring the written chapter</w:t>
      </w:r>
    </w:p>
    <w:p>
      <w:pPr>
        <w:spacing w:after="120" w:line="276" w:lineRule="auto"/>
        <w:jc w:val="both"/>
      </w:pPr>
      <w:r>
        <w:rPr>
          <w:rFonts w:ascii="Arial" w:hAnsi="Arial"/>
          <w:sz w:val="22"/>
        </w:rPr>
        <w:t xml:space="preserve">A theme-by-theme structure risks reading as six disconnected summaries. Organise instead around the argument the chapter needs to make:</w:t>
      </w:r>
    </w:p>
    <w:p>
      <w:pPr>
        <w:spacing w:after="120" w:line="276" w:lineRule="auto"/>
        <w:jc w:val="both"/>
      </w:pPr>
      <w:r>
        <w:rPr>
          <w:rFonts w:ascii="Arial" w:hAnsi="Arial"/>
          <w:b/>
          <w:sz w:val="22"/>
        </w:rPr>
        <w:t xml:space="preserve">Opening.</w:t>
      </w:r>
      <w:r>
        <w:rPr>
          <w:rFonts w:ascii="Arial" w:hAnsi="Arial"/>
          <w:sz w:val="22"/>
        </w:rPr>
        <w:t xml:space="preserve"> The detection problem and why machine learning is applied to it. Brief.</w:t>
      </w:r>
    </w:p>
    <w:p>
      <w:pPr>
        <w:spacing w:after="120" w:line="276" w:lineRule="auto"/>
        <w:jc w:val="both"/>
      </w:pPr>
      <w:r>
        <w:rPr>
          <w:rFonts w:ascii="Arial" w:hAnsi="Arial"/>
          <w:b/>
          <w:sz w:val="22"/>
        </w:rPr>
        <w:t xml:space="preserve">Current practice and its evaluation.</w:t>
      </w:r>
      <w:r>
        <w:rPr>
          <w:rFonts w:ascii="Arial" w:hAnsi="Arial"/>
          <w:sz w:val="22"/>
        </w:rPr>
        <w:t xml:space="preserve"> What is typically achieved on CICIDS2017, how it is measured, and the methodological problems in how it is reported — inflated accuracy on imbalanced data, evaluation on resampled test sets, single-run results without variance. This sets up your own methodological choices as deliberate corrections rather than arbitrary preferences.</w:t>
      </w:r>
    </w:p>
    <w:p>
      <w:pPr>
        <w:spacing w:after="120" w:line="276" w:lineRule="auto"/>
        <w:jc w:val="both"/>
      </w:pPr>
      <w:r>
        <w:rPr>
          <w:rFonts w:ascii="Arial" w:hAnsi="Arial"/>
          <w:b/>
          <w:sz w:val="22"/>
        </w:rPr>
        <w:t xml:space="preserve">The data.</w:t>
      </w:r>
      <w:r>
        <w:rPr>
          <w:rFonts w:ascii="Arial" w:hAnsi="Arial"/>
          <w:sz w:val="22"/>
        </w:rPr>
        <w:t xml:space="preserve"> CICIDS2017's construction, its documented quality problems, and what your cleaned distribution does and does not address.</w:t>
      </w:r>
    </w:p>
    <w:p>
      <w:pPr>
        <w:spacing w:after="120" w:line="276" w:lineRule="auto"/>
        <w:jc w:val="both"/>
      </w:pPr>
      <w:r>
        <w:rPr>
          <w:rFonts w:ascii="Arial" w:hAnsi="Arial"/>
          <w:b/>
          <w:sz w:val="22"/>
        </w:rPr>
        <w:t xml:space="preserve">Handling imbalance.</w:t>
      </w:r>
      <w:r>
        <w:rPr>
          <w:rFonts w:ascii="Arial" w:hAnsi="Arial"/>
          <w:sz w:val="22"/>
        </w:rPr>
        <w:t xml:space="preserve"> The two main approaches, and the gap you identified: whether the choice interacts with model architecture is under-tested.</w:t>
      </w:r>
    </w:p>
    <w:p>
      <w:pPr>
        <w:spacing w:after="120" w:line="276" w:lineRule="auto"/>
        <w:jc w:val="both"/>
      </w:pPr>
      <w:r>
        <w:rPr>
          <w:rFonts w:ascii="Arial" w:hAnsi="Arial"/>
          <w:b/>
          <w:sz w:val="22"/>
        </w:rPr>
        <w:t xml:space="preserve">Securing the system versus securing the model.</w:t>
      </w:r>
      <w:r>
        <w:rPr>
          <w:rFonts w:ascii="Arial" w:hAnsi="Arial"/>
          <w:sz w:val="22"/>
        </w:rPr>
        <w:t xml:space="preserve"> The pivot of the chapter. Cloud security architecture and threat modelling establish what protects the pipeline; adversarial machine learning establishes what does not protect the model. This framing carries your central finding.</w:t>
      </w:r>
    </w:p>
    <w:p>
      <w:pPr>
        <w:spacing w:after="120" w:line="276" w:lineRule="auto"/>
        <w:jc w:val="both"/>
      </w:pPr>
      <w:r>
        <w:rPr>
          <w:rFonts w:ascii="Arial" w:hAnsi="Arial"/>
          <w:b/>
          <w:sz w:val="22"/>
        </w:rPr>
        <w:t xml:space="preserve">Evasion in the network domain.</w:t>
      </w:r>
      <w:r>
        <w:rPr>
          <w:rFonts w:ascii="Arial" w:hAnsi="Arial"/>
          <w:sz w:val="22"/>
        </w:rPr>
        <w:t xml:space="preserve"> Feature space against problem space, the constraints that make network evasion harder than image evasion, and the disagreement in the literature about how practical these attacks actually are.</w:t>
      </w:r>
    </w:p>
    <w:p>
      <w:pPr>
        <w:spacing w:after="120" w:line="276" w:lineRule="auto"/>
        <w:jc w:val="both"/>
      </w:pPr>
      <w:r>
        <w:rPr>
          <w:rFonts w:ascii="Arial" w:hAnsi="Arial"/>
          <w:b/>
          <w:sz w:val="22"/>
        </w:rPr>
        <w:t xml:space="preserve">Synthesis and gap.</w:t>
      </w:r>
      <w:r>
        <w:rPr>
          <w:rFonts w:ascii="Arial" w:hAnsi="Arial"/>
          <w:sz w:val="22"/>
        </w:rPr>
        <w:t xml:space="preserve"> What the review establishes, and what it leaves open — which is what your work addresses.</w:t>
      </w:r>
    </w:p>
    <w:p>
      <w:pPr>
        <w:pStyle w:val="Heading2"/>
      </w:pPr>
      <w:r>
        <w:rPr>
          <w:rFonts w:ascii="Arial" w:hAnsi="Arial"/>
          <w:sz w:val="22"/>
        </w:rPr>
        <w:t xml:space="preserve">5. Practical notes</w:t>
      </w:r>
    </w:p>
    <w:p>
      <w:pPr>
        <w:spacing w:after="120" w:line="276" w:lineRule="auto"/>
        <w:jc w:val="both"/>
      </w:pPr>
      <w:r>
        <w:rPr>
          <w:rFonts w:ascii="Arial" w:hAnsi="Arial"/>
          <w:b/>
          <w:sz w:val="22"/>
        </w:rPr>
        <w:t xml:space="preserve">Do not cite anything you have not read.</w:t>
      </w:r>
      <w:r>
        <w:rPr>
          <w:rFonts w:ascii="Arial" w:hAnsi="Arial"/>
          <w:sz w:val="22"/>
        </w:rPr>
        <w:t xml:space="preserve"> A supervisor may ask about any reference. Reading the abstract, introduction and conclusion of a paper is sufficient to cite it for a specific claim; citing from a title alone is not.</w:t>
      </w:r>
    </w:p>
    <w:p>
      <w:pPr>
        <w:spacing w:after="120" w:line="276" w:lineRule="auto"/>
        <w:jc w:val="both"/>
      </w:pPr>
      <w:r>
        <w:rPr>
          <w:rFonts w:ascii="Arial" w:hAnsi="Arial"/>
          <w:b/>
          <w:sz w:val="22"/>
        </w:rPr>
        <w:t xml:space="preserve">Record page numbers as you read.</w:t>
      </w:r>
      <w:r>
        <w:rPr>
          <w:rFonts w:ascii="Arial" w:hAnsi="Arial"/>
          <w:sz w:val="22"/>
        </w:rPr>
        <w:t xml:space="preserve"> AU Harvard requires them for direct quotations, and reconstructing them later means reopening every source.</w:t>
      </w:r>
    </w:p>
    <w:p>
      <w:pPr>
        <w:spacing w:after="120" w:line="276" w:lineRule="auto"/>
        <w:jc w:val="both"/>
      </w:pPr>
      <w:r>
        <w:rPr>
          <w:rFonts w:ascii="Arial" w:hAnsi="Arial"/>
          <w:b/>
          <w:sz w:val="22"/>
        </w:rPr>
        <w:t xml:space="preserve">Aim for roughly 25 to 35 sources.</w:t>
      </w:r>
      <w:r>
        <w:rPr>
          <w:rFonts w:ascii="Arial" w:hAnsi="Arial"/>
          <w:sz w:val="22"/>
        </w:rPr>
        <w:t xml:space="preserve"> Below that, coverage will look thin against the marking criteria; far above it, the review usually stops being an argument and becomes a catalogue.</w:t>
      </w:r>
    </w:p>
    <w:p>
      <w:pPr>
        <w:spacing w:after="120" w:line="276" w:lineRule="auto"/>
        <w:jc w:val="both"/>
      </w:pPr>
      <w:r>
        <w:rPr>
          <w:rFonts w:ascii="Arial" w:hAnsi="Arial"/>
          <w:b/>
          <w:sz w:val="22"/>
        </w:rPr>
        <w:t xml:space="preserve">Write section 3.5 first.</w:t>
      </w:r>
      <w:r>
        <w:rPr>
          <w:rFonts w:ascii="Arial" w:hAnsi="Arial"/>
          <w:sz w:val="22"/>
        </w:rPr>
        <w:t xml:space="preserve"> It is the longest, the most interesting, and the one most directly connected to your findings. Momentum matters, and starting with the section you have most to say about is easier than starting at the beginning.</w:t>
      </w:r>
    </w:p>
    <w:p>
      <w:pPr>
        <w:spacing w:after="120" w:line="276" w:lineRule="auto"/>
        <w:jc w:val="both"/>
      </w:pPr>
      <w:r>
        <w:rPr>
          <w:rFonts w:ascii="Arial" w:hAnsi="Arial"/>
          <w:b/>
          <w:sz w:val="22"/>
        </w:rPr>
        <w:t xml:space="preserve">Send the chapter to your supervisor when drafted.</w:t>
      </w:r>
      <w:r>
        <w:rPr>
          <w:rFonts w:ascii="Arial" w:hAnsi="Arial"/>
          <w:sz w:val="22"/>
        </w:rPr>
        <w:t xml:space="preserve"> The handbook allows one formative review per chapter plus a full-draft review. That feedback is free and is wasted if everything arrives near the deadline.</w:t>
      </w:r>
    </w:p>
    <w:p>
      <w:pPr>
        <w:pStyle w:val="Heading2"/>
      </w:pPr>
      <w:r>
        <w:rPr>
          <w:rFonts w:ascii="Arial" w:hAnsi="Arial"/>
          <w:sz w:val="22"/>
        </w:rPr>
        <w:t xml:space="preserve">6. Reference list (AU Harvard)</w:t>
      </w:r>
    </w:p>
    <w:p>
      <w:pPr>
        <w:spacing w:after="120" w:line="276" w:lineRule="auto"/>
        <w:jc w:val="both"/>
      </w:pPr>
      <w:r>
        <w:rPr>
          <w:rFonts w:ascii="Arial" w:hAnsi="Arial"/>
          <w:sz w:val="22"/>
        </w:rPr>
        <w:t xml:space="preserve">Twenty-two sources, ordered alphabetically. Each entry notes what it supports in your argument.</w:t>
      </w:r>
    </w:p>
    <w:p>
      <w:pPr>
        <w:spacing w:after="120" w:line="276" w:lineRule="auto"/>
        <w:jc w:val="both"/>
      </w:pPr>
      <w:r>
        <w:rPr>
          <w:rFonts w:ascii="Arial" w:hAnsi="Arial"/>
          <w:sz w:val="22"/>
        </w:rPr>
        <w:t xml:space="preserve">Entries marked </w:t>
      </w:r>
      <w:r>
        <w:rPr>
          <w:rFonts w:ascii="Arial" w:hAnsi="Arial"/>
          <w:b/>
          <w:sz w:val="22"/>
        </w:rPr>
        <w:t xml:space="preserve">[verify]</w:t>
      </w:r>
      <w:r>
        <w:rPr>
          <w:rFonts w:ascii="Arial" w:hAnsi="Arial"/>
          <w:sz w:val="22"/>
        </w:rPr>
        <w:t xml:space="preserve"> were located through database search but the result did not confirm every bibliographic detail. Confirm these against the publisher record before submission. Do not cite any source you have not read.</w:t>
      </w:r>
    </w:p>
    <w:p>
      <w:pPr>
        <w:spacing w:after="120" w:line="276" w:lineRule="auto"/>
        <w:jc w:val="both"/>
      </w:pPr>
      <w:r>
        <w:rPr>
          <w:rFonts w:ascii="Arial" w:hAnsi="Arial"/>
          <w:b/>
          <w:sz w:val="22"/>
        </w:rPr>
        <w:t xml:space="preserve">Carlini, N. and Wagner, D. (2017)</w:t>
      </w:r>
      <w:r>
        <w:rPr>
          <w:rFonts w:ascii="Arial" w:hAnsi="Arial"/>
          <w:sz w:val="22"/>
        </w:rPr>
        <w:t xml:space="preserve"> 'Towards evaluating the robustness of neural networks', in </w:t>
      </w:r>
      <w:r>
        <w:rPr>
          <w:rFonts w:ascii="Arial" w:hAnsi="Arial"/>
          <w:i/>
          <w:sz w:val="22"/>
        </w:rPr>
        <w:t xml:space="preserve">2017 IEEE Symposium on Security and Privacy (SP)</w:t>
      </w:r>
      <w:r>
        <w:rPr>
          <w:rFonts w:ascii="Arial" w:hAnsi="Arial"/>
          <w:sz w:val="22"/>
        </w:rPr>
        <w:t xml:space="preserve">. IEEE, pp. 39–57.</w:t>
      </w:r>
    </w:p>
    <w:p>
      <w:pPr>
        <w:spacing w:after="120" w:line="276" w:lineRule="auto"/>
        <w:jc w:val="both"/>
      </w:pPr>
      <w:r>
        <w:rPr>
          <w:rFonts w:ascii="Arial" w:hAnsi="Arial"/>
          <w:i/>
          <w:sz w:val="22"/>
        </w:rPr>
        <w:t xml:space="preserve">Foundational attack method and robustness evaluation methodology.</w:t>
      </w:r>
    </w:p>
    <w:p>
      <w:pPr>
        <w:spacing w:after="120" w:line="276" w:lineRule="auto"/>
        <w:jc w:val="both"/>
      </w:pPr>
      <w:r>
        <w:rPr>
          <w:rFonts w:ascii="Arial" w:hAnsi="Arial"/>
          <w:b/>
          <w:sz w:val="22"/>
        </w:rPr>
        <w:t xml:space="preserve">Catillo, M., Pecchia, A. and Villano, U. (2022)</w:t>
      </w:r>
      <w:r>
        <w:rPr>
          <w:rFonts w:ascii="Arial" w:hAnsi="Arial"/>
          <w:sz w:val="22"/>
        </w:rPr>
        <w:t xml:space="preserve"> 'Transferability of machine learning models learned from public intrusion detection datasets: the CICIDS2017 case study', </w:t>
      </w:r>
      <w:r>
        <w:rPr>
          <w:rFonts w:ascii="Arial" w:hAnsi="Arial"/>
          <w:i/>
          <w:sz w:val="22"/>
        </w:rPr>
        <w:t xml:space="preserve">Software Quality Journal</w:t>
      </w:r>
      <w:r>
        <w:rPr>
          <w:rFonts w:ascii="Arial" w:hAnsi="Arial"/>
          <w:sz w:val="22"/>
        </w:rPr>
        <w:t xml:space="preserve">, 30, pp. 955–981.</w:t>
      </w:r>
    </w:p>
    <w:p>
      <w:pPr>
        <w:spacing w:after="120" w:line="276" w:lineRule="auto"/>
        <w:jc w:val="both"/>
      </w:pPr>
      <w:r>
        <w:rPr>
          <w:rFonts w:ascii="Arial" w:hAnsi="Arial"/>
          <w:i/>
          <w:sz w:val="22"/>
        </w:rPr>
        <w:t xml:space="preserve">Supports the limitation that results are dataset-bound.</w:t>
      </w:r>
    </w:p>
    <w:p>
      <w:pPr>
        <w:spacing w:after="120" w:line="276" w:lineRule="auto"/>
        <w:jc w:val="both"/>
      </w:pPr>
      <w:r>
        <w:rPr>
          <w:rFonts w:ascii="Arial" w:hAnsi="Arial"/>
          <w:b/>
          <w:sz w:val="22"/>
        </w:rPr>
        <w:t xml:space="preserve">Catillo, M., Pecchia, A. and Villano, U. (2023)</w:t>
      </w:r>
      <w:r>
        <w:rPr>
          <w:rFonts w:ascii="Arial" w:hAnsi="Arial"/>
          <w:sz w:val="22"/>
        </w:rPr>
        <w:t xml:space="preserve"> 'A case study with CICIDS2017 on the robustness of machine learning against adversarial attacks in intrusion detection', in </w:t>
      </w:r>
      <w:r>
        <w:rPr>
          <w:rFonts w:ascii="Arial" w:hAnsi="Arial"/>
          <w:i/>
          <w:sz w:val="22"/>
        </w:rPr>
        <w:t xml:space="preserve">Proceedings of the 18th International Conference on Availability, Reliability and Security (ARES 2023)</w:t>
      </w:r>
      <w:r>
        <w:rPr>
          <w:rFonts w:ascii="Arial" w:hAnsi="Arial"/>
          <w:sz w:val="22"/>
        </w:rPr>
        <w:t xml:space="preserve">. New York: ACM. doi:10.1145/3600160.3605031.</w:t>
      </w:r>
    </w:p>
    <w:p>
      <w:pPr>
        <w:spacing w:after="120" w:line="276" w:lineRule="auto"/>
        <w:jc w:val="both"/>
      </w:pPr>
      <w:r>
        <w:rPr>
          <w:rFonts w:ascii="Arial" w:hAnsi="Arial"/>
          <w:i/>
          <w:sz w:val="22"/>
        </w:rPr>
        <w:t xml:space="preserve">Directly comparable robustness work on the same dataset.</w:t>
      </w:r>
    </w:p>
    <w:p>
      <w:pPr>
        <w:spacing w:after="120" w:line="276" w:lineRule="auto"/>
        <w:jc w:val="both"/>
      </w:pPr>
      <w:r>
        <w:rPr>
          <w:rFonts w:ascii="Arial" w:hAnsi="Arial"/>
          <w:b/>
          <w:sz w:val="22"/>
        </w:rPr>
        <w:t xml:space="preserve">Catillo, M., Pecchia, A. and Villano, U. (2024)</w:t>
      </w:r>
      <w:r>
        <w:rPr>
          <w:rFonts w:ascii="Arial" w:hAnsi="Arial"/>
          <w:sz w:val="22"/>
        </w:rPr>
        <w:t xml:space="preserve"> 'Towards realistic problem-space adversarial attacks against machine learning in network intrusion detection', in </w:t>
      </w:r>
      <w:r>
        <w:rPr>
          <w:rFonts w:ascii="Arial" w:hAnsi="Arial"/>
          <w:i/>
          <w:sz w:val="22"/>
        </w:rPr>
        <w:t xml:space="preserve">Proceedings of the 19th International Conference on Availability, Reliability and Security (ARES 2024)</w:t>
      </w:r>
      <w:r>
        <w:rPr>
          <w:rFonts w:ascii="Arial" w:hAnsi="Arial"/>
          <w:sz w:val="22"/>
        </w:rPr>
        <w:t xml:space="preserve">. New York: ACM. doi:10.1145/3664476.3669974.</w:t>
      </w:r>
    </w:p>
    <w:p>
      <w:pPr>
        <w:spacing w:after="120" w:line="276" w:lineRule="auto"/>
        <w:jc w:val="both"/>
      </w:pPr>
      <w:r>
        <w:rPr>
          <w:rFonts w:ascii="Arial" w:hAnsi="Arial"/>
          <w:i/>
          <w:sz w:val="22"/>
        </w:rPr>
        <w:t xml:space="preserve">Problem-space perturbation of real traffic via a traffic control utility. The closest published analogue to E6.</w:t>
      </w:r>
    </w:p>
    <w:p>
      <w:pPr>
        <w:spacing w:after="120" w:line="276" w:lineRule="auto"/>
        <w:jc w:val="both"/>
      </w:pPr>
      <w:r>
        <w:rPr>
          <w:rFonts w:ascii="Arial" w:hAnsi="Arial"/>
          <w:b/>
          <w:sz w:val="22"/>
        </w:rPr>
        <w:t xml:space="preserve">Chandola, V., Banerjee, A. and Kumar, V. (2009)</w:t>
      </w:r>
      <w:r>
        <w:rPr>
          <w:rFonts w:ascii="Arial" w:hAnsi="Arial"/>
          <w:sz w:val="22"/>
        </w:rPr>
        <w:t xml:space="preserve"> 'Anomaly detection: a survey', </w:t>
      </w:r>
      <w:r>
        <w:rPr>
          <w:rFonts w:ascii="Arial" w:hAnsi="Arial"/>
          <w:i/>
          <w:sz w:val="22"/>
        </w:rPr>
        <w:t xml:space="preserve">ACM Computing Surveys</w:t>
      </w:r>
      <w:r>
        <w:rPr>
          <w:rFonts w:ascii="Arial" w:hAnsi="Arial"/>
          <w:sz w:val="22"/>
        </w:rPr>
        <w:t xml:space="preserve">, 41(3), article 15.</w:t>
      </w:r>
    </w:p>
    <w:p>
      <w:pPr>
        <w:spacing w:after="120" w:line="276" w:lineRule="auto"/>
        <w:jc w:val="both"/>
      </w:pPr>
      <w:r>
        <w:rPr>
          <w:rFonts w:ascii="Arial" w:hAnsi="Arial"/>
          <w:i/>
          <w:sz w:val="22"/>
        </w:rPr>
        <w:t xml:space="preserve">Establishes the anomaly detection problem framing.</w:t>
      </w:r>
    </w:p>
    <w:p>
      <w:pPr>
        <w:spacing w:after="120" w:line="276" w:lineRule="auto"/>
        <w:jc w:val="both"/>
      </w:pPr>
      <w:r>
        <w:rPr>
          <w:rFonts w:ascii="Arial" w:hAnsi="Arial"/>
          <w:b/>
          <w:sz w:val="22"/>
        </w:rPr>
        <w:t xml:space="preserve">Chawla, N.V., Bowyer, K.W., Hall, L.O. and Kegelmeyer, W.P. (2002)</w:t>
      </w:r>
      <w:r>
        <w:rPr>
          <w:rFonts w:ascii="Arial" w:hAnsi="Arial"/>
          <w:sz w:val="22"/>
        </w:rPr>
        <w:t xml:space="preserve"> 'SMOTE: synthetic minority over-sampling technique', </w:t>
      </w:r>
      <w:r>
        <w:rPr>
          <w:rFonts w:ascii="Arial" w:hAnsi="Arial"/>
          <w:i/>
          <w:sz w:val="22"/>
        </w:rPr>
        <w:t xml:space="preserve">Journal of Artificial Intelligence Research</w:t>
      </w:r>
      <w:r>
        <w:rPr>
          <w:rFonts w:ascii="Arial" w:hAnsi="Arial"/>
          <w:sz w:val="22"/>
        </w:rPr>
        <w:t xml:space="preserve">, 16, pp. 321–357.</w:t>
      </w:r>
    </w:p>
    <w:p>
      <w:pPr>
        <w:spacing w:after="120" w:line="276" w:lineRule="auto"/>
        <w:jc w:val="both"/>
      </w:pPr>
      <w:r>
        <w:rPr>
          <w:rFonts w:ascii="Arial" w:hAnsi="Arial"/>
          <w:i/>
          <w:sz w:val="22"/>
        </w:rPr>
        <w:t xml:space="preserve">Cite specifically for the recommendation to combine oversampling with majority undersampling, which is the E1 hybrid strategy.</w:t>
      </w:r>
      <w:r>
        <w:rPr>
          <w:rFonts w:ascii="Arial" w:hAnsi="Arial"/>
          <w:sz w:val="22"/>
        </w:rPr>
        <w:t xml:space="preserve"> </w:t>
      </w:r>
      <w:r>
        <w:rPr>
          <w:rFonts w:ascii="Arial" w:hAnsi="Arial"/>
          <w:b/>
          <w:sz w:val="22"/>
        </w:rPr>
        <w:t xml:space="preserve">[verify pagination]</w:t>
      </w:r>
    </w:p>
    <w:p>
      <w:pPr>
        <w:spacing w:after="120" w:line="276" w:lineRule="auto"/>
        <w:jc w:val="both"/>
      </w:pPr>
      <w:r>
        <w:rPr>
          <w:rFonts w:ascii="Arial" w:hAnsi="Arial"/>
          <w:b/>
          <w:sz w:val="22"/>
        </w:rPr>
        <w:t xml:space="preserve">Corona, I., Giacinto, G. and Roli, F. (2013)</w:t>
      </w:r>
      <w:r>
        <w:rPr>
          <w:rFonts w:ascii="Arial" w:hAnsi="Arial"/>
          <w:sz w:val="22"/>
        </w:rPr>
        <w:t xml:space="preserve"> 'Adversarial attacks against intrusion detection systems: taxonomy, solutions and open issues', </w:t>
      </w:r>
      <w:r>
        <w:rPr>
          <w:rFonts w:ascii="Arial" w:hAnsi="Arial"/>
          <w:i/>
          <w:sz w:val="22"/>
        </w:rPr>
        <w:t xml:space="preserve">Information Sciences</w:t>
      </w:r>
      <w:r>
        <w:rPr>
          <w:rFonts w:ascii="Arial" w:hAnsi="Arial"/>
          <w:sz w:val="22"/>
        </w:rPr>
        <w:t xml:space="preserve">, 239, pp. 201–225.</w:t>
      </w:r>
    </w:p>
    <w:p>
      <w:pPr>
        <w:spacing w:after="120" w:line="276" w:lineRule="auto"/>
        <w:jc w:val="both"/>
      </w:pPr>
      <w:r>
        <w:rPr>
          <w:rFonts w:ascii="Arial" w:hAnsi="Arial"/>
          <w:i/>
          <w:sz w:val="22"/>
        </w:rPr>
        <w:t xml:space="preserve">Taxonomy of attacks against IDS. Predates the current adversarial ML wave and frames the problem in security terms.</w:t>
      </w:r>
    </w:p>
    <w:p>
      <w:pPr>
        <w:spacing w:after="120" w:line="276" w:lineRule="auto"/>
        <w:jc w:val="both"/>
      </w:pPr>
      <w:r>
        <w:rPr>
          <w:rFonts w:ascii="Arial" w:hAnsi="Arial"/>
          <w:b/>
          <w:sz w:val="22"/>
        </w:rPr>
        <w:t xml:space="preserve">Dyrmishi, S. et al. (2022)</w:t>
      </w:r>
      <w:r>
        <w:rPr>
          <w:rFonts w:ascii="Arial" w:hAnsi="Arial"/>
          <w:sz w:val="22"/>
        </w:rPr>
        <w:t xml:space="preserve"> 'On the empirical effectiveness of unrealistic adversarial hardening against realistic adversarial attacks', </w:t>
      </w:r>
      <w:r>
        <w:rPr>
          <w:rFonts w:ascii="Arial" w:hAnsi="Arial"/>
          <w:i/>
          <w:sz w:val="22"/>
        </w:rPr>
        <w:t xml:space="preserve">arXiv:2202.03277</w:t>
      </w:r>
      <w:r>
        <w:rPr>
          <w:rFonts w:ascii="Arial" w:hAnsi="Arial"/>
          <w:sz w:val="22"/>
        </w:rPr>
        <w:t xml:space="preserve">.</w:t>
      </w:r>
    </w:p>
    <w:p>
      <w:pPr>
        <w:spacing w:after="120" w:line="276" w:lineRule="auto"/>
        <w:jc w:val="both"/>
      </w:pPr>
      <w:r>
        <w:rPr>
          <w:rFonts w:ascii="Arial" w:hAnsi="Arial"/>
          <w:i/>
          <w:sz w:val="22"/>
        </w:rPr>
        <w:t xml:space="preserve">Argues constrained feature-space attacks are an effective proxy for problem-space attacks at a fraction of the cost. The methodological justification for the E6 approach.</w:t>
      </w:r>
      <w:r>
        <w:rPr>
          <w:rFonts w:ascii="Arial" w:hAnsi="Arial"/>
          <w:sz w:val="22"/>
        </w:rPr>
        <w:t xml:space="preserve"> </w:t>
      </w:r>
      <w:r>
        <w:rPr>
          <w:rFonts w:ascii="Arial" w:hAnsi="Arial"/>
          <w:b/>
          <w:sz w:val="22"/>
        </w:rPr>
        <w:t xml:space="preserve">[verify authorship and published venue]</w:t>
      </w:r>
    </w:p>
    <w:p>
      <w:pPr>
        <w:spacing w:after="120" w:line="276" w:lineRule="auto"/>
        <w:jc w:val="both"/>
      </w:pPr>
      <w:r>
        <w:rPr>
          <w:rFonts w:ascii="Arial" w:hAnsi="Arial"/>
          <w:b/>
          <w:sz w:val="22"/>
        </w:rPr>
        <w:t xml:space="preserve">Engelen, G., Rimmer, V. and Joosen, W. (2021)</w:t>
      </w:r>
      <w:r>
        <w:rPr>
          <w:rFonts w:ascii="Arial" w:hAnsi="Arial"/>
          <w:sz w:val="22"/>
        </w:rPr>
        <w:t xml:space="preserve"> 'Troubleshooting an intrusion detection dataset: the CICIDS2017 case study', in </w:t>
      </w:r>
      <w:r>
        <w:rPr>
          <w:rFonts w:ascii="Arial" w:hAnsi="Arial"/>
          <w:i/>
          <w:sz w:val="22"/>
        </w:rPr>
        <w:t xml:space="preserve">2021 IEEE Security and Privacy Workshops (SPW)</w:t>
      </w:r>
      <w:r>
        <w:rPr>
          <w:rFonts w:ascii="Arial" w:hAnsi="Arial"/>
          <w:sz w:val="22"/>
        </w:rPr>
        <w:t xml:space="preserve">. IEEE, pp. 7–12.</w:t>
      </w:r>
    </w:p>
    <w:p>
      <w:pPr>
        <w:spacing w:after="120" w:line="276" w:lineRule="auto"/>
        <w:jc w:val="both"/>
      </w:pPr>
      <w:r>
        <w:rPr>
          <w:rFonts w:ascii="Arial" w:hAnsi="Arial"/>
          <w:i/>
          <w:sz w:val="22"/>
        </w:rPr>
        <w:t xml:space="preserve">Documents labelling and generation errors in the original dataset. Essential for the data quality discussion.</w:t>
      </w:r>
    </w:p>
    <w:p>
      <w:pPr>
        <w:spacing w:after="120" w:line="276" w:lineRule="auto"/>
        <w:jc w:val="both"/>
      </w:pPr>
      <w:r>
        <w:rPr>
          <w:rFonts w:ascii="Arial" w:hAnsi="Arial"/>
          <w:b/>
          <w:sz w:val="22"/>
        </w:rPr>
        <w:t xml:space="preserve">Goodfellow, I.J., Shlens, C. and Szegedy, C. (2015)</w:t>
      </w:r>
      <w:r>
        <w:rPr>
          <w:rFonts w:ascii="Arial" w:hAnsi="Arial"/>
          <w:sz w:val="22"/>
        </w:rPr>
        <w:t xml:space="preserve"> 'Explaining and harnessing adversarial examples', </w:t>
      </w:r>
      <w:r>
        <w:rPr>
          <w:rFonts w:ascii="Arial" w:hAnsi="Arial"/>
          <w:i/>
          <w:sz w:val="22"/>
        </w:rPr>
        <w:t xml:space="preserve">arXiv:1412.6572</w:t>
      </w:r>
      <w:r>
        <w:rPr>
          <w:rFonts w:ascii="Arial" w:hAnsi="Arial"/>
          <w:sz w:val="22"/>
        </w:rPr>
        <w:t xml:space="preserve">.</w:t>
      </w:r>
    </w:p>
    <w:p>
      <w:pPr>
        <w:spacing w:after="120" w:line="276" w:lineRule="auto"/>
        <w:jc w:val="both"/>
      </w:pPr>
      <w:r>
        <w:rPr>
          <w:rFonts w:ascii="Arial" w:hAnsi="Arial"/>
          <w:i/>
          <w:sz w:val="22"/>
        </w:rPr>
        <w:t xml:space="preserve">Foundational adversarial examples paper.</w:t>
      </w:r>
    </w:p>
    <w:p>
      <w:pPr>
        <w:spacing w:after="120" w:line="276" w:lineRule="auto"/>
        <w:jc w:val="both"/>
      </w:pPr>
      <w:r>
        <w:rPr>
          <w:rFonts w:ascii="Arial" w:hAnsi="Arial"/>
          <w:b/>
          <w:sz w:val="22"/>
        </w:rPr>
        <w:t xml:space="preserve">Grinsztajn, L., Oyallon, E. and Varoquaux, G. (2022)</w:t>
      </w:r>
      <w:r>
        <w:rPr>
          <w:rFonts w:ascii="Arial" w:hAnsi="Arial"/>
          <w:sz w:val="22"/>
        </w:rPr>
        <w:t xml:space="preserve"> 'Why do tree-based models still outperform deep learning on typical tabular data?', in </w:t>
      </w:r>
      <w:r>
        <w:rPr>
          <w:rFonts w:ascii="Arial" w:hAnsi="Arial"/>
          <w:i/>
          <w:sz w:val="22"/>
        </w:rPr>
        <w:t xml:space="preserve">Advances in Neural Information Processing Systems 35</w:t>
      </w:r>
      <w:r>
        <w:rPr>
          <w:rFonts w:ascii="Arial" w:hAnsi="Arial"/>
          <w:sz w:val="22"/>
        </w:rPr>
        <w:t xml:space="preserve">.</w:t>
      </w:r>
    </w:p>
    <w:p>
      <w:pPr>
        <w:spacing w:after="120" w:line="276" w:lineRule="auto"/>
        <w:jc w:val="both"/>
      </w:pPr>
      <w:r>
        <w:rPr>
          <w:rFonts w:ascii="Arial" w:hAnsi="Arial"/>
          <w:i/>
          <w:sz w:val="22"/>
        </w:rPr>
        <w:t xml:space="preserve">Supports the E1 finding that the MLP underperformed as an expected result.</w:t>
      </w:r>
      <w:r>
        <w:rPr>
          <w:rFonts w:ascii="Arial" w:hAnsi="Arial"/>
          <w:sz w:val="22"/>
        </w:rPr>
        <w:t xml:space="preserve"> </w:t>
      </w:r>
      <w:r>
        <w:rPr>
          <w:rFonts w:ascii="Arial" w:hAnsi="Arial"/>
          <w:b/>
          <w:sz w:val="22"/>
        </w:rPr>
        <w:t xml:space="preserve">[verify track and pagination]</w:t>
      </w:r>
    </w:p>
    <w:p>
      <w:pPr>
        <w:spacing w:after="120" w:line="276" w:lineRule="auto"/>
        <w:jc w:val="both"/>
      </w:pPr>
      <w:r>
        <w:rPr>
          <w:rFonts w:ascii="Arial" w:hAnsi="Arial"/>
          <w:b/>
          <w:sz w:val="22"/>
        </w:rPr>
        <w:t xml:space="preserve">Kurakin, A., Goodfellow, I. and Bengio, S. (2017)</w:t>
      </w:r>
      <w:r>
        <w:rPr>
          <w:rFonts w:ascii="Arial" w:hAnsi="Arial"/>
          <w:sz w:val="22"/>
        </w:rPr>
        <w:t xml:space="preserve"> 'Adversarial machine learning at scale', </w:t>
      </w:r>
      <w:r>
        <w:rPr>
          <w:rFonts w:ascii="Arial" w:hAnsi="Arial"/>
          <w:i/>
          <w:sz w:val="22"/>
        </w:rPr>
        <w:t xml:space="preserve">arXiv:1611.01236</w:t>
      </w:r>
      <w:r>
        <w:rPr>
          <w:rFonts w:ascii="Arial" w:hAnsi="Arial"/>
          <w:sz w:val="22"/>
        </w:rPr>
        <w:t xml:space="preserve">.</w:t>
      </w:r>
    </w:p>
    <w:p>
      <w:pPr>
        <w:spacing w:after="120" w:line="276" w:lineRule="auto"/>
        <w:jc w:val="both"/>
      </w:pPr>
      <w:r>
        <w:rPr>
          <w:rFonts w:ascii="Arial" w:hAnsi="Arial"/>
          <w:i/>
          <w:sz w:val="22"/>
        </w:rPr>
        <w:t xml:space="preserve">Scaling behaviour of adversarial training.</w:t>
      </w:r>
    </w:p>
    <w:p>
      <w:pPr>
        <w:spacing w:after="120" w:line="276" w:lineRule="auto"/>
        <w:jc w:val="both"/>
      </w:pPr>
      <w:r>
        <w:rPr>
          <w:rFonts w:ascii="Arial" w:hAnsi="Arial"/>
          <w:b/>
          <w:sz w:val="22"/>
        </w:rPr>
        <w:t xml:space="preserve">Maseer, Z.K., Yusof, R., Bahaman, N., Mostafa, S.A. and Foozy, C.F.M. (2021)</w:t>
      </w:r>
      <w:r>
        <w:rPr>
          <w:rFonts w:ascii="Arial" w:hAnsi="Arial"/>
          <w:sz w:val="22"/>
        </w:rPr>
        <w:t xml:space="preserve"> 'Benchmarking of machine learning for anomaly based intrusion detection systems in the CICIDS2017 dataset', </w:t>
      </w:r>
      <w:r>
        <w:rPr>
          <w:rFonts w:ascii="Arial" w:hAnsi="Arial"/>
          <w:i/>
          <w:sz w:val="22"/>
        </w:rPr>
        <w:t xml:space="preserve">IEEE Access</w:t>
      </w:r>
      <w:r>
        <w:rPr>
          <w:rFonts w:ascii="Arial" w:hAnsi="Arial"/>
          <w:sz w:val="22"/>
        </w:rPr>
        <w:t xml:space="preserve">, 9, pp. 22351–22370.</w:t>
      </w:r>
    </w:p>
    <w:p>
      <w:pPr>
        <w:spacing w:after="120" w:line="276" w:lineRule="auto"/>
        <w:jc w:val="both"/>
      </w:pPr>
      <w:r>
        <w:rPr>
          <w:rFonts w:ascii="Arial" w:hAnsi="Arial"/>
          <w:i/>
          <w:sz w:val="22"/>
        </w:rPr>
        <w:t xml:space="preserve">The primary benchmark source. Read first — the Critical Evaluation chapter depends on it.</w:t>
      </w:r>
    </w:p>
    <w:p>
      <w:pPr>
        <w:spacing w:after="120" w:line="276" w:lineRule="auto"/>
        <w:jc w:val="both"/>
      </w:pPr>
      <w:r>
        <w:rPr>
          <w:rFonts w:ascii="Arial" w:hAnsi="Arial"/>
          <w:b/>
          <w:sz w:val="22"/>
        </w:rPr>
        <w:t xml:space="preserve">Mishra, P., Varadharajan, V., Tupakula, U. and Pilli, E.S. (2019)</w:t>
      </w:r>
      <w:r>
        <w:rPr>
          <w:rFonts w:ascii="Arial" w:hAnsi="Arial"/>
          <w:sz w:val="22"/>
        </w:rPr>
        <w:t xml:space="preserve"> 'A detailed investigation and analysis of using machine learning techniques for intrusion detection', </w:t>
      </w:r>
      <w:r>
        <w:rPr>
          <w:rFonts w:ascii="Arial" w:hAnsi="Arial"/>
          <w:i/>
          <w:sz w:val="22"/>
        </w:rPr>
        <w:t xml:space="preserve">IEEE Communications Surveys and Tutorials</w:t>
      </w:r>
      <w:r>
        <w:rPr>
          <w:rFonts w:ascii="Arial" w:hAnsi="Arial"/>
          <w:sz w:val="22"/>
        </w:rPr>
        <w:t xml:space="preserve">, 21(1), pp. 686–728.</w:t>
      </w:r>
    </w:p>
    <w:p>
      <w:pPr>
        <w:spacing w:after="120" w:line="276" w:lineRule="auto"/>
        <w:jc w:val="both"/>
      </w:pPr>
      <w:r>
        <w:rPr>
          <w:rFonts w:ascii="Arial" w:hAnsi="Arial"/>
          <w:i/>
          <w:sz w:val="22"/>
        </w:rPr>
        <w:t xml:space="preserve">Broad survey establishing the state of ML-based intrusion detection.</w:t>
      </w:r>
    </w:p>
    <w:p>
      <w:pPr>
        <w:spacing w:after="120" w:line="276" w:lineRule="auto"/>
        <w:jc w:val="both"/>
      </w:pPr>
      <w:r>
        <w:rPr>
          <w:rFonts w:ascii="Arial" w:hAnsi="Arial"/>
          <w:b/>
          <w:sz w:val="22"/>
        </w:rPr>
        <w:t xml:space="preserve">MITRE (no date)</w:t>
      </w:r>
      <w:r>
        <w:rPr>
          <w:rFonts w:ascii="Arial" w:hAnsi="Arial"/>
          <w:sz w:val="22"/>
        </w:rPr>
        <w:t xml:space="preserve"> </w:t>
      </w:r>
      <w:r>
        <w:rPr>
          <w:rFonts w:ascii="Arial" w:hAnsi="Arial"/>
          <w:i/>
          <w:sz w:val="22"/>
        </w:rPr>
        <w:t xml:space="preserve">ATLAS: Adversarial Threat Landscape for Artificial-Intelligence Systems</w:t>
      </w:r>
      <w:r>
        <w:rPr>
          <w:rFonts w:ascii="Arial" w:hAnsi="Arial"/>
          <w:sz w:val="22"/>
        </w:rPr>
        <w:t xml:space="preserve">. Available at: https://atlas.mitre.org/ (Accessed: [date]).</w:t>
      </w:r>
    </w:p>
    <w:p>
      <w:pPr>
        <w:spacing w:after="120" w:line="276" w:lineRule="auto"/>
        <w:jc w:val="both"/>
      </w:pPr>
      <w:r>
        <w:rPr>
          <w:rFonts w:ascii="Arial" w:hAnsi="Arial"/>
          <w:i/>
          <w:sz w:val="22"/>
        </w:rPr>
        <w:t xml:space="preserve">Framework for ML-specific threats. Cite as a framework, not a paper.</w:t>
      </w:r>
    </w:p>
    <w:p>
      <w:pPr>
        <w:spacing w:after="120" w:line="276" w:lineRule="auto"/>
        <w:jc w:val="both"/>
      </w:pPr>
      <w:r>
        <w:rPr>
          <w:rFonts w:ascii="Arial" w:hAnsi="Arial"/>
          <w:b/>
          <w:sz w:val="22"/>
        </w:rPr>
        <w:t xml:space="preserve">Moosavi-Dezfooli, S.-M., Fawzi, A. and Frossard, P. (2016)</w:t>
      </w:r>
      <w:r>
        <w:rPr>
          <w:rFonts w:ascii="Arial" w:hAnsi="Arial"/>
          <w:sz w:val="22"/>
        </w:rPr>
        <w:t xml:space="preserve"> 'DeepFool: a simple and accurate method to fool deep neural networks', in </w:t>
      </w:r>
      <w:r>
        <w:rPr>
          <w:rFonts w:ascii="Arial" w:hAnsi="Arial"/>
          <w:i/>
          <w:sz w:val="22"/>
        </w:rPr>
        <w:t xml:space="preserve">2016 IEEE Conference on Computer Vision and Pattern Recognition (CVPR)</w:t>
      </w:r>
      <w:r>
        <w:rPr>
          <w:rFonts w:ascii="Arial" w:hAnsi="Arial"/>
          <w:sz w:val="22"/>
        </w:rPr>
        <w:t xml:space="preserve">. IEEE, pp. 2574–2582.</w:t>
      </w:r>
    </w:p>
    <w:p>
      <w:pPr>
        <w:spacing w:after="120" w:line="276" w:lineRule="auto"/>
        <w:jc w:val="both"/>
      </w:pPr>
      <w:r>
        <w:rPr>
          <w:rFonts w:ascii="Arial" w:hAnsi="Arial"/>
          <w:i/>
          <w:sz w:val="22"/>
        </w:rPr>
        <w:t xml:space="preserve">Defines minimal perturbation as a robustness measure — the metric E5 reports.</w:t>
      </w:r>
    </w:p>
    <w:p>
      <w:pPr>
        <w:spacing w:after="120" w:line="276" w:lineRule="auto"/>
        <w:jc w:val="both"/>
      </w:pPr>
      <w:r>
        <w:rPr>
          <w:rFonts w:ascii="Arial" w:hAnsi="Arial"/>
          <w:b/>
          <w:sz w:val="22"/>
        </w:rPr>
        <w:t xml:space="preserve">Papernot, N., McDaniel, P., Jha, S., Fredrikson, M., Celik, Z.B. and Swami, A. (2016)</w:t>
      </w:r>
      <w:r>
        <w:rPr>
          <w:rFonts w:ascii="Arial" w:hAnsi="Arial"/>
          <w:sz w:val="22"/>
        </w:rPr>
        <w:t xml:space="preserve"> 'The limitations of deep learning in adversarial settings', in </w:t>
      </w:r>
      <w:r>
        <w:rPr>
          <w:rFonts w:ascii="Arial" w:hAnsi="Arial"/>
          <w:i/>
          <w:sz w:val="22"/>
        </w:rPr>
        <w:t xml:space="preserve">2016 IEEE European Symposium on Security and Privacy (EuroS&amp;P)</w:t>
      </w:r>
      <w:r>
        <w:rPr>
          <w:rFonts w:ascii="Arial" w:hAnsi="Arial"/>
          <w:sz w:val="22"/>
        </w:rPr>
        <w:t xml:space="preserve">. IEEE, pp. 372–387.</w:t>
      </w:r>
    </w:p>
    <w:p>
      <w:pPr>
        <w:spacing w:after="120" w:line="276" w:lineRule="auto"/>
        <w:jc w:val="both"/>
      </w:pPr>
      <w:r>
        <w:rPr>
          <w:rFonts w:ascii="Arial" w:hAnsi="Arial"/>
          <w:i/>
          <w:sz w:val="22"/>
        </w:rPr>
        <w:t xml:space="preserve">Introduces the saliency-map attack later adapted for constrained domains.</w:t>
      </w:r>
    </w:p>
    <w:p>
      <w:pPr>
        <w:spacing w:after="120" w:line="276" w:lineRule="auto"/>
        <w:jc w:val="both"/>
      </w:pPr>
      <w:r>
        <w:rPr>
          <w:rFonts w:ascii="Arial" w:hAnsi="Arial"/>
          <w:b/>
          <w:sz w:val="22"/>
        </w:rPr>
        <w:t xml:space="preserve">Sharafaldin, I., Lashkari, A.H. and Ghorbani, A.A. (2018)</w:t>
      </w:r>
      <w:r>
        <w:rPr>
          <w:rFonts w:ascii="Arial" w:hAnsi="Arial"/>
          <w:sz w:val="22"/>
        </w:rPr>
        <w:t xml:space="preserve"> 'Toward generating a new intrusion detection dataset and intrusion traffic characterization', in </w:t>
      </w:r>
      <w:r>
        <w:rPr>
          <w:rFonts w:ascii="Arial" w:hAnsi="Arial"/>
          <w:i/>
          <w:sz w:val="22"/>
        </w:rPr>
        <w:t xml:space="preserve">Proceedings of the 4th International Conference on Information Systems Security and Privacy (ICISSP)</w:t>
      </w:r>
      <w:r>
        <w:rPr>
          <w:rFonts w:ascii="Arial" w:hAnsi="Arial"/>
          <w:sz w:val="22"/>
        </w:rPr>
        <w:t xml:space="preserve">.</w:t>
      </w:r>
    </w:p>
    <w:p>
      <w:pPr>
        <w:spacing w:after="120" w:line="276" w:lineRule="auto"/>
        <w:jc w:val="both"/>
      </w:pPr>
      <w:r>
        <w:rPr>
          <w:rFonts w:ascii="Arial" w:hAnsi="Arial"/>
          <w:i/>
          <w:sz w:val="22"/>
        </w:rPr>
        <w:t xml:space="preserve">The original CICIDS2017 paper. Must be cited as the dataset source rather than the Kaggle redistribution.</w:t>
      </w:r>
      <w:r>
        <w:rPr>
          <w:rFonts w:ascii="Arial" w:hAnsi="Arial"/>
          <w:sz w:val="22"/>
        </w:rPr>
        <w:t xml:space="preserve"> </w:t>
      </w:r>
      <w:r>
        <w:rPr>
          <w:rFonts w:ascii="Arial" w:hAnsi="Arial"/>
          <w:b/>
          <w:sz w:val="22"/>
        </w:rPr>
        <w:t xml:space="preserve">[verify page range]</w:t>
      </w:r>
    </w:p>
    <w:p>
      <w:pPr>
        <w:spacing w:after="120" w:line="276" w:lineRule="auto"/>
        <w:jc w:val="both"/>
      </w:pPr>
      <w:r>
        <w:rPr>
          <w:rFonts w:ascii="Arial" w:hAnsi="Arial"/>
          <w:b/>
          <w:sz w:val="22"/>
        </w:rPr>
        <w:t xml:space="preserve">Sheatsley, R., Hoak, B., Pauley, E., Beugin, Y., Weisman, M.J. and McDaniel, P. (2021)</w:t>
      </w:r>
      <w:r>
        <w:rPr>
          <w:rFonts w:ascii="Arial" w:hAnsi="Arial"/>
          <w:sz w:val="22"/>
        </w:rPr>
        <w:t xml:space="preserve"> 'On the robustness of domain constraints', in </w:t>
      </w:r>
      <w:r>
        <w:rPr>
          <w:rFonts w:ascii="Arial" w:hAnsi="Arial"/>
          <w:i/>
          <w:sz w:val="22"/>
        </w:rPr>
        <w:t xml:space="preserve">Proceedings of the 2021 ACM SIGSAC Conference on Computer and Communications Security (CCS '21)</w:t>
      </w:r>
      <w:r>
        <w:rPr>
          <w:rFonts w:ascii="Arial" w:hAnsi="Arial"/>
          <w:sz w:val="22"/>
        </w:rPr>
        <w:t xml:space="preserve">. New York: ACM, pp. 495–515.</w:t>
      </w:r>
    </w:p>
    <w:p>
      <w:pPr>
        <w:spacing w:after="120" w:line="276" w:lineRule="auto"/>
        <w:jc w:val="both"/>
      </w:pPr>
      <w:r>
        <w:rPr>
          <w:rFonts w:ascii="Arial" w:hAnsi="Arial"/>
          <w:i/>
          <w:sz w:val="22"/>
        </w:rPr>
        <w:t xml:space="preserve">Whether domain constraints confer robustness. Central to the E5 versus E6 comparison.</w:t>
      </w:r>
    </w:p>
    <w:p>
      <w:pPr>
        <w:spacing w:after="120" w:line="276" w:lineRule="auto"/>
        <w:jc w:val="both"/>
      </w:pPr>
      <w:r>
        <w:rPr>
          <w:rFonts w:ascii="Arial" w:hAnsi="Arial"/>
          <w:b/>
          <w:sz w:val="22"/>
        </w:rPr>
        <w:t xml:space="preserve">Szegedy, C., Zaremba, W., Sutskever, I., Bruna, J., Erhan, D., Goodfellow, I. and Fergus, R. (2013)</w:t>
      </w:r>
      <w:r>
        <w:rPr>
          <w:rFonts w:ascii="Arial" w:hAnsi="Arial"/>
          <w:sz w:val="22"/>
        </w:rPr>
        <w:t xml:space="preserve"> 'Intriguing properties of neural networks', </w:t>
      </w:r>
      <w:r>
        <w:rPr>
          <w:rFonts w:ascii="Arial" w:hAnsi="Arial"/>
          <w:i/>
          <w:sz w:val="22"/>
        </w:rPr>
        <w:t xml:space="preserve">arXiv:1312.6199</w:t>
      </w:r>
      <w:r>
        <w:rPr>
          <w:rFonts w:ascii="Arial" w:hAnsi="Arial"/>
          <w:sz w:val="22"/>
        </w:rPr>
        <w:t xml:space="preserve">.</w:t>
      </w:r>
    </w:p>
    <w:p>
      <w:pPr>
        <w:spacing w:after="120" w:line="276" w:lineRule="auto"/>
        <w:jc w:val="both"/>
      </w:pPr>
      <w:r>
        <w:rPr>
          <w:rFonts w:ascii="Arial" w:hAnsi="Arial"/>
          <w:i/>
          <w:sz w:val="22"/>
        </w:rPr>
        <w:t xml:space="preserve">The paper that identified adversarial examples.</w:t>
      </w:r>
    </w:p>
    <w:p>
      <w:pPr>
        <w:spacing w:after="120" w:line="276" w:lineRule="auto"/>
        <w:jc w:val="both"/>
      </w:pPr>
      <w:r>
        <w:rPr>
          <w:rFonts w:ascii="Arial" w:hAnsi="Arial"/>
          <w:b/>
          <w:sz w:val="22"/>
        </w:rPr>
        <w:t xml:space="preserve">Teuffenbach, M., Piatkowska, E. and Smith, P. (2020)</w:t>
      </w:r>
      <w:r>
        <w:rPr>
          <w:rFonts w:ascii="Arial" w:hAnsi="Arial"/>
          <w:sz w:val="22"/>
        </w:rPr>
        <w:t xml:space="preserve"> 'Subverting network intrusion detection: crafting adversarial examples accounting for domain-specific constraints', in </w:t>
      </w:r>
      <w:r>
        <w:rPr>
          <w:rFonts w:ascii="Arial" w:hAnsi="Arial"/>
          <w:i/>
          <w:sz w:val="22"/>
        </w:rPr>
        <w:t xml:space="preserve">Machine Learning and Knowledge Extraction (CD-MAKE 2020)</w:t>
      </w:r>
      <w:r>
        <w:rPr>
          <w:rFonts w:ascii="Arial" w:hAnsi="Arial"/>
          <w:sz w:val="22"/>
        </w:rPr>
        <w:t xml:space="preserve">. Cham: Springer, pp. 301–320. doi:10.1007/978-3-030-57321-8_17.</w:t>
      </w:r>
    </w:p>
    <w:p>
      <w:pPr>
        <w:spacing w:after="120" w:line="276" w:lineRule="auto"/>
        <w:jc w:val="both"/>
      </w:pPr>
      <w:r>
        <w:rPr>
          <w:rFonts w:ascii="Arial" w:hAnsi="Arial"/>
          <w:i/>
          <w:sz w:val="22"/>
        </w:rPr>
        <w:t xml:space="preserve">Extends attack algorithms to respect feature-space constraints in the NIDS domain.</w:t>
      </w:r>
      <w:r>
        <w:rPr>
          <w:rFonts w:ascii="Arial" w:hAnsi="Arial"/>
          <w:sz w:val="22"/>
        </w:rPr>
        <w:t xml:space="preserve"> </w:t>
      </w:r>
      <w:r>
        <w:rPr>
          <w:rFonts w:ascii="Arial" w:hAnsi="Arial"/>
          <w:b/>
          <w:sz w:val="22"/>
        </w:rPr>
        <w:t xml:space="preserve">[verify authorship and pagination]</w:t>
      </w:r>
    </w:p>
    <w:p>
      <w:pPr>
        <w:spacing w:after="120" w:line="276" w:lineRule="auto"/>
        <w:jc w:val="both"/>
      </w:pPr>
      <w:r>
        <w:rPr>
          <w:rFonts w:ascii="Arial" w:hAnsi="Arial"/>
          <w:b/>
          <w:sz w:val="22"/>
        </w:rPr>
        <w:t xml:space="preserve">Apruzzese, G., Andreolini, M., Ferretti, L., Marchetti, M. and Colajanni, M. (2021)</w:t>
      </w:r>
      <w:r>
        <w:rPr>
          <w:rFonts w:ascii="Arial" w:hAnsi="Arial"/>
          <w:sz w:val="22"/>
        </w:rPr>
        <w:t xml:space="preserve"> 'Modeling realistic adversarial attacks against network intrusion detection systems', </w:t>
      </w:r>
      <w:r>
        <w:rPr>
          <w:rFonts w:ascii="Arial" w:hAnsi="Arial"/>
          <w:i/>
          <w:sz w:val="22"/>
        </w:rPr>
        <w:t xml:space="preserve">arXiv:2106.09380</w:t>
      </w:r>
      <w:r>
        <w:rPr>
          <w:rFonts w:ascii="Arial" w:hAnsi="Arial"/>
          <w:sz w:val="22"/>
        </w:rPr>
        <w:t xml:space="preserve">.</w:t>
      </w:r>
    </w:p>
    <w:p>
      <w:pPr>
        <w:spacing w:after="120" w:line="276" w:lineRule="auto"/>
        <w:jc w:val="both"/>
      </w:pPr>
      <w:r>
        <w:rPr>
          <w:rFonts w:ascii="Arial" w:hAnsi="Arial"/>
          <w:i/>
          <w:sz w:val="22"/>
        </w:rPr>
        <w:t xml:space="preserve">Defines the feature-space versus problem-space distinction, using flow duration extended by communication delays as its worked example — the E6 method, named in the literature.</w:t>
      </w:r>
      <w:r>
        <w:rPr>
          <w:rFonts w:ascii="Arial" w:hAnsi="Arial"/>
          <w:sz w:val="22"/>
        </w:rPr>
        <w:t xml:space="preserve"> </w:t>
      </w:r>
      <w:r>
        <w:rPr>
          <w:rFonts w:ascii="Arial" w:hAnsi="Arial"/>
          <w:b/>
          <w:sz w:val="22"/>
        </w:rPr>
        <w:t xml:space="preserve">[verify authorship and published venue]</w:t>
      </w:r>
    </w:p>
    <w:p>
      <w:pPr>
        <w:pStyle w:val="Heading3"/>
      </w:pPr>
      <w:r>
        <w:rPr>
          <w:rFonts w:ascii="Arial" w:hAnsi="Arial"/>
          <w:sz w:val="22"/>
        </w:rPr>
        <w:t xml:space="preserve">Additional sources to locate</w:t>
      </w:r>
    </w:p>
    <w:p>
      <w:pPr>
        <w:spacing w:after="120" w:line="276" w:lineRule="auto"/>
        <w:jc w:val="both"/>
      </w:pPr>
      <w:r>
        <w:rPr>
          <w:rFonts w:ascii="Arial" w:hAnsi="Arial"/>
          <w:sz w:val="22"/>
        </w:rPr>
        <w:t xml:space="preserve">The list above covers detection, data quality, imbalance, adversarial ML and evasion. Three areas still need sources, and searching for them is part of the reading:</w:t>
      </w:r>
    </w:p>
    <w:p>
      <w:pPr>
        <w:spacing w:after="120" w:line="276" w:lineRule="auto"/>
        <w:jc w:val="both"/>
      </w:pPr>
      <w:r>
        <w:rPr>
          <w:rFonts w:ascii="Arial" w:hAnsi="Arial"/>
          <w:b/>
          <w:sz w:val="22"/>
        </w:rPr>
        <w:t xml:space="preserve">Cloud and serverless security architecture.</w:t>
      </w:r>
      <w:r>
        <w:rPr>
          <w:rFonts w:ascii="Arial" w:hAnsi="Arial"/>
          <w:sz w:val="22"/>
        </w:rPr>
        <w:t xml:space="preserve"> Look for peer-reviewed work on least privilege and defence in depth in cloud contexts, and on how serverless shifts the attack surface from network and host toward identity and configuration. NIST Special Publication 800-207 on zero trust architecture is a suitable primary standard.</w:t>
      </w:r>
    </w:p>
    <w:p>
      <w:pPr>
        <w:spacing w:after="120" w:line="276" w:lineRule="auto"/>
        <w:jc w:val="both"/>
      </w:pPr>
      <w:r>
        <w:rPr>
          <w:rFonts w:ascii="Arial" w:hAnsi="Arial"/>
          <w:b/>
          <w:sz w:val="22"/>
        </w:rPr>
        <w:t xml:space="preserve">Threat modelling methodology.</w:t>
      </w:r>
      <w:r>
        <w:rPr>
          <w:rFonts w:ascii="Arial" w:hAnsi="Arial"/>
          <w:sz w:val="22"/>
        </w:rPr>
        <w:t xml:space="preserve"> STRIDE's origins and, more usefully, published critiques of its adequacy for machine learning systems. This supports the argument for extending it with ATLAS categories.</w:t>
      </w:r>
    </w:p>
    <w:p>
      <w:pPr>
        <w:spacing w:after="120" w:line="276" w:lineRule="auto"/>
        <w:jc w:val="both"/>
      </w:pPr>
      <w:r>
        <w:rPr>
          <w:rFonts w:ascii="Arial" w:hAnsi="Arial"/>
          <w:b/>
          <w:sz w:val="22"/>
        </w:rPr>
        <w:t xml:space="preserve">Cost-sensitive learning versus resampling.</w:t>
      </w:r>
      <w:r>
        <w:rPr>
          <w:rFonts w:ascii="Arial" w:hAnsi="Arial"/>
          <w:sz w:val="22"/>
        </w:rPr>
        <w:t xml:space="preserve"> Comparative studies testing both across multiple model families. If none exist, that absence is what makes the E3 finding a contribution — and stating it explicitly is stronger than implying it.</w:t>
      </w:r>
    </w:p>
    <w:sectPr w:rsidR="00D02BD5" w:rsidSect="006F7A04">
      <w:headerReference w:type="default" r:id="rId15"/>
      <w:footerReference w:type="default" r:id="rId16"/>
      <w:pgSz w:w="11906" w:h="16838"/>
      <w:pgMar w:top="2740" w:right="1440" w:bottom="1440" w:left="1440" w:header="907"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A4131" w:rsidRDefault="008A4131" w:rsidP="002D1619">
      <w:pPr>
        <w:spacing w:after="0" w:line="240" w:lineRule="auto"/>
      </w:pPr>
      <w:r>
        <w:separator/>
      </w:r>
    </w:p>
  </w:endnote>
  <w:endnote w:type="continuationSeparator" w:id="0">
    <w:p w:rsidR="008A4131" w:rsidRDefault="008A4131" w:rsidP="002D1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6934" w:rsidRPr="00F80BFC" w:rsidRDefault="00F86934" w:rsidP="00A7468E">
    <w:pPr>
      <w:autoSpaceDE w:val="0"/>
      <w:autoSpaceDN w:val="0"/>
      <w:adjustRightInd w:val="0"/>
      <w:spacing w:after="0" w:line="287" w:lineRule="auto"/>
      <w:rPr>
        <w:rFonts w:ascii="Arial" w:hAnsi="Arial" w:cs="Arial"/>
        <w:b/>
        <w:color w:val="424242"/>
        <w:sz w:val="18"/>
        <w:szCs w:val="18"/>
      </w:rPr>
    </w:pPr>
  </w:p>
  <w:p w:rsidR="002D1619" w:rsidRPr="00D35D6D" w:rsidRDefault="002D1619" w:rsidP="00F86934">
    <w:pPr>
      <w:autoSpaceDE w:val="0"/>
      <w:autoSpaceDN w:val="0"/>
      <w:adjustRightInd w:val="0"/>
      <w:spacing w:after="0" w:line="287" w:lineRule="auto"/>
      <w:jc w:val="center"/>
      <w:rPr>
        <w:rFonts w:ascii="Century Gothic" w:hAnsi="Century Gothic"/>
        <w:color w:val="424242"/>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A4131" w:rsidRDefault="008A4131" w:rsidP="002D1619">
      <w:pPr>
        <w:spacing w:after="0" w:line="240" w:lineRule="auto"/>
      </w:pPr>
      <w:r>
        <w:separator/>
      </w:r>
    </w:p>
  </w:footnote>
  <w:footnote w:type="continuationSeparator" w:id="0">
    <w:p w:rsidR="008A4131" w:rsidRDefault="008A4131" w:rsidP="002D16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1619" w:rsidRDefault="00874161" w:rsidP="00874161">
    <w:pPr>
      <w:pStyle w:val="Header"/>
      <w:jc w:val="right"/>
    </w:pPr>
    <w:r>
      <w:rPr>
        <w:noProof/>
        <w:lang w:eastAsia="en-GB"/>
      </w:rPr>
      <w:drawing>
        <wp:anchor distT="0" distB="0" distL="114300" distR="114300" simplePos="0" relativeHeight="251658240" behindDoc="1" locked="0" layoutInCell="1" allowOverlap="1">
          <wp:simplePos x="0" y="0"/>
          <wp:positionH relativeFrom="column">
            <wp:posOffset>5057776</wp:posOffset>
          </wp:positionH>
          <wp:positionV relativeFrom="paragraph">
            <wp:posOffset>5080</wp:posOffset>
          </wp:positionV>
          <wp:extent cx="990600" cy="1095831"/>
          <wp:effectExtent l="0" t="0" r="0" b="9525"/>
          <wp:wrapNone/>
          <wp:docPr id="2" name="Picture 2" descr="\\rdi-ts1-fs\office\Marketing\Marketing\ARDEN BRAND 2016\Logos\Main Logo\Full Colour Dark Blue Name\jpeg\Arden_FullColLogo_DKBlueName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di-ts1-fs\office\Marketing\Marketing\ARDEN BRAND 2016\Logos\Main Logo\Full Colour Dark Blue Name\jpeg\Arden_FullColLogo_DKBlueName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94971" cy="1100666"/>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D1619" w:rsidRDefault="002D1619">
    <w:pPr>
      <w:pStyle w:val="Header"/>
    </w:pP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4"/>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0216"/>
    <w:rsid w:val="001315DA"/>
    <w:rsid w:val="001C7B66"/>
    <w:rsid w:val="001F27D4"/>
    <w:rsid w:val="002D1619"/>
    <w:rsid w:val="00384E4C"/>
    <w:rsid w:val="0045697C"/>
    <w:rsid w:val="00485CD6"/>
    <w:rsid w:val="0053670D"/>
    <w:rsid w:val="00561A67"/>
    <w:rsid w:val="00670367"/>
    <w:rsid w:val="006F7A04"/>
    <w:rsid w:val="00760216"/>
    <w:rsid w:val="00771BC5"/>
    <w:rsid w:val="00792A43"/>
    <w:rsid w:val="00792EA5"/>
    <w:rsid w:val="00874161"/>
    <w:rsid w:val="008A4131"/>
    <w:rsid w:val="008C0330"/>
    <w:rsid w:val="008F3E9E"/>
    <w:rsid w:val="00A7468E"/>
    <w:rsid w:val="00A91CFF"/>
    <w:rsid w:val="00B05C40"/>
    <w:rsid w:val="00C150C0"/>
    <w:rsid w:val="00C66F50"/>
    <w:rsid w:val="00C87D60"/>
    <w:rsid w:val="00D02BD5"/>
    <w:rsid w:val="00D35D6D"/>
    <w:rsid w:val="00ED1E9F"/>
    <w:rsid w:val="00F74267"/>
    <w:rsid w:val="00F80BFC"/>
    <w:rsid w:val="00F86934"/>
    <w:rsid w:val="00FC721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BF2F66"/>
  <w15:docId w15:val="{23CA3B3E-7A4C-A24E-A8AC-131FE98AA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02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0216"/>
    <w:rPr>
      <w:rFonts w:ascii="Tahoma" w:hAnsi="Tahoma" w:cs="Tahoma"/>
      <w:sz w:val="16"/>
      <w:szCs w:val="16"/>
    </w:rPr>
  </w:style>
  <w:style w:type="paragraph" w:styleId="Header">
    <w:name w:val="header"/>
    <w:basedOn w:val="Normal"/>
    <w:link w:val="HeaderChar"/>
    <w:uiPriority w:val="99"/>
    <w:unhideWhenUsed/>
    <w:rsid w:val="002D16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1619"/>
  </w:style>
  <w:style w:type="paragraph" w:styleId="Footer">
    <w:name w:val="footer"/>
    <w:basedOn w:val="Normal"/>
    <w:link w:val="FooterChar"/>
    <w:uiPriority w:val="99"/>
    <w:unhideWhenUsed/>
    <w:rsid w:val="002D16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1619"/>
  </w:style>
  <w:style w:type="character" w:styleId="Hyperlink">
    <w:name w:val="Hyperlink"/>
    <w:basedOn w:val="DefaultParagraphFont"/>
    <w:uiPriority w:val="99"/>
    <w:unhideWhenUsed/>
    <w:rsid w:val="00F86934"/>
    <w:rPr>
      <w:color w:val="0000FF" w:themeColor="hyperlink"/>
      <w:u w:val="single"/>
    </w:rPr>
  </w:style>
  <w:style w:type="table" w:styleId="TableGrid">
    <w:name w:val="Table Grid"/>
    <w:basedOn w:val="TableNormal"/>
    <w:uiPriority w:val="59"/>
    <w:rsid w:val="008F3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7468E"/>
    <w:rPr>
      <w:color w:val="800080" w:themeColor="followedHyperlink"/>
      <w:u w:val="single"/>
    </w:rPr>
  </w:style>
  <w:style w:type="paragraph" w:styleId="Heading1">
    <w:name w:val="heading 1"/>
    <w:basedOn w:val="Normal"/>
    <w:next w:val="Normal"/>
    <w:qFormat/>
    <w:pPr>
      <w:keepNext/>
      <w:spacing w:before="360" w:after="160"/>
      <w:outlineLvl w:val="0"/>
    </w:pPr>
    <w:rPr>
      <w:rFonts w:ascii="Arial" w:hAnsi="Arial"/>
      <w:b/>
      <w:sz w:val="32"/>
      <w:szCs w:val="32"/>
    </w:rPr>
  </w:style>
  <w:style w:type="paragraph" w:styleId="Heading2">
    <w:name w:val="heading 2"/>
    <w:basedOn w:val="Normal"/>
    <w:next w:val="Normal"/>
    <w:qFormat/>
    <w:pPr>
      <w:keepNext/>
      <w:spacing w:before="300" w:after="140"/>
      <w:outlineLvl w:val="1"/>
    </w:pPr>
    <w:rPr>
      <w:rFonts w:ascii="Arial" w:hAnsi="Arial"/>
      <w:b/>
      <w:sz w:val="26"/>
      <w:szCs w:val="26"/>
    </w:rPr>
  </w:style>
  <w:style w:type="paragraph" w:styleId="Heading3">
    <w:name w:val="heading 3"/>
    <w:basedOn w:val="Normal"/>
    <w:next w:val="Normal"/>
    <w:qFormat/>
    <w:pPr>
      <w:keepNext/>
      <w:spacing w:before="240" w:after="120"/>
      <w:outlineLvl w:val="2"/>
    </w:pPr>
    <w:rPr>
      <w:rFonts w:ascii="Arial" w:hAnsi="Arial"/>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Num9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C12A43-1BEA-CF46-A860-4D72D90F2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6</Words>
  <Characters>40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jshort</dc:creator>
  <cp:lastModifiedBy>Christine Theodoridou</cp:lastModifiedBy>
  <cp:revision>11</cp:revision>
  <cp:lastPrinted>2015-08-05T15:29:00Z</cp:lastPrinted>
  <dcterms:created xsi:type="dcterms:W3CDTF">2016-05-18T07:34:00Z</dcterms:created>
  <dcterms:modified xsi:type="dcterms:W3CDTF">2018-04-10T09:24:00Z</dcterms:modified>
</cp:coreProperties>
</file>