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A5" w:rsidRDefault="00760216">
      <w:r>
        <w:rPr>
          <w:noProof/>
          <w:lang w:eastAsia="en-GB"/>
        </w:rPr>
        <w:softHyphen/>
      </w:r>
      <w:r>
        <w:rPr>
          <w:noProof/>
          <w:lang w:eastAsia="en-GB"/>
        </w:rPr>
        <w:softHyphen/>
      </w:r>
      <w:r>
        <w:rPr>
          <w:noProof/>
          <w:lang w:eastAsia="en-GB"/>
        </w:rPr>
        <w:softHyphen/>
      </w:r>
    </w:p>
    <w:p w:rsidR="00760216" w:rsidRDefault="00760216"/>
    <w:p w:rsidR="00D02BD5" w:rsidRDefault="00D02BD5"/>
    <w:tbl>
      <w:tblPr>
        <w:tblStyle w:val="TableGrid"/>
        <w:tblW w:w="0" w:type="auto"/>
        <w:tblLook w:val="04A0" w:firstRow="1" w:lastRow="0" w:firstColumn="1" w:lastColumn="0" w:noHBand="0" w:noVBand="1"/>
      </w:tblPr>
      <w:tblGrid>
        <w:gridCol w:w="9180"/>
      </w:tblGrid>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Arden University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MSc Cyber Security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bookmarkStart w:id="0" w:name="_GoBack"/>
            <w:bookmarkEnd w:id="0"/>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Advanced Computing Project (COM7014)</w:t>
            </w:r>
          </w:p>
        </w:tc>
      </w:tr>
      <w:tr w:rsidR="008F3E9E" w:rsidTr="00835536">
        <w:tc>
          <w:tcPr>
            <w:tcW w:w="9180" w:type="dxa"/>
          </w:tcPr>
          <w:p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Project Progress Report: Work Completed to Date</w:t>
            </w:r>
          </w:p>
        </w:tc>
      </w:tr>
      <w:tr w:rsidR="008F3E9E" w:rsidTr="00835536">
        <w:tc>
          <w:tcPr>
            <w:tcW w:w="9180" w:type="dxa"/>
          </w:tcPr>
          <w:p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Student Number]</w:t>
            </w:r>
          </w:p>
        </w:tc>
      </w:tr>
      <w:tr w:rsidR="008F3E9E" w:rsidTr="00835536">
        <w:tc>
          <w:tcPr>
            <w:tcW w:w="9180" w:type="dxa"/>
          </w:tcPr>
          <w:p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Supervisor Name]</w:t>
            </w:r>
          </w:p>
        </w:tc>
      </w:tr>
      <w:tr w:rsidR="008F3E9E" w:rsidTr="00835536">
        <w:tc>
          <w:tcPr>
            <w:tcW w:w="9180" w:type="dxa"/>
          </w:tcPr>
          <w:p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Default="00A91CFF" w:rsidP="00835536">
            <w:pPr>
              <w:rPr>
                <w:sz w:val="32"/>
                <w:szCs w:val="32"/>
              </w:rPr>
            </w:pPr>
          </w:p>
          <w:p w:rsidR="008F3E9E" w:rsidRPr="006759EF" w:rsidRDefault="008F3E9E" w:rsidP="00835536">
            <w:pPr>
              <w:rPr>
                <w:sz w:val="18"/>
                <w:szCs w:val="18"/>
              </w:rPr>
            </w:pPr>
          </w:p>
          <w:p w:rsidR="008F3E9E" w:rsidRPr="006759EF" w:rsidRDefault="00A91CFF" w:rsidP="00835536">
            <w:pPr>
              <w:rPr>
                <w:sz w:val="32"/>
                <w:szCs w:val="32"/>
              </w:rPr>
            </w:pPr>
            <w:r>
              <w:rPr>
                <w:noProof/>
                <w:sz w:val="32"/>
                <w:szCs w:val="32"/>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4">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p>
            <w:pPr>
              <w:spacing w:before="60"/>
              <w:ind w:left="2600"/>
              <w:rPr>
                <w:rFonts w:ascii="Arial" w:hAnsi="Arial"/>
                <w:sz w:val="24"/>
              </w:rPr>
            </w:pPr>
            <w:r>
              <w:rPr>
                <w:rFonts w:ascii="Arial" w:hAnsi="Arial"/>
                <w:sz w:val="24"/>
              </w:rPr>
              <w:t xml:space="preserve">2,711 (this document)</w:t>
            </w:r>
          </w:p>
        </w:tc>
      </w:tr>
    </w:tbl>
    <w:p>
      <w:r>
        <w:br w:type="page"/>
      </w:r>
    </w:p>
    <w:p>
      <w:pPr>
        <w:spacing w:before="240" w:after="80"/>
        <w:jc w:val="center"/>
      </w:pPr>
      <w:r>
        <w:rPr>
          <w:rFonts w:ascii="Arial" w:hAnsi="Arial"/>
          <w:b/>
          <w:sz w:val="36"/>
        </w:rPr>
        <w:t>COM7014 Project Progress Report</w:t>
      </w:r>
    </w:p>
    <w:p>
      <w:pPr>
        <w:spacing w:after="320"/>
        <w:jc w:val="center"/>
      </w:pPr>
      <w:r>
        <w:rPr>
          <w:rFonts w:ascii="Arial" w:hAnsi="Arial"/>
          <w:sz w:val="24"/>
          <w:color w:val="595959"/>
        </w:rPr>
        <w:t>Consolidated record of work completed</w:t>
      </w:r>
    </w:p>
    <w:p>
      <w:pPr>
        <w:pStyle w:val="Heading2"/>
      </w:pPr>
      <w:r>
        <w:rPr>
          <w:rFonts w:ascii="Arial" w:hAnsi="Arial"/>
          <w:sz w:val="22"/>
        </w:rPr>
        <w:t xml:space="preserve">1. Summary</w:t>
      </w:r>
    </w:p>
    <w:p>
      <w:pPr>
        <w:spacing w:after="120" w:line="276" w:lineRule="auto"/>
        <w:jc w:val="both"/>
      </w:pPr>
      <w:r>
        <w:rPr>
          <w:rFonts w:ascii="Arial" w:hAnsi="Arial"/>
          <w:sz w:val="22"/>
        </w:rPr>
        <w:t xml:space="preserve">This report records all work completed on the COM7014 Advanced Computing Project to date. The project builds and secures a cloud-deployed machine learning system for network intrusion detection, and threat-models the detection system itself.</w:t>
      </w:r>
    </w:p>
    <w:p>
      <w:pPr>
        <w:spacing w:after="120" w:line="276" w:lineRule="auto"/>
        <w:jc w:val="both"/>
      </w:pPr>
      <w:r>
        <w:rPr>
          <w:rFonts w:ascii="Arial" w:hAnsi="Arial"/>
          <w:sz w:val="22"/>
        </w:rPr>
        <w:t xml:space="preserve">Work completed falls into three phases: model development and experimentation, cloud deployment on AWS, and an analyst interface. Four controlled experiments were run to select the model and its operating parameters. The selected model was converted to a portable format, verified, and deployed to a network-isolated serverless environment with least-privilege access controls. A local console provides detection review and operational telemetry.</w:t>
      </w:r>
    </w:p>
    <w:p>
      <w:pPr>
        <w:spacing w:after="120" w:line="276" w:lineRule="auto"/>
        <w:jc w:val="both"/>
      </w:pPr>
      <w:r>
        <w:rPr>
          <w:rFonts w:ascii="Arial" w:hAnsi="Arial"/>
          <w:sz w:val="22"/>
        </w:rPr>
        <w:t xml:space="preserve">Headline results: macro F1 of 0.972 on held-out test data; deployed inference verified at 199/200 on real attack traffic; full network isolation achieved at no monetary cost and no measurable latency penalty.</w:t>
      </w:r>
    </w:p>
    <w:p>
      <w:pPr>
        <w:spacing w:after="120" w:line="276" w:lineRule="auto"/>
        <w:jc w:val="both"/>
      </w:pPr>
      <w:r>
        <w:rPr>
          <w:rFonts w:ascii="Arial" w:hAnsi="Arial"/>
          <w:sz w:val="22"/>
        </w:rPr>
        <w:t xml:space="preserve">Outstanding: the STRIDE threat model, the literature review, and a formal requirements analysis.</w:t>
      </w:r>
    </w:p>
    <w:p>
      <w:pPr>
        <w:pStyle w:val="Heading2"/>
      </w:pPr>
      <w:r>
        <w:rPr>
          <w:rFonts w:ascii="Arial" w:hAnsi="Arial"/>
          <w:sz w:val="22"/>
        </w:rPr>
        <w:t xml:space="preserve">2. Development environment</w:t>
      </w:r>
    </w:p>
    <w:tbl>
      <w:tblPr>
        <w:tblStyle w:val="TableGrid"/>
        <w:tblW w:w="9180" w:type="dxa"/>
        <w:tblLook w:val="04A0" w:firstRow="1" w:lastRow="0" w:firstColumn="1" w:lastColumn="0" w:noHBand="0" w:noVBand="1"/>
      </w:tblPr>
      <w:tblGrid>
        <w:gridCol w:w="4590"/>
        <w:gridCol w:w="4590"/>
      </w:tblGrid>
      <w:tr>
        <w:trPr>
          <w:tblHeader/>
        </w:trPr>
        <w:tc>
          <w:tcPr>
            <w:tcW w:w="4590" w:type="dxa"/>
            <w:shd w:val="clear" w:color="auto" w:fill="EFEFEF"/>
          </w:tcPr>
          <w:p>
            <w:pPr>
              <w:spacing w:after="40"/>
            </w:pPr>
            <w:r>
              <w:rPr>
                <w:rFonts w:ascii="Arial" w:hAnsi="Arial"/>
                <w:b/>
                <w:sz w:val="22"/>
              </w:rPr>
              <w:t xml:space="preserve">Component</w:t>
            </w:r>
          </w:p>
        </w:tc>
        <w:tc>
          <w:tcPr>
            <w:tcW w:w="4590" w:type="dxa"/>
            <w:shd w:val="clear" w:color="auto" w:fill="EFEFEF"/>
          </w:tcPr>
          <w:p>
            <w:pPr>
              <w:spacing w:after="40"/>
            </w:pPr>
            <w:r>
              <w:rPr>
                <w:rFonts w:ascii="Arial" w:hAnsi="Arial"/>
                <w:b/>
                <w:sz w:val="22"/>
              </w:rPr>
              <w:t xml:space="preserve">Detail</w:t>
            </w:r>
          </w:p>
        </w:tc>
      </w:tr>
      <w:tr>
        <w:tc>
          <w:tcPr>
            <w:tcW w:w="4590" w:type="dxa"/>
          </w:tcPr>
          <w:p>
            <w:pPr>
              <w:spacing w:after="40"/>
            </w:pPr>
            <w:r>
              <w:rPr>
                <w:rFonts w:ascii="Arial" w:hAnsi="Arial"/>
                <w:sz w:val="22"/>
              </w:rPr>
              <w:t xml:space="preserve">Machine</w:t>
            </w:r>
          </w:p>
        </w:tc>
        <w:tc>
          <w:tcPr>
            <w:tcW w:w="4590" w:type="dxa"/>
          </w:tcPr>
          <w:p>
            <w:pPr>
              <w:spacing w:after="40"/>
            </w:pPr>
            <w:r>
              <w:rPr>
                <w:rFonts w:ascii="Arial" w:hAnsi="Arial"/>
                <w:sz w:val="22"/>
              </w:rPr>
              <w:t xml:space="preserve">Apple M1 MacBook Air</w:t>
            </w:r>
          </w:p>
        </w:tc>
      </w:tr>
      <w:tr>
        <w:tc>
          <w:tcPr>
            <w:tcW w:w="4590" w:type="dxa"/>
          </w:tcPr>
          <w:p>
            <w:pPr>
              <w:spacing w:after="40"/>
            </w:pPr>
            <w:r>
              <w:rPr>
                <w:rFonts w:ascii="Arial" w:hAnsi="Arial"/>
                <w:sz w:val="22"/>
              </w:rPr>
              <w:t xml:space="preserve">Shell architecture</w:t>
            </w:r>
          </w:p>
        </w:tc>
        <w:tc>
          <w:tcPr>
            <w:tcW w:w="4590" w:type="dxa"/>
          </w:tcPr>
          <w:p>
            <w:pPr>
              <w:spacing w:after="40"/>
            </w:pPr>
            <w:r>
              <w:rPr>
                <w:rFonts w:ascii="Arial" w:hAnsi="Arial"/>
                <w:sz w:val="22"/>
              </w:rPr>
              <w:t xml:space="preserve">x86_64 under Rosetta 2 (arch reports i386)</w:t>
            </w:r>
          </w:p>
        </w:tc>
      </w:tr>
      <w:tr>
        <w:tc>
          <w:tcPr>
            <w:tcW w:w="4590" w:type="dxa"/>
          </w:tcPr>
          <w:p>
            <w:pPr>
              <w:spacing w:after="40"/>
            </w:pPr>
            <w:r>
              <w:rPr>
                <w:rFonts w:ascii="Arial" w:hAnsi="Arial"/>
                <w:sz w:val="22"/>
              </w:rPr>
              <w:t xml:space="preserve">Python</w:t>
            </w:r>
          </w:p>
        </w:tc>
        <w:tc>
          <w:tcPr>
            <w:tcW w:w="4590" w:type="dxa"/>
          </w:tcPr>
          <w:p>
            <w:pPr>
              <w:spacing w:after="40"/>
            </w:pPr>
            <w:r>
              <w:rPr>
                <w:rFonts w:ascii="Arial" w:hAnsi="Arial"/>
                <w:sz w:val="22"/>
              </w:rPr>
              <w:t xml:space="preserve">3.13 in a project virtual environment</w:t>
            </w:r>
          </w:p>
        </w:tc>
      </w:tr>
      <w:tr>
        <w:tc>
          <w:tcPr>
            <w:tcW w:w="4590" w:type="dxa"/>
          </w:tcPr>
          <w:p>
            <w:pPr>
              <w:spacing w:after="40"/>
            </w:pPr>
            <w:r>
              <w:rPr>
                <w:rFonts w:ascii="Arial" w:hAnsi="Arial"/>
                <w:sz w:val="22"/>
              </w:rPr>
              <w:t xml:space="preserve">Key libraries</w:t>
            </w:r>
          </w:p>
        </w:tc>
        <w:tc>
          <w:tcPr>
            <w:tcW w:w="4590" w:type="dxa"/>
          </w:tcPr>
          <w:p>
            <w:pPr>
              <w:spacing w:after="40"/>
            </w:pPr>
            <w:r>
              <w:rPr>
                <w:rFonts w:ascii="Arial" w:hAnsi="Arial"/>
                <w:sz w:val="22"/>
              </w:rPr>
              <w:t xml:space="preserve">pandas 3.0.5, numpy 2.5.1, scikit-learn 1.9.0, xgboost 3.4.0</w:t>
            </w:r>
          </w:p>
        </w:tc>
      </w:tr>
      <w:tr>
        <w:tc>
          <w:tcPr>
            <w:tcW w:w="4590" w:type="dxa"/>
          </w:tcPr>
          <w:p>
            <w:pPr>
              <w:spacing w:after="40"/>
            </w:pPr>
            <w:r>
              <w:rPr>
                <w:rFonts w:ascii="Arial" w:hAnsi="Arial"/>
                <w:sz w:val="22"/>
              </w:rPr>
              <w:t xml:space="preserve">Containerisation</w:t>
            </w:r>
          </w:p>
        </w:tc>
        <w:tc>
          <w:tcPr>
            <w:tcW w:w="4590" w:type="dxa"/>
          </w:tcPr>
          <w:p>
            <w:pPr>
              <w:spacing w:after="40"/>
            </w:pPr>
            <w:r>
              <w:rPr>
                <w:rFonts w:ascii="Arial" w:hAnsi="Arial"/>
                <w:sz w:val="22"/>
              </w:rPr>
              <w:t xml:space="preserve">Docker Desktop, native arm64</w:t>
            </w:r>
          </w:p>
        </w:tc>
      </w:tr>
      <w:tr>
        <w:tc>
          <w:tcPr>
            <w:tcW w:w="4590" w:type="dxa"/>
          </w:tcPr>
          <w:p>
            <w:pPr>
              <w:spacing w:after="40"/>
            </w:pPr>
            <w:r>
              <w:rPr>
                <w:rFonts w:ascii="Arial" w:hAnsi="Arial"/>
                <w:sz w:val="22"/>
              </w:rPr>
              <w:t xml:space="preserve">Cloud</w:t>
            </w:r>
          </w:p>
        </w:tc>
        <w:tc>
          <w:tcPr>
            <w:tcW w:w="4590" w:type="dxa"/>
          </w:tcPr>
          <w:p>
            <w:pPr>
              <w:spacing w:after="40"/>
            </w:pPr>
            <w:r>
              <w:rPr>
                <w:rFonts w:ascii="Arial" w:hAnsi="Arial"/>
                <w:sz w:val="22"/>
              </w:rPr>
              <w:t xml:space="preserve">AWS, eu-central-1 (Frankfurt), post-July-2025 Free Plan</w:t>
            </w:r>
          </w:p>
        </w:tc>
      </w:tr>
      <w:tr>
        <w:tc>
          <w:tcPr>
            <w:tcW w:w="4590" w:type="dxa"/>
          </w:tcPr>
          <w:p>
            <w:pPr>
              <w:spacing w:after="40"/>
            </w:pPr>
            <w:r>
              <w:rPr>
                <w:rFonts w:ascii="Arial" w:hAnsi="Arial"/>
                <w:sz w:val="22"/>
              </w:rPr>
              <w:t xml:space="preserve">Version control</w:t>
            </w:r>
          </w:p>
        </w:tc>
        <w:tc>
          <w:tcPr>
            <w:tcW w:w="4590" w:type="dxa"/>
          </w:tcPr>
          <w:p>
            <w:pPr>
              <w:spacing w:after="40"/>
            </w:pPr>
            <w:r>
              <w:rPr>
                <w:rFonts w:ascii="Arial" w:hAnsi="Arial"/>
                <w:sz w:val="22"/>
              </w:rPr>
              <w:t xml:space="preserve">Git and GitHub, private repository, tagged milestones</w:t>
            </w:r>
          </w:p>
        </w:tc>
      </w:tr>
    </w:tbl>
    <w:p>
      <w:pPr>
        <w:spacing w:after="120"/>
      </w:pPr>
    </w:p>
    <w:p>
      <w:pPr>
        <w:spacing w:after="120" w:line="276" w:lineRule="auto"/>
        <w:jc w:val="both"/>
      </w:pPr>
      <w:r>
        <w:rPr>
          <w:rFonts w:ascii="Arial" w:hAnsi="Arial"/>
          <w:sz w:val="22"/>
        </w:rPr>
        <w:t xml:space="preserve">The shell running under Rosetta while the chip is Apple Silicon is a known source of build-target confusion. It required an OpenMP runtime to be installed and force-linked before XGBoost would load, and it is the reason Docker was used to build Linux arm64 dependencies rather than relying on local pip installation.</w:t>
      </w:r>
    </w:p>
    <w:p>
      <w:pPr>
        <w:pStyle w:val="Heading2"/>
      </w:pPr>
      <w:r>
        <w:rPr>
          <w:rFonts w:ascii="Arial" w:hAnsi="Arial"/>
          <w:sz w:val="22"/>
        </w:rPr>
        <w:t xml:space="preserve">3. Data</w:t>
      </w:r>
    </w:p>
    <w:p>
      <w:pPr>
        <w:spacing w:after="120" w:line="276" w:lineRule="auto"/>
        <w:jc w:val="both"/>
      </w:pPr>
      <w:r>
        <w:rPr>
          <w:rFonts w:ascii="Arial" w:hAnsi="Arial"/>
          <w:sz w:val="22"/>
        </w:rPr>
        <w:t xml:space="preserve">Dataset: CICIDS2017, cleaned and preprocessed distribution, obtained via Kaggle. The original dataset is credited to the Canadian Institute for Cybersecurity, University of New Brunswick.</w:t>
      </w:r>
    </w:p>
    <w:p>
      <w:pPr>
        <w:spacing w:after="120" w:line="276" w:lineRule="auto"/>
        <w:jc w:val="both"/>
      </w:pPr>
      <w:r>
        <w:rPr>
          <w:rFonts w:ascii="Arial" w:hAnsi="Arial"/>
          <w:sz w:val="22"/>
        </w:rPr>
        <w:t xml:space="preserve">Loaded shape: 2,520,751 rows across 53 columns (52 numeric features plus the label column, named Attack Type in this distribution).</w:t>
      </w:r>
    </w:p>
    <w:p>
      <w:pPr>
        <w:pStyle w:val="Heading3"/>
      </w:pPr>
      <w:r>
        <w:rPr>
          <w:rFonts w:ascii="Arial" w:hAnsi="Arial"/>
          <w:sz w:val="22"/>
        </w:rPr>
        <w:t xml:space="preserve">3.1 Class distribution</w:t>
      </w:r>
    </w:p>
    <w:tbl>
      <w:tblPr>
        <w:tblStyle w:val="TableGrid"/>
        <w:tblW w:w="9180" w:type="dxa"/>
        <w:tblLook w:val="04A0" w:firstRow="1" w:lastRow="0" w:firstColumn="1" w:lastColumn="0" w:noHBand="0" w:noVBand="1"/>
      </w:tblPr>
      <w:tblGrid>
        <w:gridCol w:w="3060"/>
        <w:gridCol w:w="3060"/>
        <w:gridCol w:w="3060"/>
      </w:tblGrid>
      <w:tr>
        <w:trPr>
          <w:tblHeader/>
        </w:trPr>
        <w:tc>
          <w:tcPr>
            <w:tcW w:w="3060" w:type="dxa"/>
            <w:shd w:val="clear" w:color="auto" w:fill="EFEFEF"/>
          </w:tcPr>
          <w:p>
            <w:pPr>
              <w:spacing w:after="40"/>
            </w:pPr>
            <w:r>
              <w:rPr>
                <w:rFonts w:ascii="Arial" w:hAnsi="Arial"/>
                <w:b/>
                <w:sz w:val="22"/>
              </w:rPr>
              <w:t xml:space="preserve">Class</w:t>
            </w:r>
          </w:p>
        </w:tc>
        <w:tc>
          <w:tcPr>
            <w:tcW w:w="3060" w:type="dxa"/>
            <w:shd w:val="clear" w:color="auto" w:fill="EFEFEF"/>
          </w:tcPr>
          <w:p>
            <w:pPr>
              <w:spacing w:after="40"/>
            </w:pPr>
            <w:r>
              <w:rPr>
                <w:rFonts w:ascii="Arial" w:hAnsi="Arial"/>
                <w:b/>
                <w:sz w:val="22"/>
              </w:rPr>
              <w:t xml:space="preserve">Records</w:t>
            </w:r>
          </w:p>
        </w:tc>
        <w:tc>
          <w:tcPr>
            <w:tcW w:w="3060" w:type="dxa"/>
            <w:shd w:val="clear" w:color="auto" w:fill="EFEFEF"/>
          </w:tcPr>
          <w:p>
            <w:pPr>
              <w:spacing w:after="40"/>
            </w:pPr>
            <w:r>
              <w:rPr>
                <w:rFonts w:ascii="Arial" w:hAnsi="Arial"/>
                <w:b/>
                <w:sz w:val="22"/>
              </w:rPr>
              <w:t xml:space="preserve">Share</w:t>
            </w:r>
          </w:p>
        </w:tc>
      </w:tr>
      <w:tr>
        <w:tc>
          <w:tcPr>
            <w:tcW w:w="3060" w:type="dxa"/>
          </w:tcPr>
          <w:p>
            <w:pPr>
              <w:spacing w:after="40"/>
            </w:pPr>
            <w:r>
              <w:rPr>
                <w:rFonts w:ascii="Arial" w:hAnsi="Arial"/>
                <w:sz w:val="22"/>
              </w:rPr>
              <w:t xml:space="preserve">Normal Traffic</w:t>
            </w:r>
          </w:p>
        </w:tc>
        <w:tc>
          <w:tcPr>
            <w:tcW w:w="3060" w:type="dxa"/>
          </w:tcPr>
          <w:p>
            <w:pPr>
              <w:spacing w:after="40"/>
            </w:pPr>
            <w:r>
              <w:rPr>
                <w:rFonts w:ascii="Arial" w:hAnsi="Arial"/>
                <w:sz w:val="22"/>
              </w:rPr>
              <w:t xml:space="preserve">2,095,057</w:t>
            </w:r>
          </w:p>
        </w:tc>
        <w:tc>
          <w:tcPr>
            <w:tcW w:w="3060" w:type="dxa"/>
          </w:tcPr>
          <w:p>
            <w:pPr>
              <w:spacing w:after="40"/>
            </w:pPr>
            <w:r>
              <w:rPr>
                <w:rFonts w:ascii="Arial" w:hAnsi="Arial"/>
                <w:sz w:val="22"/>
              </w:rPr>
              <w:t xml:space="preserve">83.1%</w:t>
            </w:r>
          </w:p>
        </w:tc>
      </w:tr>
      <w:tr>
        <w:tc>
          <w:tcPr>
            <w:tcW w:w="3060" w:type="dxa"/>
          </w:tcPr>
          <w:p>
            <w:pPr>
              <w:spacing w:after="40"/>
            </w:pPr>
            <w:r>
              <w:rPr>
                <w:rFonts w:ascii="Arial" w:hAnsi="Arial"/>
                <w:sz w:val="22"/>
              </w:rPr>
              <w:t xml:space="preserve">DoS</w:t>
            </w:r>
          </w:p>
        </w:tc>
        <w:tc>
          <w:tcPr>
            <w:tcW w:w="3060" w:type="dxa"/>
          </w:tcPr>
          <w:p>
            <w:pPr>
              <w:spacing w:after="40"/>
            </w:pPr>
            <w:r>
              <w:rPr>
                <w:rFonts w:ascii="Arial" w:hAnsi="Arial"/>
                <w:sz w:val="22"/>
              </w:rPr>
              <w:t xml:space="preserve">193,745</w:t>
            </w:r>
          </w:p>
        </w:tc>
        <w:tc>
          <w:tcPr>
            <w:tcW w:w="3060" w:type="dxa"/>
          </w:tcPr>
          <w:p>
            <w:pPr>
              <w:spacing w:after="40"/>
            </w:pPr>
            <w:r>
              <w:rPr>
                <w:rFonts w:ascii="Arial" w:hAnsi="Arial"/>
                <w:sz w:val="22"/>
              </w:rPr>
              <w:t xml:space="preserve">7.7%</w:t>
            </w:r>
          </w:p>
        </w:tc>
      </w:tr>
      <w:tr>
        <w:tc>
          <w:tcPr>
            <w:tcW w:w="3060" w:type="dxa"/>
          </w:tcPr>
          <w:p>
            <w:pPr>
              <w:spacing w:after="40"/>
            </w:pPr>
            <w:r>
              <w:rPr>
                <w:rFonts w:ascii="Arial" w:hAnsi="Arial"/>
                <w:sz w:val="22"/>
              </w:rPr>
              <w:t xml:space="preserve">DDoS</w:t>
            </w:r>
          </w:p>
        </w:tc>
        <w:tc>
          <w:tcPr>
            <w:tcW w:w="3060" w:type="dxa"/>
          </w:tcPr>
          <w:p>
            <w:pPr>
              <w:spacing w:after="40"/>
            </w:pPr>
            <w:r>
              <w:rPr>
                <w:rFonts w:ascii="Arial" w:hAnsi="Arial"/>
                <w:sz w:val="22"/>
              </w:rPr>
              <w:t xml:space="preserve">128,014</w:t>
            </w:r>
          </w:p>
        </w:tc>
        <w:tc>
          <w:tcPr>
            <w:tcW w:w="3060" w:type="dxa"/>
          </w:tcPr>
          <w:p>
            <w:pPr>
              <w:spacing w:after="40"/>
            </w:pPr>
            <w:r>
              <w:rPr>
                <w:rFonts w:ascii="Arial" w:hAnsi="Arial"/>
                <w:sz w:val="22"/>
              </w:rPr>
              <w:t xml:space="preserve">5.1%</w:t>
            </w:r>
          </w:p>
        </w:tc>
      </w:tr>
      <w:tr>
        <w:tc>
          <w:tcPr>
            <w:tcW w:w="3060" w:type="dxa"/>
          </w:tcPr>
          <w:p>
            <w:pPr>
              <w:spacing w:after="40"/>
            </w:pPr>
            <w:r>
              <w:rPr>
                <w:rFonts w:ascii="Arial" w:hAnsi="Arial"/>
                <w:sz w:val="22"/>
              </w:rPr>
              <w:t xml:space="preserve">Port Scanning</w:t>
            </w:r>
          </w:p>
        </w:tc>
        <w:tc>
          <w:tcPr>
            <w:tcW w:w="3060" w:type="dxa"/>
          </w:tcPr>
          <w:p>
            <w:pPr>
              <w:spacing w:after="40"/>
            </w:pPr>
            <w:r>
              <w:rPr>
                <w:rFonts w:ascii="Arial" w:hAnsi="Arial"/>
                <w:sz w:val="22"/>
              </w:rPr>
              <w:t xml:space="preserve">90,694</w:t>
            </w:r>
          </w:p>
        </w:tc>
        <w:tc>
          <w:tcPr>
            <w:tcW w:w="3060" w:type="dxa"/>
          </w:tcPr>
          <w:p>
            <w:pPr>
              <w:spacing w:after="40"/>
            </w:pPr>
            <w:r>
              <w:rPr>
                <w:rFonts w:ascii="Arial" w:hAnsi="Arial"/>
                <w:sz w:val="22"/>
              </w:rPr>
              <w:t xml:space="preserve">3.6%</w:t>
            </w:r>
          </w:p>
        </w:tc>
      </w:tr>
      <w:tr>
        <w:tc>
          <w:tcPr>
            <w:tcW w:w="3060" w:type="dxa"/>
          </w:tcPr>
          <w:p>
            <w:pPr>
              <w:spacing w:after="40"/>
            </w:pPr>
            <w:r>
              <w:rPr>
                <w:rFonts w:ascii="Arial" w:hAnsi="Arial"/>
                <w:sz w:val="22"/>
              </w:rPr>
              <w:t xml:space="preserve">Brute Force</w:t>
            </w:r>
          </w:p>
        </w:tc>
        <w:tc>
          <w:tcPr>
            <w:tcW w:w="3060" w:type="dxa"/>
          </w:tcPr>
          <w:p>
            <w:pPr>
              <w:spacing w:after="40"/>
            </w:pPr>
            <w:r>
              <w:rPr>
                <w:rFonts w:ascii="Arial" w:hAnsi="Arial"/>
                <w:sz w:val="22"/>
              </w:rPr>
              <w:t xml:space="preserve">9,150</w:t>
            </w:r>
          </w:p>
        </w:tc>
        <w:tc>
          <w:tcPr>
            <w:tcW w:w="3060" w:type="dxa"/>
          </w:tcPr>
          <w:p>
            <w:pPr>
              <w:spacing w:after="40"/>
            </w:pPr>
            <w:r>
              <w:rPr>
                <w:rFonts w:ascii="Arial" w:hAnsi="Arial"/>
                <w:sz w:val="22"/>
              </w:rPr>
              <w:t xml:space="preserve">0.4%</w:t>
            </w:r>
          </w:p>
        </w:tc>
      </w:tr>
      <w:tr>
        <w:tc>
          <w:tcPr>
            <w:tcW w:w="3060" w:type="dxa"/>
          </w:tcPr>
          <w:p>
            <w:pPr>
              <w:spacing w:after="40"/>
            </w:pPr>
            <w:r>
              <w:rPr>
                <w:rFonts w:ascii="Arial" w:hAnsi="Arial"/>
                <w:sz w:val="22"/>
              </w:rPr>
              <w:t xml:space="preserve">Web Attacks</w:t>
            </w:r>
          </w:p>
        </w:tc>
        <w:tc>
          <w:tcPr>
            <w:tcW w:w="3060" w:type="dxa"/>
          </w:tcPr>
          <w:p>
            <w:pPr>
              <w:spacing w:after="40"/>
            </w:pPr>
            <w:r>
              <w:rPr>
                <w:rFonts w:ascii="Arial" w:hAnsi="Arial"/>
                <w:sz w:val="22"/>
              </w:rPr>
              <w:t xml:space="preserve">2,143</w:t>
            </w:r>
          </w:p>
        </w:tc>
        <w:tc>
          <w:tcPr>
            <w:tcW w:w="3060" w:type="dxa"/>
          </w:tcPr>
          <w:p>
            <w:pPr>
              <w:spacing w:after="40"/>
            </w:pPr>
            <w:r>
              <w:rPr>
                <w:rFonts w:ascii="Arial" w:hAnsi="Arial"/>
                <w:sz w:val="22"/>
              </w:rPr>
              <w:t xml:space="preserve">0.1%</w:t>
            </w:r>
          </w:p>
        </w:tc>
      </w:tr>
      <w:tr>
        <w:tc>
          <w:tcPr>
            <w:tcW w:w="3060" w:type="dxa"/>
          </w:tcPr>
          <w:p>
            <w:pPr>
              <w:spacing w:after="40"/>
            </w:pPr>
            <w:r>
              <w:rPr>
                <w:rFonts w:ascii="Arial" w:hAnsi="Arial"/>
                <w:sz w:val="22"/>
              </w:rPr>
              <w:t xml:space="preserve">Bots</w:t>
            </w:r>
          </w:p>
        </w:tc>
        <w:tc>
          <w:tcPr>
            <w:tcW w:w="3060" w:type="dxa"/>
          </w:tcPr>
          <w:p>
            <w:pPr>
              <w:spacing w:after="40"/>
            </w:pPr>
            <w:r>
              <w:rPr>
                <w:rFonts w:ascii="Arial" w:hAnsi="Arial"/>
                <w:sz w:val="22"/>
              </w:rPr>
              <w:t xml:space="preserve">1,948</w:t>
            </w:r>
          </w:p>
        </w:tc>
        <w:tc>
          <w:tcPr>
            <w:tcW w:w="3060" w:type="dxa"/>
          </w:tcPr>
          <w:p>
            <w:pPr>
              <w:spacing w:after="40"/>
            </w:pPr>
            <w:r>
              <w:rPr>
                <w:rFonts w:ascii="Arial" w:hAnsi="Arial"/>
                <w:sz w:val="22"/>
              </w:rPr>
              <w:t xml:space="preserve">0.1%</w:t>
            </w:r>
          </w:p>
        </w:tc>
      </w:tr>
    </w:tbl>
    <w:p>
      <w:pPr>
        <w:spacing w:after="120"/>
      </w:pPr>
    </w:p>
    <w:p>
      <w:pPr>
        <w:spacing w:after="120" w:line="276" w:lineRule="auto"/>
        <w:jc w:val="both"/>
      </w:pPr>
      <w:r>
        <w:rPr>
          <w:rFonts w:ascii="Arial" w:hAnsi="Arial"/>
          <w:sz w:val="22"/>
        </w:rPr>
        <w:t xml:space="preserve">The imbalance ratio between the largest and smallest classes is 1,075:1. This single figure drives most of the preprocessing and experimental design that follows.</w:t>
      </w:r>
    </w:p>
    <w:p>
      <w:pPr>
        <w:pStyle w:val="Heading3"/>
      </w:pPr>
      <w:r>
        <w:rPr>
          <w:rFonts w:ascii="Arial" w:hAnsi="Arial"/>
          <w:sz w:val="22"/>
        </w:rPr>
        <w:t xml:space="preserve">3.2 Data quality</w:t>
      </w:r>
    </w:p>
    <w:p>
      <w:pPr>
        <w:spacing w:after="120" w:line="276" w:lineRule="auto"/>
        <w:jc w:val="both"/>
      </w:pPr>
      <w:r>
        <w:rPr>
          <w:rFonts w:ascii="Arial" w:hAnsi="Arial"/>
          <w:sz w:val="22"/>
        </w:rPr>
        <w:t xml:space="preserve">The cleaned distribution required minimal further cleaning: 161 duplicate rows and zero rows containing null or infinite values. The uploader had already removed constant and low-variance features, reducing the original approximately 80 features to 52. Cleaning credit belongs to the source distribution; the project's contribution is the resampling design, scaling, and split methodology.</w:t>
      </w:r>
    </w:p>
    <w:p>
      <w:pPr>
        <w:pStyle w:val="Heading2"/>
      </w:pPr>
      <w:r>
        <w:rPr>
          <w:rFonts w:ascii="Arial" w:hAnsi="Arial"/>
          <w:sz w:val="22"/>
        </w:rPr>
        <w:t xml:space="preserve">4. Preprocessing</w:t>
      </w:r>
    </w:p>
    <w:p>
      <w:pPr>
        <w:spacing w:after="120" w:line="276" w:lineRule="auto"/>
        <w:jc w:val="both"/>
      </w:pPr>
      <w:r>
        <w:rPr>
          <w:rFonts w:ascii="Arial" w:hAnsi="Arial"/>
          <w:sz w:val="22"/>
        </w:rPr>
        <w:t xml:space="preserve">Stratified train/test split at 80/20, later revised to 60/20/20 for threshold selection. The test set was left at its original imbalanced distribution throughout, so reported metrics reflect realistic operating conditions rather than a resampled distribution.</w:t>
      </w:r>
    </w:p>
    <w:p>
      <w:pPr>
        <w:spacing w:after="120" w:line="276" w:lineRule="auto"/>
        <w:jc w:val="both"/>
      </w:pPr>
      <w:r>
        <w:rPr>
          <w:rFonts w:ascii="Arial" w:hAnsi="Arial"/>
          <w:sz w:val="22"/>
        </w:rPr>
        <w:t xml:space="preserve">Scaling used StandardScaler fitted on training data only. Features were cast to float32, halving memory relative to float64 with no meaningful precision loss.</w:t>
      </w:r>
    </w:p>
    <w:p>
      <w:pPr>
        <w:spacing w:after="120" w:line="276" w:lineRule="auto"/>
        <w:jc w:val="both"/>
      </w:pPr>
      <w:r>
        <w:rPr>
          <w:rFonts w:ascii="Arial" w:hAnsi="Arial"/>
          <w:sz w:val="22"/>
        </w:rPr>
        <w:t xml:space="preserve">Two imbalance strategies were implemented and compared:</w:t>
      </w:r>
    </w:p>
    <w:p>
      <w:pPr>
        <w:numPr>
          <w:ilvl w:val="0"/>
          <w:numId w:val="1"/>
        </w:numPr>
        <w:spacing w:after="120" w:line="276" w:lineRule="auto"/>
        <w:ind w:left="720" w:hanging="360"/>
        <w:jc w:val="left"/>
      </w:pPr>
      <w:r>
        <w:rPr>
          <w:rFonts w:ascii="Arial" w:hAnsi="Arial"/>
          <w:b/>
          <w:sz w:val="22"/>
        </w:rPr>
        <w:t xml:space="preserve">Hybrid resampling.</w:t>
      </w:r>
      <w:r>
        <w:rPr>
          <w:rFonts w:ascii="Arial" w:hAnsi="Arial"/>
          <w:sz w:val="22"/>
        </w:rPr>
        <w:t xml:space="preserve"> Majority class undersampled to 200,000; minority classes oversampled with SMOTE to 50,000. Applied to the training set only. Oversampling every class to the majority count would have generated approximately 14 million synthetic rows, which was infeasible on available hardware. Combining undersampling with oversampling follows the recommendation in the original SMOTE paper.</w:t>
      </w:r>
    </w:p>
    <w:p>
      <w:pPr>
        <w:numPr>
          <w:ilvl w:val="0"/>
          <w:numId w:val="1"/>
        </w:numPr>
        <w:spacing w:after="120" w:line="276" w:lineRule="auto"/>
        <w:ind w:left="720" w:hanging="360"/>
        <w:jc w:val="left"/>
      </w:pPr>
      <w:r>
        <w:rPr>
          <w:rFonts w:ascii="Arial" w:hAnsi="Arial"/>
          <w:b/>
          <w:sz w:val="22"/>
        </w:rPr>
        <w:t xml:space="preserve">Cost-sensitive learning.</w:t>
      </w:r>
      <w:r>
        <w:rPr>
          <w:rFonts w:ascii="Arial" w:hAnsi="Arial"/>
          <w:sz w:val="22"/>
        </w:rPr>
        <w:t xml:space="preserve"> No resampling; class weights applied so that minority-class errors carry proportionally greater cost.</w:t>
      </w:r>
    </w:p>
    <w:p>
      <w:pPr>
        <w:pStyle w:val="Heading2"/>
      </w:pPr>
      <w:r>
        <w:rPr>
          <w:rFonts w:ascii="Arial" w:hAnsi="Arial"/>
          <w:sz w:val="22"/>
        </w:rPr>
        <w:t xml:space="preserve">5. Experiments</w:t>
      </w:r>
    </w:p>
    <w:p>
      <w:pPr>
        <w:pStyle w:val="Heading3"/>
      </w:pPr>
      <w:r>
        <w:rPr>
          <w:rFonts w:ascii="Arial" w:hAnsi="Arial"/>
          <w:sz w:val="22"/>
        </w:rPr>
        <w:t xml:space="preserve">5.1 E1 — Baseline with hybrid resampling</w:t>
      </w:r>
    </w:p>
    <w:p>
      <w:pPr>
        <w:spacing w:after="120" w:line="276" w:lineRule="auto"/>
        <w:jc w:val="both"/>
      </w:pPr>
      <w:r>
        <w:rPr>
          <w:rFonts w:ascii="Arial" w:hAnsi="Arial"/>
          <w:sz w:val="22"/>
        </w:rPr>
        <w:t xml:space="preserve">Three model families trained on the resampled training set (679,962 rows) and evaluated on the untouched test set (504,118 rows).</w:t>
      </w:r>
    </w:p>
    <w:tbl>
      <w:tblPr>
        <w:tblStyle w:val="TableGrid"/>
        <w:tblW w:w="9180" w:type="dxa"/>
        <w:tblLook w:val="04A0" w:firstRow="1" w:lastRow="0" w:firstColumn="1" w:lastColumn="0" w:noHBand="0" w:noVBand="1"/>
      </w:tblPr>
      <w:tblGrid>
        <w:gridCol w:w="1311"/>
        <w:gridCol w:w="1311"/>
        <w:gridCol w:w="1311"/>
        <w:gridCol w:w="1311"/>
        <w:gridCol w:w="1311"/>
        <w:gridCol w:w="1311"/>
        <w:gridCol w:w="1314"/>
      </w:tblGrid>
      <w:tr>
        <w:trPr>
          <w:tblHeader/>
        </w:trPr>
        <w:tc>
          <w:tcPr>
            <w:tcW w:w="1311" w:type="dxa"/>
            <w:shd w:val="clear" w:color="auto" w:fill="EFEFEF"/>
          </w:tcPr>
          <w:p>
            <w:pPr>
              <w:spacing w:after="40"/>
            </w:pPr>
            <w:r>
              <w:rPr>
                <w:rFonts w:ascii="Arial" w:hAnsi="Arial"/>
                <w:b/>
                <w:sz w:val="22"/>
              </w:rPr>
              <w:t xml:space="preserve">Model</w:t>
            </w:r>
          </w:p>
        </w:tc>
        <w:tc>
          <w:tcPr>
            <w:tcW w:w="1311" w:type="dxa"/>
            <w:shd w:val="clear" w:color="auto" w:fill="EFEFEF"/>
          </w:tcPr>
          <w:p>
            <w:pPr>
              <w:spacing w:after="40"/>
            </w:pPr>
            <w:r>
              <w:rPr>
                <w:rFonts w:ascii="Arial" w:hAnsi="Arial"/>
                <w:b/>
                <w:sz w:val="22"/>
              </w:rPr>
              <w:t xml:space="preserve">Accuracy</w:t>
            </w:r>
          </w:p>
        </w:tc>
        <w:tc>
          <w:tcPr>
            <w:tcW w:w="1311" w:type="dxa"/>
            <w:shd w:val="clear" w:color="auto" w:fill="EFEFEF"/>
          </w:tcPr>
          <w:p>
            <w:pPr>
              <w:spacing w:after="40"/>
            </w:pPr>
            <w:r>
              <w:rPr>
                <w:rFonts w:ascii="Arial" w:hAnsi="Arial"/>
                <w:b/>
                <w:sz w:val="22"/>
              </w:rPr>
              <w:t xml:space="preserve">Macro precision</w:t>
            </w:r>
          </w:p>
        </w:tc>
        <w:tc>
          <w:tcPr>
            <w:tcW w:w="1311" w:type="dxa"/>
            <w:shd w:val="clear" w:color="auto" w:fill="EFEFEF"/>
          </w:tcPr>
          <w:p>
            <w:pPr>
              <w:spacing w:after="40"/>
            </w:pPr>
            <w:r>
              <w:rPr>
                <w:rFonts w:ascii="Arial" w:hAnsi="Arial"/>
                <w:b/>
                <w:sz w:val="22"/>
              </w:rPr>
              <w:t xml:space="preserve">Macro recall</w:t>
            </w:r>
          </w:p>
        </w:tc>
        <w:tc>
          <w:tcPr>
            <w:tcW w:w="1311" w:type="dxa"/>
            <w:shd w:val="clear" w:color="auto" w:fill="EFEFEF"/>
          </w:tcPr>
          <w:p>
            <w:pPr>
              <w:spacing w:after="40"/>
            </w:pPr>
            <w:r>
              <w:rPr>
                <w:rFonts w:ascii="Arial" w:hAnsi="Arial"/>
                <w:b/>
                <w:sz w:val="22"/>
              </w:rPr>
              <w:t xml:space="preserve">Macro F1</w:t>
            </w:r>
          </w:p>
        </w:tc>
        <w:tc>
          <w:tcPr>
            <w:tcW w:w="1311" w:type="dxa"/>
            <w:shd w:val="clear" w:color="auto" w:fill="EFEFEF"/>
          </w:tcPr>
          <w:p>
            <w:pPr>
              <w:spacing w:after="40"/>
            </w:pPr>
            <w:r>
              <w:rPr>
                <w:rFonts w:ascii="Arial" w:hAnsi="Arial"/>
                <w:b/>
                <w:sz w:val="22"/>
              </w:rPr>
              <w:t xml:space="preserve">Train (s)</w:t>
            </w:r>
          </w:p>
        </w:tc>
        <w:tc>
          <w:tcPr>
            <w:tcW w:w="1314" w:type="dxa"/>
            <w:shd w:val="clear" w:color="auto" w:fill="EFEFEF"/>
          </w:tcPr>
          <w:p>
            <w:pPr>
              <w:spacing w:after="40"/>
            </w:pPr>
            <w:r>
              <w:rPr>
                <w:rFonts w:ascii="Arial" w:hAnsi="Arial"/>
                <w:b/>
                <w:sz w:val="22"/>
              </w:rPr>
              <w:t xml:space="preserve">Artefact size</w:t>
            </w:r>
          </w:p>
        </w:tc>
      </w:tr>
      <w:tr>
        <w:tc>
          <w:tcPr>
            <w:tcW w:w="1311" w:type="dxa"/>
          </w:tcPr>
          <w:p>
            <w:pPr>
              <w:spacing w:after="40"/>
            </w:pPr>
            <w:r>
              <w:rPr>
                <w:rFonts w:ascii="Arial" w:hAnsi="Arial"/>
                <w:sz w:val="22"/>
              </w:rPr>
              <w:t xml:space="preserve">XGBoost</w:t>
            </w:r>
          </w:p>
        </w:tc>
        <w:tc>
          <w:tcPr>
            <w:tcW w:w="1311" w:type="dxa"/>
          </w:tcPr>
          <w:p>
            <w:pPr>
              <w:spacing w:after="40"/>
            </w:pPr>
            <w:r>
              <w:rPr>
                <w:rFonts w:ascii="Arial" w:hAnsi="Arial"/>
                <w:sz w:val="22"/>
              </w:rPr>
              <w:t xml:space="preserve">0.9987</w:t>
            </w:r>
          </w:p>
        </w:tc>
        <w:tc>
          <w:tcPr>
            <w:tcW w:w="1311" w:type="dxa"/>
          </w:tcPr>
          <w:p>
            <w:pPr>
              <w:spacing w:after="40"/>
            </w:pPr>
            <w:r>
              <w:rPr>
                <w:rFonts w:ascii="Arial" w:hAnsi="Arial"/>
                <w:sz w:val="22"/>
              </w:rPr>
              <w:t xml:space="preserve">0.929</w:t>
            </w:r>
          </w:p>
        </w:tc>
        <w:tc>
          <w:tcPr>
            <w:tcW w:w="1311" w:type="dxa"/>
          </w:tcPr>
          <w:p>
            <w:pPr>
              <w:spacing w:after="40"/>
            </w:pPr>
            <w:r>
              <w:rPr>
                <w:rFonts w:ascii="Arial" w:hAnsi="Arial"/>
                <w:sz w:val="22"/>
              </w:rPr>
              <w:t xml:space="preserve">0.998</w:t>
            </w:r>
          </w:p>
        </w:tc>
        <w:tc>
          <w:tcPr>
            <w:tcW w:w="1311" w:type="dxa"/>
          </w:tcPr>
          <w:p>
            <w:pPr>
              <w:spacing w:after="40"/>
            </w:pPr>
            <w:r>
              <w:rPr>
                <w:rFonts w:ascii="Arial" w:hAnsi="Arial"/>
                <w:sz w:val="22"/>
              </w:rPr>
              <w:t xml:space="preserve">0.955</w:t>
            </w:r>
          </w:p>
        </w:tc>
        <w:tc>
          <w:tcPr>
            <w:tcW w:w="1311" w:type="dxa"/>
          </w:tcPr>
          <w:p>
            <w:pPr>
              <w:spacing w:after="40"/>
            </w:pPr>
            <w:r>
              <w:rPr>
                <w:rFonts w:ascii="Arial" w:hAnsi="Arial"/>
                <w:sz w:val="22"/>
              </w:rPr>
              <w:t xml:space="preserve">40.1</w:t>
            </w:r>
          </w:p>
        </w:tc>
        <w:tc>
          <w:tcPr>
            <w:tcW w:w="1314" w:type="dxa"/>
          </w:tcPr>
          <w:p>
            <w:pPr>
              <w:spacing w:after="40"/>
            </w:pPr>
            <w:r>
              <w:rPr>
                <w:rFonts w:ascii="Arial" w:hAnsi="Arial"/>
                <w:sz w:val="22"/>
              </w:rPr>
              <w:t xml:space="preserve">3.7 MB</w:t>
            </w:r>
          </w:p>
        </w:tc>
      </w:tr>
      <w:tr>
        <w:tc>
          <w:tcPr>
            <w:tcW w:w="1311" w:type="dxa"/>
          </w:tcPr>
          <w:p>
            <w:pPr>
              <w:spacing w:after="40"/>
            </w:pPr>
            <w:r>
              <w:rPr>
                <w:rFonts w:ascii="Arial" w:hAnsi="Arial"/>
                <w:sz w:val="22"/>
              </w:rPr>
              <w:t xml:space="preserve">Random Forest</w:t>
            </w:r>
          </w:p>
        </w:tc>
        <w:tc>
          <w:tcPr>
            <w:tcW w:w="1311" w:type="dxa"/>
          </w:tcPr>
          <w:p>
            <w:pPr>
              <w:spacing w:after="40"/>
            </w:pPr>
            <w:r>
              <w:rPr>
                <w:rFonts w:ascii="Arial" w:hAnsi="Arial"/>
                <w:sz w:val="22"/>
              </w:rPr>
              <w:t xml:space="preserve">0.9973</w:t>
            </w:r>
          </w:p>
        </w:tc>
        <w:tc>
          <w:tcPr>
            <w:tcW w:w="1311" w:type="dxa"/>
          </w:tcPr>
          <w:p>
            <w:pPr>
              <w:spacing w:after="40"/>
            </w:pPr>
            <w:r>
              <w:rPr>
                <w:rFonts w:ascii="Arial" w:hAnsi="Arial"/>
                <w:sz w:val="22"/>
              </w:rPr>
              <w:t xml:space="preserve">0.882</w:t>
            </w:r>
          </w:p>
        </w:tc>
        <w:tc>
          <w:tcPr>
            <w:tcW w:w="1311" w:type="dxa"/>
          </w:tcPr>
          <w:p>
            <w:pPr>
              <w:spacing w:after="40"/>
            </w:pPr>
            <w:r>
              <w:rPr>
                <w:rFonts w:ascii="Arial" w:hAnsi="Arial"/>
                <w:sz w:val="22"/>
              </w:rPr>
              <w:t xml:space="preserve">0.996</w:t>
            </w:r>
          </w:p>
        </w:tc>
        <w:tc>
          <w:tcPr>
            <w:tcW w:w="1311" w:type="dxa"/>
          </w:tcPr>
          <w:p>
            <w:pPr>
              <w:spacing w:after="40"/>
            </w:pPr>
            <w:r>
              <w:rPr>
                <w:rFonts w:ascii="Arial" w:hAnsi="Arial"/>
                <w:sz w:val="22"/>
              </w:rPr>
              <w:t xml:space="preserve">0.913</w:t>
            </w:r>
          </w:p>
        </w:tc>
        <w:tc>
          <w:tcPr>
            <w:tcW w:w="1311" w:type="dxa"/>
          </w:tcPr>
          <w:p>
            <w:pPr>
              <w:spacing w:after="40"/>
            </w:pPr>
            <w:r>
              <w:rPr>
                <w:rFonts w:ascii="Arial" w:hAnsi="Arial"/>
                <w:sz w:val="22"/>
              </w:rPr>
              <w:t xml:space="preserve">56.3</w:t>
            </w:r>
          </w:p>
        </w:tc>
        <w:tc>
          <w:tcPr>
            <w:tcW w:w="1314" w:type="dxa"/>
          </w:tcPr>
          <w:p>
            <w:pPr>
              <w:spacing w:after="40"/>
            </w:pPr>
            <w:r>
              <w:rPr>
                <w:rFonts w:ascii="Arial" w:hAnsi="Arial"/>
                <w:sz w:val="22"/>
              </w:rPr>
              <w:t xml:space="preserve">44 MB</w:t>
            </w:r>
          </w:p>
        </w:tc>
      </w:tr>
      <w:tr>
        <w:tc>
          <w:tcPr>
            <w:tcW w:w="1311" w:type="dxa"/>
          </w:tcPr>
          <w:p>
            <w:pPr>
              <w:spacing w:after="40"/>
            </w:pPr>
            <w:r>
              <w:rPr>
                <w:rFonts w:ascii="Arial" w:hAnsi="Arial"/>
                <w:sz w:val="22"/>
              </w:rPr>
              <w:t xml:space="preserve">MLP (64, 32)</w:t>
            </w:r>
          </w:p>
        </w:tc>
        <w:tc>
          <w:tcPr>
            <w:tcW w:w="1311" w:type="dxa"/>
          </w:tcPr>
          <w:p>
            <w:pPr>
              <w:spacing w:after="40"/>
            </w:pPr>
            <w:r>
              <w:rPr>
                <w:rFonts w:ascii="Arial" w:hAnsi="Arial"/>
                <w:sz w:val="22"/>
              </w:rPr>
              <w:t xml:space="preserve">0.9864</w:t>
            </w:r>
          </w:p>
        </w:tc>
        <w:tc>
          <w:tcPr>
            <w:tcW w:w="1311" w:type="dxa"/>
          </w:tcPr>
          <w:p>
            <w:pPr>
              <w:spacing w:after="40"/>
            </w:pPr>
            <w:r>
              <w:rPr>
                <w:rFonts w:ascii="Arial" w:hAnsi="Arial"/>
                <w:sz w:val="22"/>
              </w:rPr>
              <w:t xml:space="preserve">0.734</w:t>
            </w:r>
          </w:p>
        </w:tc>
        <w:tc>
          <w:tcPr>
            <w:tcW w:w="1311" w:type="dxa"/>
          </w:tcPr>
          <w:p>
            <w:pPr>
              <w:spacing w:after="40"/>
            </w:pPr>
            <w:r>
              <w:rPr>
                <w:rFonts w:ascii="Arial" w:hAnsi="Arial"/>
                <w:sz w:val="22"/>
              </w:rPr>
              <w:t xml:space="preserve">0.993</w:t>
            </w:r>
          </w:p>
        </w:tc>
        <w:tc>
          <w:tcPr>
            <w:tcW w:w="1311" w:type="dxa"/>
          </w:tcPr>
          <w:p>
            <w:pPr>
              <w:spacing w:after="40"/>
            </w:pPr>
            <w:r>
              <w:rPr>
                <w:rFonts w:ascii="Arial" w:hAnsi="Arial"/>
                <w:sz w:val="22"/>
              </w:rPr>
              <w:t xml:space="preserve">0.775</w:t>
            </w:r>
          </w:p>
        </w:tc>
        <w:tc>
          <w:tcPr>
            <w:tcW w:w="1311" w:type="dxa"/>
          </w:tcPr>
          <w:p>
            <w:pPr>
              <w:spacing w:after="40"/>
            </w:pPr>
            <w:r>
              <w:rPr>
                <w:rFonts w:ascii="Arial" w:hAnsi="Arial"/>
                <w:sz w:val="22"/>
              </w:rPr>
              <w:t xml:space="preserve">147.5</w:t>
            </w:r>
          </w:p>
        </w:tc>
        <w:tc>
          <w:tcPr>
            <w:tcW w:w="1314" w:type="dxa"/>
          </w:tcPr>
          <w:p>
            <w:pPr>
              <w:spacing w:after="40"/>
            </w:pPr>
            <w:r>
              <w:rPr>
                <w:rFonts w:ascii="Arial" w:hAnsi="Arial"/>
                <w:sz w:val="22"/>
              </w:rPr>
              <w:t xml:space="preserve">76 KB</w:t>
            </w:r>
          </w:p>
        </w:tc>
      </w:tr>
    </w:tbl>
    <w:p>
      <w:pPr>
        <w:spacing w:after="120"/>
      </w:pPr>
    </w:p>
    <w:p>
      <w:pPr>
        <w:spacing w:after="120" w:line="276" w:lineRule="auto"/>
        <w:jc w:val="both"/>
      </w:pPr>
      <w:r>
        <w:rPr>
          <w:rFonts w:ascii="Arial" w:hAnsi="Arial"/>
          <w:sz w:val="22"/>
        </w:rPr>
        <w:t xml:space="preserve">Observations: accuracy is misleading here because 83% of the test set is benign traffic, so macro F1 is the appropriate headline metric. The MLP underperformed on every axis while taking the longest to train, consistent with published findings that tree ensembles outperform neural networks on tabular data. The weakest per-class result was Bots precision at 0.57, with 296 benign flows misclassified as Bots against only 385 true positives.</w:t>
      </w:r>
    </w:p>
    <w:p>
      <w:pPr>
        <w:pStyle w:val="Heading3"/>
      </w:pPr>
      <w:r>
        <w:rPr>
          <w:rFonts w:ascii="Arial" w:hAnsi="Arial"/>
          <w:sz w:val="22"/>
        </w:rPr>
        <w:t xml:space="preserve">5.2 E2 — Cost-sensitive learning</w:t>
      </w:r>
    </w:p>
    <w:p>
      <w:pPr>
        <w:spacing w:after="120" w:line="276" w:lineRule="auto"/>
        <w:jc w:val="both"/>
      </w:pPr>
      <w:r>
        <w:rPr>
          <w:rFonts w:ascii="Arial" w:hAnsi="Arial"/>
          <w:sz w:val="22"/>
        </w:rPr>
        <w:t xml:space="preserve">Identical split, scaling and seed. Models trained on the full imbalanced training set with class weighting instead of resampling.</w:t>
      </w:r>
    </w:p>
    <w:p>
      <w:pPr>
        <w:spacing w:after="120" w:line="276" w:lineRule="auto"/>
        <w:jc w:val="both"/>
      </w:pPr>
      <w:r>
        <w:rPr>
          <w:rFonts w:ascii="Arial" w:hAnsi="Arial"/>
          <w:sz w:val="22"/>
        </w:rPr>
        <w:t xml:space="preserve">The result was model-dependent rather than uniform. XGBoost improved from 0.955 to 0.969 macro F1, with Bots precision rising from 0.57 to 0.67 and false positives on that class falling by 36%. Random Forest degraded.</w:t>
      </w:r>
    </w:p>
    <w:p>
      <w:pPr>
        <w:pStyle w:val="Heading3"/>
      </w:pPr>
      <w:r>
        <w:rPr>
          <w:rFonts w:ascii="Arial" w:hAnsi="Arial"/>
          <w:sz w:val="22"/>
        </w:rPr>
        <w:t xml:space="preserve">5.3 E3 — Seed stability</w:t>
      </w:r>
    </w:p>
    <w:p>
      <w:pPr>
        <w:spacing w:after="120" w:line="276" w:lineRule="auto"/>
        <w:jc w:val="both"/>
      </w:pPr>
      <w:r>
        <w:rPr>
          <w:rFonts w:ascii="Arial" w:hAnsi="Arial"/>
          <w:sz w:val="22"/>
        </w:rPr>
        <w:t xml:space="preserve">E2's conclusion rested on a single run per configuration. Both strategies were repeated across three seeds (42, 7, 123) for both model families: twelve runs in total.</w:t>
      </w:r>
    </w:p>
    <w:tbl>
      <w:tblPr>
        <w:tblStyle w:val="TableGrid"/>
        <w:tblW w:w="9180" w:type="dxa"/>
        <w:tblLook w:val="04A0" w:firstRow="1" w:lastRow="0" w:firstColumn="1" w:lastColumn="0" w:noHBand="0" w:noVBand="1"/>
      </w:tblPr>
      <w:tblGrid>
        <w:gridCol w:w="1836"/>
        <w:gridCol w:w="1836"/>
        <w:gridCol w:w="1836"/>
        <w:gridCol w:w="1836"/>
        <w:gridCol w:w="1836"/>
      </w:tblGrid>
      <w:tr>
        <w:trPr>
          <w:tblHeader/>
        </w:trPr>
        <w:tc>
          <w:tcPr>
            <w:tcW w:w="1836" w:type="dxa"/>
            <w:shd w:val="clear" w:color="auto" w:fill="EFEFEF"/>
          </w:tcPr>
          <w:p>
            <w:pPr>
              <w:spacing w:after="40"/>
            </w:pPr>
            <w:r>
              <w:rPr>
                <w:rFonts w:ascii="Arial" w:hAnsi="Arial"/>
                <w:b/>
                <w:sz w:val="22"/>
              </w:rPr>
              <w:t xml:space="preserve">Family</w:t>
            </w:r>
          </w:p>
        </w:tc>
        <w:tc>
          <w:tcPr>
            <w:tcW w:w="1836" w:type="dxa"/>
            <w:shd w:val="clear" w:color="auto" w:fill="EFEFEF"/>
          </w:tcPr>
          <w:p>
            <w:pPr>
              <w:spacing w:after="40"/>
            </w:pPr>
            <w:r>
              <w:rPr>
                <w:rFonts w:ascii="Arial" w:hAnsi="Arial"/>
                <w:b/>
                <w:sz w:val="22"/>
              </w:rPr>
              <w:t xml:space="preserve">Strategy</w:t>
            </w:r>
          </w:p>
        </w:tc>
        <w:tc>
          <w:tcPr>
            <w:tcW w:w="1836" w:type="dxa"/>
            <w:shd w:val="clear" w:color="auto" w:fill="EFEFEF"/>
          </w:tcPr>
          <w:p>
            <w:pPr>
              <w:spacing w:after="40"/>
            </w:pPr>
            <w:r>
              <w:rPr>
                <w:rFonts w:ascii="Arial" w:hAnsi="Arial"/>
                <w:b/>
                <w:sz w:val="22"/>
              </w:rPr>
              <w:t xml:space="preserve">Macro F1 (SD)</w:t>
            </w:r>
          </w:p>
        </w:tc>
        <w:tc>
          <w:tcPr>
            <w:tcW w:w="1836" w:type="dxa"/>
            <w:shd w:val="clear" w:color="auto" w:fill="EFEFEF"/>
          </w:tcPr>
          <w:p>
            <w:pPr>
              <w:spacing w:after="40"/>
            </w:pPr>
            <w:r>
              <w:rPr>
                <w:rFonts w:ascii="Arial" w:hAnsi="Arial"/>
                <w:b/>
                <w:sz w:val="22"/>
              </w:rPr>
              <w:t xml:space="preserve">Bots precision (SD)</w:t>
            </w:r>
          </w:p>
        </w:tc>
        <w:tc>
          <w:tcPr>
            <w:tcW w:w="1836" w:type="dxa"/>
            <w:shd w:val="clear" w:color="auto" w:fill="EFEFEF"/>
          </w:tcPr>
          <w:p>
            <w:pPr>
              <w:spacing w:after="40"/>
            </w:pPr>
            <w:r>
              <w:rPr>
                <w:rFonts w:ascii="Arial" w:hAnsi="Arial"/>
                <w:b/>
                <w:sz w:val="22"/>
              </w:rPr>
              <w:t xml:space="preserve">Benign flagged as Bots</w:t>
            </w:r>
          </w:p>
        </w:tc>
      </w:tr>
      <w:tr>
        <w:tc>
          <w:tcPr>
            <w:tcW w:w="1836" w:type="dxa"/>
          </w:tcPr>
          <w:p>
            <w:pPr>
              <w:spacing w:after="40"/>
            </w:pPr>
            <w:r>
              <w:rPr>
                <w:rFonts w:ascii="Arial" w:hAnsi="Arial"/>
                <w:sz w:val="22"/>
              </w:rPr>
              <w:t xml:space="preserve">XGBoost</w:t>
            </w:r>
          </w:p>
        </w:tc>
        <w:tc>
          <w:tcPr>
            <w:tcW w:w="1836" w:type="dxa"/>
          </w:tcPr>
          <w:p>
            <w:pPr>
              <w:spacing w:after="40"/>
            </w:pPr>
            <w:r>
              <w:rPr>
                <w:rFonts w:ascii="Arial" w:hAnsi="Arial"/>
                <w:sz w:val="22"/>
              </w:rPr>
              <w:t xml:space="preserve">Class weights</w:t>
            </w:r>
          </w:p>
        </w:tc>
        <w:tc>
          <w:tcPr>
            <w:tcW w:w="1836" w:type="dxa"/>
          </w:tcPr>
          <w:p>
            <w:pPr>
              <w:spacing w:after="40"/>
            </w:pPr>
            <w:r>
              <w:rPr>
                <w:rFonts w:ascii="Arial" w:hAnsi="Arial"/>
                <w:sz w:val="22"/>
              </w:rPr>
              <w:t xml:space="preserve">0.9692 (0.0019)</w:t>
            </w:r>
          </w:p>
        </w:tc>
        <w:tc>
          <w:tcPr>
            <w:tcW w:w="1836" w:type="dxa"/>
          </w:tcPr>
          <w:p>
            <w:pPr>
              <w:spacing w:after="40"/>
            </w:pPr>
            <w:r>
              <w:rPr>
                <w:rFonts w:ascii="Arial" w:hAnsi="Arial"/>
                <w:sz w:val="22"/>
              </w:rPr>
              <w:t xml:space="preserve">0.675 (0.013)</w:t>
            </w:r>
          </w:p>
        </w:tc>
        <w:tc>
          <w:tcPr>
            <w:tcW w:w="1836" w:type="dxa"/>
          </w:tcPr>
          <w:p>
            <w:pPr>
              <w:spacing w:after="40"/>
            </w:pPr>
            <w:r>
              <w:rPr>
                <w:rFonts w:ascii="Arial" w:hAnsi="Arial"/>
                <w:sz w:val="22"/>
              </w:rPr>
              <w:t xml:space="preserve">186</w:t>
            </w:r>
          </w:p>
        </w:tc>
      </w:tr>
      <w:tr>
        <w:tc>
          <w:tcPr>
            <w:tcW w:w="1836" w:type="dxa"/>
          </w:tcPr>
          <w:p>
            <w:pPr>
              <w:spacing w:after="40"/>
            </w:pPr>
            <w:r>
              <w:rPr>
                <w:rFonts w:ascii="Arial" w:hAnsi="Arial"/>
                <w:sz w:val="22"/>
              </w:rPr>
              <w:t xml:space="preserve">XGBoost</w:t>
            </w:r>
          </w:p>
        </w:tc>
        <w:tc>
          <w:tcPr>
            <w:tcW w:w="1836" w:type="dxa"/>
          </w:tcPr>
          <w:p>
            <w:pPr>
              <w:spacing w:after="40"/>
            </w:pPr>
            <w:r>
              <w:rPr>
                <w:rFonts w:ascii="Arial" w:hAnsi="Arial"/>
                <w:sz w:val="22"/>
              </w:rPr>
              <w:t xml:space="preserve">SMOTE</w:t>
            </w:r>
          </w:p>
        </w:tc>
        <w:tc>
          <w:tcPr>
            <w:tcW w:w="1836" w:type="dxa"/>
          </w:tcPr>
          <w:p>
            <w:pPr>
              <w:spacing w:after="40"/>
            </w:pPr>
            <w:r>
              <w:rPr>
                <w:rFonts w:ascii="Arial" w:hAnsi="Arial"/>
                <w:sz w:val="22"/>
              </w:rPr>
              <w:t xml:space="preserve">0.9564 (0.0027)</w:t>
            </w:r>
          </w:p>
        </w:tc>
        <w:tc>
          <w:tcPr>
            <w:tcW w:w="1836" w:type="dxa"/>
          </w:tcPr>
          <w:p>
            <w:pPr>
              <w:spacing w:after="40"/>
            </w:pPr>
            <w:r>
              <w:rPr>
                <w:rFonts w:ascii="Arial" w:hAnsi="Arial"/>
                <w:sz w:val="22"/>
              </w:rPr>
              <w:t xml:space="preserve">0.579 (0.013)</w:t>
            </w:r>
          </w:p>
        </w:tc>
        <w:tc>
          <w:tcPr>
            <w:tcW w:w="1836" w:type="dxa"/>
          </w:tcPr>
          <w:p>
            <w:pPr>
              <w:spacing w:after="40"/>
            </w:pPr>
            <w:r>
              <w:rPr>
                <w:rFonts w:ascii="Arial" w:hAnsi="Arial"/>
                <w:sz w:val="22"/>
              </w:rPr>
              <w:t xml:space="preserve">281</w:t>
            </w:r>
          </w:p>
        </w:tc>
      </w:tr>
      <w:tr>
        <w:tc>
          <w:tcPr>
            <w:tcW w:w="1836" w:type="dxa"/>
          </w:tcPr>
          <w:p>
            <w:pPr>
              <w:spacing w:after="40"/>
            </w:pPr>
            <w:r>
              <w:rPr>
                <w:rFonts w:ascii="Arial" w:hAnsi="Arial"/>
                <w:sz w:val="22"/>
              </w:rPr>
              <w:t xml:space="preserve">Random Forest</w:t>
            </w:r>
          </w:p>
        </w:tc>
        <w:tc>
          <w:tcPr>
            <w:tcW w:w="1836" w:type="dxa"/>
          </w:tcPr>
          <w:p>
            <w:pPr>
              <w:spacing w:after="40"/>
            </w:pPr>
            <w:r>
              <w:rPr>
                <w:rFonts w:ascii="Arial" w:hAnsi="Arial"/>
                <w:sz w:val="22"/>
              </w:rPr>
              <w:t xml:space="preserve">SMOTE</w:t>
            </w:r>
          </w:p>
        </w:tc>
        <w:tc>
          <w:tcPr>
            <w:tcW w:w="1836" w:type="dxa"/>
          </w:tcPr>
          <w:p>
            <w:pPr>
              <w:spacing w:after="40"/>
            </w:pPr>
            <w:r>
              <w:rPr>
                <w:rFonts w:ascii="Arial" w:hAnsi="Arial"/>
                <w:sz w:val="22"/>
              </w:rPr>
              <w:t xml:space="preserve">0.9129 (0.0009)</w:t>
            </w:r>
          </w:p>
        </w:tc>
        <w:tc>
          <w:tcPr>
            <w:tcW w:w="1836" w:type="dxa"/>
          </w:tcPr>
          <w:p>
            <w:pPr>
              <w:spacing w:after="40"/>
            </w:pPr>
            <w:r>
              <w:rPr>
                <w:rFonts w:ascii="Arial" w:hAnsi="Arial"/>
                <w:sz w:val="22"/>
              </w:rPr>
              <w:t xml:space="preserve">0.296 (0.006)</w:t>
            </w:r>
          </w:p>
        </w:tc>
        <w:tc>
          <w:tcPr>
            <w:tcW w:w="1836" w:type="dxa"/>
          </w:tcPr>
          <w:p>
            <w:pPr>
              <w:spacing w:after="40"/>
            </w:pPr>
            <w:r>
              <w:rPr>
                <w:rFonts w:ascii="Arial" w:hAnsi="Arial"/>
                <w:sz w:val="22"/>
              </w:rPr>
              <w:t xml:space="preserve">914</w:t>
            </w:r>
          </w:p>
        </w:tc>
      </w:tr>
      <w:tr>
        <w:tc>
          <w:tcPr>
            <w:tcW w:w="1836" w:type="dxa"/>
          </w:tcPr>
          <w:p>
            <w:pPr>
              <w:spacing w:after="40"/>
            </w:pPr>
            <w:r>
              <w:rPr>
                <w:rFonts w:ascii="Arial" w:hAnsi="Arial"/>
                <w:sz w:val="22"/>
              </w:rPr>
              <w:t xml:space="preserve">Random Forest</w:t>
            </w:r>
          </w:p>
        </w:tc>
        <w:tc>
          <w:tcPr>
            <w:tcW w:w="1836" w:type="dxa"/>
          </w:tcPr>
          <w:p>
            <w:pPr>
              <w:spacing w:after="40"/>
            </w:pPr>
            <w:r>
              <w:rPr>
                <w:rFonts w:ascii="Arial" w:hAnsi="Arial"/>
                <w:sz w:val="22"/>
              </w:rPr>
              <w:t xml:space="preserve">Class weights</w:t>
            </w:r>
          </w:p>
        </w:tc>
        <w:tc>
          <w:tcPr>
            <w:tcW w:w="1836" w:type="dxa"/>
          </w:tcPr>
          <w:p>
            <w:pPr>
              <w:spacing w:after="40"/>
            </w:pPr>
            <w:r>
              <w:rPr>
                <w:rFonts w:ascii="Arial" w:hAnsi="Arial"/>
                <w:sz w:val="22"/>
              </w:rPr>
              <w:t xml:space="preserve">0.8980 (0.0025)</w:t>
            </w:r>
          </w:p>
        </w:tc>
        <w:tc>
          <w:tcPr>
            <w:tcW w:w="1836" w:type="dxa"/>
          </w:tcPr>
          <w:p>
            <w:pPr>
              <w:spacing w:after="40"/>
            </w:pPr>
            <w:r>
              <w:rPr>
                <w:rFonts w:ascii="Arial" w:hAnsi="Arial"/>
                <w:sz w:val="22"/>
              </w:rPr>
              <w:t xml:space="preserve">0.189 (0.009)</w:t>
            </w:r>
          </w:p>
        </w:tc>
        <w:tc>
          <w:tcPr>
            <w:tcW w:w="1836" w:type="dxa"/>
          </w:tcPr>
          <w:p>
            <w:pPr>
              <w:spacing w:after="40"/>
            </w:pPr>
            <w:r>
              <w:rPr>
                <w:rFonts w:ascii="Arial" w:hAnsi="Arial"/>
                <w:sz w:val="22"/>
              </w:rPr>
              <w:t xml:space="preserve">1,653</w:t>
            </w:r>
          </w:p>
        </w:tc>
      </w:tr>
    </w:tbl>
    <w:p>
      <w:pPr>
        <w:spacing w:after="120"/>
      </w:pPr>
    </w:p>
    <w:p>
      <w:pPr>
        <w:spacing w:after="120" w:line="276" w:lineRule="auto"/>
        <w:jc w:val="both"/>
      </w:pPr>
      <w:r>
        <w:rPr>
          <w:rFonts w:ascii="Arial" w:hAnsi="Arial"/>
          <w:sz w:val="22"/>
        </w:rPr>
        <w:t xml:space="preserve">Paired per-seed comparison of class weighting minus SMOTE:</w:t>
      </w:r>
    </w:p>
    <w:tbl>
      <w:tblPr>
        <w:tblStyle w:val="TableGrid"/>
        <w:tblW w:w="9180" w:type="dxa"/>
        <w:tblLook w:val="04A0" w:firstRow="1" w:lastRow="0" w:firstColumn="1" w:lastColumn="0" w:noHBand="0" w:noVBand="1"/>
      </w:tblPr>
      <w:tblGrid>
        <w:gridCol w:w="1530"/>
        <w:gridCol w:w="1530"/>
        <w:gridCol w:w="1530"/>
        <w:gridCol w:w="1530"/>
        <w:gridCol w:w="1530"/>
        <w:gridCol w:w="1530"/>
      </w:tblGrid>
      <w:tr>
        <w:trPr>
          <w:tblHeader/>
        </w:trPr>
        <w:tc>
          <w:tcPr>
            <w:tcW w:w="1530" w:type="dxa"/>
            <w:shd w:val="clear" w:color="auto" w:fill="EFEFEF"/>
          </w:tcPr>
          <w:p>
            <w:pPr>
              <w:spacing w:after="40"/>
            </w:pPr>
            <w:r>
              <w:rPr>
                <w:rFonts w:ascii="Arial" w:hAnsi="Arial"/>
                <w:b/>
                <w:sz w:val="22"/>
              </w:rPr>
              <w:t xml:space="preserve">Family</w:t>
            </w:r>
          </w:p>
        </w:tc>
        <w:tc>
          <w:tcPr>
            <w:tcW w:w="1530" w:type="dxa"/>
            <w:shd w:val="clear" w:color="auto" w:fill="EFEFEF"/>
          </w:tcPr>
          <w:p>
            <w:pPr>
              <w:spacing w:after="40"/>
            </w:pPr>
            <w:r>
              <w:rPr>
                <w:rFonts w:ascii="Arial" w:hAnsi="Arial"/>
                <w:b/>
                <w:sz w:val="22"/>
              </w:rPr>
              <w:t xml:space="preserve">Seed 42</w:t>
            </w:r>
          </w:p>
        </w:tc>
        <w:tc>
          <w:tcPr>
            <w:tcW w:w="1530" w:type="dxa"/>
            <w:shd w:val="clear" w:color="auto" w:fill="EFEFEF"/>
          </w:tcPr>
          <w:p>
            <w:pPr>
              <w:spacing w:after="40"/>
            </w:pPr>
            <w:r>
              <w:rPr>
                <w:rFonts w:ascii="Arial" w:hAnsi="Arial"/>
                <w:b/>
                <w:sz w:val="22"/>
              </w:rPr>
              <w:t xml:space="preserve">Seed 7</w:t>
            </w:r>
          </w:p>
        </w:tc>
        <w:tc>
          <w:tcPr>
            <w:tcW w:w="1530" w:type="dxa"/>
            <w:shd w:val="clear" w:color="auto" w:fill="EFEFEF"/>
          </w:tcPr>
          <w:p>
            <w:pPr>
              <w:spacing w:after="40"/>
            </w:pPr>
            <w:r>
              <w:rPr>
                <w:rFonts w:ascii="Arial" w:hAnsi="Arial"/>
                <w:b/>
                <w:sz w:val="22"/>
              </w:rPr>
              <w:t xml:space="preserve">Seed 123</w:t>
            </w:r>
          </w:p>
        </w:tc>
        <w:tc>
          <w:tcPr>
            <w:tcW w:w="1530" w:type="dxa"/>
            <w:shd w:val="clear" w:color="auto" w:fill="EFEFEF"/>
          </w:tcPr>
          <w:p>
            <w:pPr>
              <w:spacing w:after="40"/>
            </w:pPr>
            <w:r>
              <w:rPr>
                <w:rFonts w:ascii="Arial" w:hAnsi="Arial"/>
                <w:b/>
                <w:sz w:val="22"/>
              </w:rPr>
              <w:t xml:space="preserve">Mean (SD)</w:t>
            </w:r>
          </w:p>
        </w:tc>
        <w:tc>
          <w:tcPr>
            <w:tcW w:w="1530" w:type="dxa"/>
            <w:shd w:val="clear" w:color="auto" w:fill="EFEFEF"/>
          </w:tcPr>
          <w:p>
            <w:pPr>
              <w:spacing w:after="40"/>
            </w:pPr>
            <w:r>
              <w:rPr>
                <w:rFonts w:ascii="Arial" w:hAnsi="Arial"/>
                <w:b/>
                <w:sz w:val="22"/>
              </w:rPr>
              <w:t xml:space="preserve">Direction</w:t>
            </w:r>
          </w:p>
        </w:tc>
      </w:tr>
      <w:tr>
        <w:tc>
          <w:tcPr>
            <w:tcW w:w="1530" w:type="dxa"/>
          </w:tcPr>
          <w:p>
            <w:pPr>
              <w:spacing w:after="40"/>
            </w:pPr>
            <w:r>
              <w:rPr>
                <w:rFonts w:ascii="Arial" w:hAnsi="Arial"/>
                <w:sz w:val="22"/>
              </w:rPr>
              <w:t xml:space="preserve">XGBoost</w:t>
            </w:r>
          </w:p>
        </w:tc>
        <w:tc>
          <w:tcPr>
            <w:tcW w:w="1530" w:type="dxa"/>
          </w:tcPr>
          <w:p>
            <w:pPr>
              <w:spacing w:after="40"/>
            </w:pPr>
            <w:r>
              <w:rPr>
                <w:rFonts w:ascii="Arial" w:hAnsi="Arial"/>
                <w:sz w:val="22"/>
              </w:rPr>
              <w:t xml:space="preserve">+0.0140</w:t>
            </w:r>
          </w:p>
        </w:tc>
        <w:tc>
          <w:tcPr>
            <w:tcW w:w="1530" w:type="dxa"/>
          </w:tcPr>
          <w:p>
            <w:pPr>
              <w:spacing w:after="40"/>
            </w:pPr>
            <w:r>
              <w:rPr>
                <w:rFonts w:ascii="Arial" w:hAnsi="Arial"/>
                <w:sz w:val="22"/>
              </w:rPr>
              <w:t xml:space="preserve">+0.0117</w:t>
            </w:r>
          </w:p>
        </w:tc>
        <w:tc>
          <w:tcPr>
            <w:tcW w:w="1530" w:type="dxa"/>
          </w:tcPr>
          <w:p>
            <w:pPr>
              <w:spacing w:after="40"/>
            </w:pPr>
            <w:r>
              <w:rPr>
                <w:rFonts w:ascii="Arial" w:hAnsi="Arial"/>
                <w:sz w:val="22"/>
              </w:rPr>
              <w:t xml:space="preserve">+0.0127</w:t>
            </w:r>
          </w:p>
        </w:tc>
        <w:tc>
          <w:tcPr>
            <w:tcW w:w="1530" w:type="dxa"/>
          </w:tcPr>
          <w:p>
            <w:pPr>
              <w:spacing w:after="40"/>
            </w:pPr>
            <w:r>
              <w:rPr>
                <w:rFonts w:ascii="Arial" w:hAnsi="Arial"/>
                <w:sz w:val="22"/>
              </w:rPr>
              <w:t xml:space="preserve">+0.0128 (0.0012)</w:t>
            </w:r>
          </w:p>
        </w:tc>
        <w:tc>
          <w:tcPr>
            <w:tcW w:w="1530" w:type="dxa"/>
          </w:tcPr>
          <w:p>
            <w:pPr>
              <w:spacing w:after="40"/>
            </w:pPr>
            <w:r>
              <w:rPr>
                <w:rFonts w:ascii="Arial" w:hAnsi="Arial"/>
                <w:sz w:val="22"/>
              </w:rPr>
              <w:t xml:space="preserve">Class weights better, 3 of 3</w:t>
            </w:r>
          </w:p>
        </w:tc>
      </w:tr>
      <w:tr>
        <w:tc>
          <w:tcPr>
            <w:tcW w:w="1530" w:type="dxa"/>
          </w:tcPr>
          <w:p>
            <w:pPr>
              <w:spacing w:after="40"/>
            </w:pPr>
            <w:r>
              <w:rPr>
                <w:rFonts w:ascii="Arial" w:hAnsi="Arial"/>
                <w:sz w:val="22"/>
              </w:rPr>
              <w:t xml:space="preserve">Random Forest</w:t>
            </w:r>
          </w:p>
        </w:tc>
        <w:tc>
          <w:tcPr>
            <w:tcW w:w="1530" w:type="dxa"/>
          </w:tcPr>
          <w:p>
            <w:pPr>
              <w:spacing w:after="40"/>
            </w:pPr>
            <w:r>
              <w:rPr>
                <w:rFonts w:ascii="Arial" w:hAnsi="Arial"/>
                <w:sz w:val="22"/>
              </w:rPr>
              <w:t xml:space="preserve">-0.0128</w:t>
            </w:r>
          </w:p>
        </w:tc>
        <w:tc>
          <w:tcPr>
            <w:tcW w:w="1530" w:type="dxa"/>
          </w:tcPr>
          <w:p>
            <w:pPr>
              <w:spacing w:after="40"/>
            </w:pPr>
            <w:r>
              <w:rPr>
                <w:rFonts w:ascii="Arial" w:hAnsi="Arial"/>
                <w:sz w:val="22"/>
              </w:rPr>
              <w:t xml:space="preserve">-0.0153</w:t>
            </w:r>
          </w:p>
        </w:tc>
        <w:tc>
          <w:tcPr>
            <w:tcW w:w="1530" w:type="dxa"/>
          </w:tcPr>
          <w:p>
            <w:pPr>
              <w:spacing w:after="40"/>
            </w:pPr>
            <w:r>
              <w:rPr>
                <w:rFonts w:ascii="Arial" w:hAnsi="Arial"/>
                <w:sz w:val="22"/>
              </w:rPr>
              <w:t xml:space="preserve">-0.0166</w:t>
            </w:r>
          </w:p>
        </w:tc>
        <w:tc>
          <w:tcPr>
            <w:tcW w:w="1530" w:type="dxa"/>
          </w:tcPr>
          <w:p>
            <w:pPr>
              <w:spacing w:after="40"/>
            </w:pPr>
            <w:r>
              <w:rPr>
                <w:rFonts w:ascii="Arial" w:hAnsi="Arial"/>
                <w:sz w:val="22"/>
              </w:rPr>
              <w:t xml:space="preserve">-0.0149 (0.0020)</w:t>
            </w:r>
          </w:p>
        </w:tc>
        <w:tc>
          <w:tcPr>
            <w:tcW w:w="1530" w:type="dxa"/>
          </w:tcPr>
          <w:p>
            <w:pPr>
              <w:spacing w:after="40"/>
            </w:pPr>
            <w:r>
              <w:rPr>
                <w:rFonts w:ascii="Arial" w:hAnsi="Arial"/>
                <w:sz w:val="22"/>
              </w:rPr>
              <w:t xml:space="preserve">SMOTE better, 3 of 3</w:t>
            </w:r>
          </w:p>
        </w:tc>
      </w:tr>
    </w:tbl>
    <w:p>
      <w:pPr>
        <w:spacing w:after="120"/>
      </w:pPr>
    </w:p>
    <w:p>
      <w:pPr>
        <w:spacing w:after="120" w:line="276" w:lineRule="auto"/>
        <w:jc w:val="both"/>
      </w:pPr>
      <w:r>
        <w:rPr>
          <w:rFonts w:ascii="Arial" w:hAnsi="Arial"/>
          <w:b/>
          <w:sz w:val="22"/>
        </w:rPr>
        <w:t xml:space="preserve">Principal finding.</w:t>
      </w:r>
      <w:r>
        <w:rPr>
          <w:rFonts w:ascii="Arial" w:hAnsi="Arial"/>
          <w:sz w:val="22"/>
        </w:rPr>
        <w:t xml:space="preserve"> A model-by-strategy interaction effect is confirmed. The same imbalance-handling technique improves XGBoost and degrades Random Forest, consistently across every seed, with effect sizes roughly an order of magnitude larger than the run-to-run variance. Imbalance handling cannot therefore be selected independently of model architecture, and studies reporting a single technique on a single model risk over-generalisation.</w:t>
      </w:r>
    </w:p>
    <w:p>
      <w:pPr>
        <w:spacing w:after="120" w:line="276" w:lineRule="auto"/>
        <w:jc w:val="both"/>
      </w:pPr>
      <w:r>
        <w:rPr>
          <w:rFonts w:ascii="Arial" w:hAnsi="Arial"/>
          <w:sz w:val="22"/>
        </w:rPr>
        <w:t xml:space="preserve">A plausible mechanism: Random Forest applies class weights at each node's impurity calculation, so at a 1,075:1 ratio each Bots sample carries roughly 1,075 times the weight, allowing individual trees to claim large regions of feature space from only 1,559 real samples. XGBoost applies weights to gradient contributions within a regularised, depth-limited boosted ensemble, which constrains the same effect.</w:t>
      </w:r>
    </w:p>
    <w:p>
      <w:pPr>
        <w:spacing w:after="120" w:line="276" w:lineRule="auto"/>
        <w:jc w:val="both"/>
      </w:pPr>
      <w:r>
        <w:rPr>
          <w:rFonts w:ascii="Arial" w:hAnsi="Arial"/>
          <w:sz w:val="22"/>
        </w:rPr>
        <w:t xml:space="preserve">Selected configuration: XGBoost with class weights.</w:t>
      </w:r>
    </w:p>
    <w:p>
      <w:pPr>
        <w:pStyle w:val="Heading3"/>
      </w:pPr>
      <w:r>
        <w:rPr>
          <w:rFonts w:ascii="Arial" w:hAnsi="Arial"/>
          <w:sz w:val="22"/>
        </w:rPr>
        <w:t xml:space="preserve">5.4 E4 — Decision threshold tuning</w:t>
      </w:r>
    </w:p>
    <w:p>
      <w:pPr>
        <w:spacing w:after="120" w:line="276" w:lineRule="auto"/>
        <w:jc w:val="both"/>
      </w:pPr>
      <w:r>
        <w:rPr>
          <w:rFonts w:ascii="Arial" w:hAnsi="Arial"/>
          <w:sz w:val="22"/>
        </w:rPr>
        <w:t xml:space="preserve">Bots precision remained the binding constraint at 0.675, meaning roughly one in three Bots alerts was a false positive. Default multiclass prediction takes the argmax over class probabilities, offering no control over that trade-off.</w:t>
      </w:r>
    </w:p>
    <w:p>
      <w:pPr>
        <w:spacing w:after="120" w:line="276" w:lineRule="auto"/>
        <w:jc w:val="both"/>
      </w:pPr>
      <w:r>
        <w:rPr>
          <w:rFonts w:ascii="Arial" w:hAnsi="Arial"/>
          <w:sz w:val="22"/>
        </w:rPr>
        <w:t xml:space="preserve">An explicit threshold rule was introduced: predict Bots only if the Bots probability meets or exceeds a threshold, otherwise take the argmax over the remaining classes. The split was changed to 60/20/20 and the threshold swept and selected on the validation set only; the test set was untouched until the chosen threshold was applied once.</w:t>
      </w:r>
    </w:p>
    <w:tbl>
      <w:tblPr>
        <w:tblStyle w:val="TableGrid"/>
        <w:tblW w:w="9180" w:type="dxa"/>
        <w:tblLook w:val="04A0" w:firstRow="1" w:lastRow="0" w:firstColumn="1" w:lastColumn="0" w:noHBand="0" w:noVBand="1"/>
      </w:tblPr>
      <w:tblGrid>
        <w:gridCol w:w="1530"/>
        <w:gridCol w:w="1530"/>
        <w:gridCol w:w="1530"/>
        <w:gridCol w:w="1530"/>
        <w:gridCol w:w="1530"/>
        <w:gridCol w:w="1530"/>
      </w:tblGrid>
      <w:tr>
        <w:trPr>
          <w:tblHeader/>
        </w:trPr>
        <w:tc>
          <w:tcPr>
            <w:tcW w:w="1530" w:type="dxa"/>
            <w:shd w:val="clear" w:color="auto" w:fill="EFEFEF"/>
          </w:tcPr>
          <w:p>
            <w:pPr>
              <w:spacing w:after="40"/>
            </w:pPr>
            <w:r>
              <w:rPr>
                <w:rFonts w:ascii="Arial" w:hAnsi="Arial"/>
                <w:b/>
                <w:sz w:val="22"/>
              </w:rPr>
              <w:t xml:space="preserve">Configuration</w:t>
            </w:r>
          </w:p>
        </w:tc>
        <w:tc>
          <w:tcPr>
            <w:tcW w:w="1530" w:type="dxa"/>
            <w:shd w:val="clear" w:color="auto" w:fill="EFEFEF"/>
          </w:tcPr>
          <w:p>
            <w:pPr>
              <w:spacing w:after="40"/>
            </w:pPr>
            <w:r>
              <w:rPr>
                <w:rFonts w:ascii="Arial" w:hAnsi="Arial"/>
                <w:b/>
                <w:sz w:val="22"/>
              </w:rPr>
              <w:t xml:space="preserve">Bots precision</w:t>
            </w:r>
          </w:p>
        </w:tc>
        <w:tc>
          <w:tcPr>
            <w:tcW w:w="1530" w:type="dxa"/>
            <w:shd w:val="clear" w:color="auto" w:fill="EFEFEF"/>
          </w:tcPr>
          <w:p>
            <w:pPr>
              <w:spacing w:after="40"/>
            </w:pPr>
            <w:r>
              <w:rPr>
                <w:rFonts w:ascii="Arial" w:hAnsi="Arial"/>
                <w:b/>
                <w:sz w:val="22"/>
              </w:rPr>
              <w:t xml:space="preserve">Bots recall</w:t>
            </w:r>
          </w:p>
        </w:tc>
        <w:tc>
          <w:tcPr>
            <w:tcW w:w="1530" w:type="dxa"/>
            <w:shd w:val="clear" w:color="auto" w:fill="EFEFEF"/>
          </w:tcPr>
          <w:p>
            <w:pPr>
              <w:spacing w:after="40"/>
            </w:pPr>
            <w:r>
              <w:rPr>
                <w:rFonts w:ascii="Arial" w:hAnsi="Arial"/>
                <w:b/>
                <w:sz w:val="22"/>
              </w:rPr>
              <w:t xml:space="preserve">Bots F1</w:t>
            </w:r>
          </w:p>
        </w:tc>
        <w:tc>
          <w:tcPr>
            <w:tcW w:w="1530" w:type="dxa"/>
            <w:shd w:val="clear" w:color="auto" w:fill="EFEFEF"/>
          </w:tcPr>
          <w:p>
            <w:pPr>
              <w:spacing w:after="40"/>
            </w:pPr>
            <w:r>
              <w:rPr>
                <w:rFonts w:ascii="Arial" w:hAnsi="Arial"/>
                <w:b/>
                <w:sz w:val="22"/>
              </w:rPr>
              <w:t xml:space="preserve">Macro F1</w:t>
            </w:r>
          </w:p>
        </w:tc>
        <w:tc>
          <w:tcPr>
            <w:tcW w:w="1530" w:type="dxa"/>
            <w:shd w:val="clear" w:color="auto" w:fill="EFEFEF"/>
          </w:tcPr>
          <w:p>
            <w:pPr>
              <w:spacing w:after="40"/>
            </w:pPr>
            <w:r>
              <w:rPr>
                <w:rFonts w:ascii="Arial" w:hAnsi="Arial"/>
                <w:b/>
                <w:sz w:val="22"/>
              </w:rPr>
              <w:t xml:space="preserve">False positives</w:t>
            </w:r>
          </w:p>
        </w:tc>
      </w:tr>
      <w:tr>
        <w:tc>
          <w:tcPr>
            <w:tcW w:w="1530" w:type="dxa"/>
          </w:tcPr>
          <w:p>
            <w:pPr>
              <w:spacing w:after="40"/>
            </w:pPr>
            <w:r>
              <w:rPr>
                <w:rFonts w:ascii="Arial" w:hAnsi="Arial"/>
                <w:sz w:val="22"/>
              </w:rPr>
              <w:t xml:space="preserve">Argmax (baseline)</w:t>
            </w:r>
          </w:p>
        </w:tc>
        <w:tc>
          <w:tcPr>
            <w:tcW w:w="1530" w:type="dxa"/>
          </w:tcPr>
          <w:p>
            <w:pPr>
              <w:spacing w:after="40"/>
            </w:pPr>
            <w:r>
              <w:rPr>
                <w:rFonts w:ascii="Arial" w:hAnsi="Arial"/>
                <w:sz w:val="22"/>
              </w:rPr>
              <w:t xml:space="preserve">0.672</w:t>
            </w:r>
          </w:p>
        </w:tc>
        <w:tc>
          <w:tcPr>
            <w:tcW w:w="1530" w:type="dxa"/>
          </w:tcPr>
          <w:p>
            <w:pPr>
              <w:spacing w:after="40"/>
            </w:pPr>
            <w:r>
              <w:rPr>
                <w:rFonts w:ascii="Arial" w:hAnsi="Arial"/>
                <w:sz w:val="22"/>
              </w:rPr>
              <w:t xml:space="preserve">0.992</w:t>
            </w:r>
          </w:p>
        </w:tc>
        <w:tc>
          <w:tcPr>
            <w:tcW w:w="1530" w:type="dxa"/>
          </w:tcPr>
          <w:p>
            <w:pPr>
              <w:spacing w:after="40"/>
            </w:pPr>
            <w:r>
              <w:rPr>
                <w:rFonts w:ascii="Arial" w:hAnsi="Arial"/>
                <w:sz w:val="22"/>
              </w:rPr>
              <w:t xml:space="preserve">0.801</w:t>
            </w:r>
          </w:p>
        </w:tc>
        <w:tc>
          <w:tcPr>
            <w:tcW w:w="1530" w:type="dxa"/>
          </w:tcPr>
          <w:p>
            <w:pPr>
              <w:spacing w:after="40"/>
            </w:pPr>
            <w:r>
              <w:rPr>
                <w:rFonts w:ascii="Arial" w:hAnsi="Arial"/>
                <w:sz w:val="22"/>
              </w:rPr>
              <w:t xml:space="preserve">0.9682</w:t>
            </w:r>
          </w:p>
        </w:tc>
        <w:tc>
          <w:tcPr>
            <w:tcW w:w="1530" w:type="dxa"/>
          </w:tcPr>
          <w:p>
            <w:pPr>
              <w:spacing w:after="40"/>
            </w:pPr>
            <w:r>
              <w:rPr>
                <w:rFonts w:ascii="Arial" w:hAnsi="Arial"/>
                <w:sz w:val="22"/>
              </w:rPr>
              <w:t xml:space="preserve">189</w:t>
            </w:r>
          </w:p>
        </w:tc>
      </w:tr>
      <w:tr>
        <w:tc>
          <w:tcPr>
            <w:tcW w:w="1530" w:type="dxa"/>
          </w:tcPr>
          <w:p>
            <w:pPr>
              <w:spacing w:after="40"/>
            </w:pPr>
            <w:r>
              <w:rPr>
                <w:rFonts w:ascii="Arial" w:hAnsi="Arial"/>
                <w:sz w:val="22"/>
              </w:rPr>
              <w:t xml:space="preserve">Threshold t = 0.99</w:t>
            </w:r>
          </w:p>
        </w:tc>
        <w:tc>
          <w:tcPr>
            <w:tcW w:w="1530" w:type="dxa"/>
          </w:tcPr>
          <w:p>
            <w:pPr>
              <w:spacing w:after="40"/>
            </w:pPr>
            <w:r>
              <w:rPr>
                <w:rFonts w:ascii="Arial" w:hAnsi="Arial"/>
                <w:sz w:val="22"/>
              </w:rPr>
              <w:t xml:space="preserve">0.742</w:t>
            </w:r>
          </w:p>
        </w:tc>
        <w:tc>
          <w:tcPr>
            <w:tcW w:w="1530" w:type="dxa"/>
          </w:tcPr>
          <w:p>
            <w:pPr>
              <w:spacing w:after="40"/>
            </w:pPr>
            <w:r>
              <w:rPr>
                <w:rFonts w:ascii="Arial" w:hAnsi="Arial"/>
                <w:sz w:val="22"/>
              </w:rPr>
              <w:t xml:space="preserve">0.939</w:t>
            </w:r>
          </w:p>
        </w:tc>
        <w:tc>
          <w:tcPr>
            <w:tcW w:w="1530" w:type="dxa"/>
          </w:tcPr>
          <w:p>
            <w:pPr>
              <w:spacing w:after="40"/>
            </w:pPr>
            <w:r>
              <w:rPr>
                <w:rFonts w:ascii="Arial" w:hAnsi="Arial"/>
                <w:sz w:val="22"/>
              </w:rPr>
              <w:t xml:space="preserve">0.829</w:t>
            </w:r>
          </w:p>
        </w:tc>
        <w:tc>
          <w:tcPr>
            <w:tcW w:w="1530" w:type="dxa"/>
          </w:tcPr>
          <w:p>
            <w:pPr>
              <w:spacing w:after="40"/>
            </w:pPr>
            <w:r>
              <w:rPr>
                <w:rFonts w:ascii="Arial" w:hAnsi="Arial"/>
                <w:sz w:val="22"/>
              </w:rPr>
              <w:t xml:space="preserve">0.9721</w:t>
            </w:r>
          </w:p>
        </w:tc>
        <w:tc>
          <w:tcPr>
            <w:tcW w:w="1530" w:type="dxa"/>
          </w:tcPr>
          <w:p>
            <w:pPr>
              <w:spacing w:after="40"/>
            </w:pPr>
            <w:r>
              <w:rPr>
                <w:rFonts w:ascii="Arial" w:hAnsi="Arial"/>
                <w:sz w:val="22"/>
              </w:rPr>
              <w:t xml:space="preserve">127</w:t>
            </w:r>
          </w:p>
        </w:tc>
      </w:tr>
    </w:tbl>
    <w:p>
      <w:pPr>
        <w:spacing w:after="120"/>
      </w:pPr>
    </w:p>
    <w:p>
      <w:pPr>
        <w:spacing w:after="120" w:line="276" w:lineRule="auto"/>
        <w:jc w:val="both"/>
      </w:pPr>
      <w:r>
        <w:rPr>
          <w:rFonts w:ascii="Arial" w:hAnsi="Arial"/>
          <w:sz w:val="22"/>
        </w:rPr>
        <w:t xml:space="preserve">Precision improved by 10.4% relative and false positives fell by 33%, at the cost of recall dropping from 0.992 to 0.939. Macro F1 improved rather than degraded, because the baseline was over-predicting Bots enough that trimming helped the aggregate.</w:t>
      </w:r>
    </w:p>
    <w:p>
      <w:pPr>
        <w:spacing w:after="120" w:line="276" w:lineRule="auto"/>
        <w:jc w:val="both"/>
      </w:pPr>
      <w:r>
        <w:rPr>
          <w:rFonts w:ascii="Arial" w:hAnsi="Arial"/>
          <w:sz w:val="22"/>
        </w:rPr>
        <w:t xml:space="preserve">Two limitations are recorded. No threshold anywhere on the sweep achieved precision of 0.90 or above; with 1,559 training samples this is a data-scarcity ceiling rather than a tuning failure. The optimum also pinned at the top of the swept range, meaning the true optimum may lie beyond it and that the model's probabilities may be poorly calibrated for this class.</w:t>
      </w:r>
    </w:p>
    <w:p>
      <w:pPr>
        <w:pStyle w:val="Heading2"/>
      </w:pPr>
      <w:r>
        <w:rPr>
          <w:rFonts w:ascii="Arial" w:hAnsi="Arial"/>
          <w:sz w:val="22"/>
        </w:rPr>
        <w:t xml:space="preserve">6. Cloud deployment</w:t>
      </w:r>
    </w:p>
    <w:p>
      <w:pPr>
        <w:pStyle w:val="Heading3"/>
      </w:pPr>
      <w:r>
        <w:rPr>
          <w:rFonts w:ascii="Arial" w:hAnsi="Arial"/>
          <w:sz w:val="22"/>
        </w:rPr>
        <w:t xml:space="preserve">6.1 Architecture</w:t>
      </w:r>
    </w:p>
    <w:tbl>
      <w:tblPr>
        <w:tblStyle w:val="TableGrid"/>
        <w:tblW w:w="9180" w:type="dxa"/>
        <w:tblLook w:val="04A0" w:firstRow="1" w:lastRow="0" w:firstColumn="1" w:lastColumn="0" w:noHBand="0" w:noVBand="1"/>
      </w:tblPr>
      <w:tblGrid>
        <w:gridCol w:w="3060"/>
        <w:gridCol w:w="3060"/>
        <w:gridCol w:w="3060"/>
      </w:tblGrid>
      <w:tr>
        <w:trPr>
          <w:tblHeader/>
        </w:trPr>
        <w:tc>
          <w:tcPr>
            <w:tcW w:w="3060" w:type="dxa"/>
            <w:shd w:val="clear" w:color="auto" w:fill="EFEFEF"/>
          </w:tcPr>
          <w:p>
            <w:pPr>
              <w:spacing w:after="40"/>
            </w:pPr>
            <w:r>
              <w:rPr>
                <w:rFonts w:ascii="Arial" w:hAnsi="Arial"/>
                <w:b/>
                <w:sz w:val="22"/>
              </w:rPr>
              <w:t xml:space="preserve">Layer</w:t>
            </w:r>
          </w:p>
        </w:tc>
        <w:tc>
          <w:tcPr>
            <w:tcW w:w="3060" w:type="dxa"/>
            <w:shd w:val="clear" w:color="auto" w:fill="EFEFEF"/>
          </w:tcPr>
          <w:p>
            <w:pPr>
              <w:spacing w:after="40"/>
            </w:pPr>
            <w:r>
              <w:rPr>
                <w:rFonts w:ascii="Arial" w:hAnsi="Arial"/>
                <w:b/>
                <w:sz w:val="22"/>
              </w:rPr>
              <w:t xml:space="preserve">Service</w:t>
            </w:r>
          </w:p>
        </w:tc>
        <w:tc>
          <w:tcPr>
            <w:tcW w:w="3060" w:type="dxa"/>
            <w:shd w:val="clear" w:color="auto" w:fill="EFEFEF"/>
          </w:tcPr>
          <w:p>
            <w:pPr>
              <w:spacing w:after="40"/>
            </w:pPr>
            <w:r>
              <w:rPr>
                <w:rFonts w:ascii="Arial" w:hAnsi="Arial"/>
                <w:b/>
                <w:sz w:val="22"/>
              </w:rPr>
              <w:t xml:space="preserve">Configuration</w:t>
            </w:r>
          </w:p>
        </w:tc>
      </w:tr>
      <w:tr>
        <w:tc>
          <w:tcPr>
            <w:tcW w:w="3060" w:type="dxa"/>
          </w:tcPr>
          <w:p>
            <w:pPr>
              <w:spacing w:after="40"/>
            </w:pPr>
            <w:r>
              <w:rPr>
                <w:rFonts w:ascii="Arial" w:hAnsi="Arial"/>
                <w:sz w:val="22"/>
              </w:rPr>
              <w:t xml:space="preserve">Storage</w:t>
            </w:r>
          </w:p>
        </w:tc>
        <w:tc>
          <w:tcPr>
            <w:tcW w:w="3060" w:type="dxa"/>
          </w:tcPr>
          <w:p>
            <w:pPr>
              <w:spacing w:after="40"/>
            </w:pPr>
            <w:r>
              <w:rPr>
                <w:rFonts w:ascii="Arial" w:hAnsi="Arial"/>
                <w:sz w:val="22"/>
              </w:rPr>
              <w:t xml:space="preserve">S3</w:t>
            </w:r>
          </w:p>
        </w:tc>
        <w:tc>
          <w:tcPr>
            <w:tcW w:w="3060" w:type="dxa"/>
          </w:tcPr>
          <w:p>
            <w:pPr>
              <w:spacing w:after="40"/>
            </w:pPr>
            <w:r>
              <w:rPr>
                <w:rFonts w:ascii="Arial" w:hAnsi="Arial"/>
                <w:sz w:val="22"/>
              </w:rPr>
              <w:t xml:space="preserve">Private bucket, SSE-S3, versioning enabled, TLS enforced</w:t>
            </w:r>
          </w:p>
        </w:tc>
      </w:tr>
      <w:tr>
        <w:tc>
          <w:tcPr>
            <w:tcW w:w="3060" w:type="dxa"/>
          </w:tcPr>
          <w:p>
            <w:pPr>
              <w:spacing w:after="40"/>
            </w:pPr>
            <w:r>
              <w:rPr>
                <w:rFonts w:ascii="Arial" w:hAnsi="Arial"/>
                <w:sz w:val="22"/>
              </w:rPr>
              <w:t xml:space="preserve">Compute</w:t>
            </w:r>
          </w:p>
        </w:tc>
        <w:tc>
          <w:tcPr>
            <w:tcW w:w="3060" w:type="dxa"/>
          </w:tcPr>
          <w:p>
            <w:pPr>
              <w:spacing w:after="40"/>
            </w:pPr>
            <w:r>
              <w:rPr>
                <w:rFonts w:ascii="Arial" w:hAnsi="Arial"/>
                <w:sz w:val="22"/>
              </w:rPr>
              <w:t xml:space="preserve">Lambda</w:t>
            </w:r>
          </w:p>
        </w:tc>
        <w:tc>
          <w:tcPr>
            <w:tcW w:w="3060" w:type="dxa"/>
          </w:tcPr>
          <w:p>
            <w:pPr>
              <w:spacing w:after="40"/>
            </w:pPr>
            <w:r>
              <w:rPr>
                <w:rFonts w:ascii="Arial" w:hAnsi="Arial"/>
                <w:sz w:val="22"/>
              </w:rPr>
              <w:t xml:space="preserve">Python 3.12, arm64 Graviton, 1024 MB, 30 s timeout</w:t>
            </w:r>
          </w:p>
        </w:tc>
      </w:tr>
      <w:tr>
        <w:tc>
          <w:tcPr>
            <w:tcW w:w="3060" w:type="dxa"/>
          </w:tcPr>
          <w:p>
            <w:pPr>
              <w:spacing w:after="40"/>
            </w:pPr>
            <w:r>
              <w:rPr>
                <w:rFonts w:ascii="Arial" w:hAnsi="Arial"/>
                <w:sz w:val="22"/>
              </w:rPr>
              <w:t xml:space="preserve">Network</w:t>
            </w:r>
          </w:p>
        </w:tc>
        <w:tc>
          <w:tcPr>
            <w:tcW w:w="3060" w:type="dxa"/>
          </w:tcPr>
          <w:p>
            <w:pPr>
              <w:spacing w:after="40"/>
            </w:pPr>
            <w:r>
              <w:rPr>
                <w:rFonts w:ascii="Arial" w:hAnsi="Arial"/>
                <w:sz w:val="22"/>
              </w:rPr>
              <w:t xml:space="preserve">VPC</w:t>
            </w:r>
          </w:p>
        </w:tc>
        <w:tc>
          <w:tcPr>
            <w:tcW w:w="3060" w:type="dxa"/>
          </w:tcPr>
          <w:p>
            <w:pPr>
              <w:spacing w:after="40"/>
            </w:pPr>
            <w:r>
              <w:rPr>
                <w:rFonts w:ascii="Arial" w:hAnsi="Arial"/>
                <w:sz w:val="22"/>
              </w:rPr>
              <w:t xml:space="preserve">Two private subnets, no internet gateway, no NAT gateway</w:t>
            </w:r>
          </w:p>
        </w:tc>
      </w:tr>
      <w:tr>
        <w:tc>
          <w:tcPr>
            <w:tcW w:w="3060" w:type="dxa"/>
          </w:tcPr>
          <w:p>
            <w:pPr>
              <w:spacing w:after="40"/>
            </w:pPr>
            <w:r>
              <w:rPr>
                <w:rFonts w:ascii="Arial" w:hAnsi="Arial"/>
                <w:sz w:val="22"/>
              </w:rPr>
              <w:t xml:space="preserve">AWS access</w:t>
            </w:r>
          </w:p>
        </w:tc>
        <w:tc>
          <w:tcPr>
            <w:tcW w:w="3060" w:type="dxa"/>
          </w:tcPr>
          <w:p>
            <w:pPr>
              <w:spacing w:after="40"/>
            </w:pPr>
            <w:r>
              <w:rPr>
                <w:rFonts w:ascii="Arial" w:hAnsi="Arial"/>
                <w:sz w:val="22"/>
              </w:rPr>
              <w:t xml:space="preserve">VPC gateway endpoint</w:t>
            </w:r>
          </w:p>
        </w:tc>
        <w:tc>
          <w:tcPr>
            <w:tcW w:w="3060" w:type="dxa"/>
          </w:tcPr>
          <w:p>
            <w:pPr>
              <w:spacing w:after="40"/>
            </w:pPr>
            <w:r>
              <w:rPr>
                <w:rFonts w:ascii="Arial" w:hAnsi="Arial"/>
                <w:sz w:val="22"/>
              </w:rPr>
              <w:t xml:space="preserve">S3 only, no charge</w:t>
            </w:r>
          </w:p>
        </w:tc>
      </w:tr>
      <w:tr>
        <w:tc>
          <w:tcPr>
            <w:tcW w:w="3060" w:type="dxa"/>
          </w:tcPr>
          <w:p>
            <w:pPr>
              <w:spacing w:after="40"/>
            </w:pPr>
            <w:r>
              <w:rPr>
                <w:rFonts w:ascii="Arial" w:hAnsi="Arial"/>
                <w:sz w:val="22"/>
              </w:rPr>
              <w:t xml:space="preserve">Identity</w:t>
            </w:r>
          </w:p>
        </w:tc>
        <w:tc>
          <w:tcPr>
            <w:tcW w:w="3060" w:type="dxa"/>
          </w:tcPr>
          <w:p>
            <w:pPr>
              <w:spacing w:after="40"/>
            </w:pPr>
            <w:r>
              <w:rPr>
                <w:rFonts w:ascii="Arial" w:hAnsi="Arial"/>
                <w:sz w:val="22"/>
              </w:rPr>
              <w:t xml:space="preserve">IAM role</w:t>
            </w:r>
          </w:p>
        </w:tc>
        <w:tc>
          <w:tcPr>
            <w:tcW w:w="3060" w:type="dxa"/>
          </w:tcPr>
          <w:p>
            <w:pPr>
              <w:spacing w:after="40"/>
            </w:pPr>
            <w:r>
              <w:rPr>
                <w:rFonts w:ascii="Arial" w:hAnsi="Arial"/>
                <w:sz w:val="22"/>
              </w:rPr>
              <w:t xml:space="preserve">Inline read on a single S3 prefix, plus managed log and ENI policies</w:t>
            </w:r>
          </w:p>
        </w:tc>
      </w:tr>
      <w:tr>
        <w:tc>
          <w:tcPr>
            <w:tcW w:w="3060" w:type="dxa"/>
          </w:tcPr>
          <w:p>
            <w:pPr>
              <w:spacing w:after="40"/>
            </w:pPr>
            <w:r>
              <w:rPr>
                <w:rFonts w:ascii="Arial" w:hAnsi="Arial"/>
                <w:sz w:val="22"/>
              </w:rPr>
              <w:t xml:space="preserve">Interface</w:t>
            </w:r>
          </w:p>
        </w:tc>
        <w:tc>
          <w:tcPr>
            <w:tcW w:w="3060" w:type="dxa"/>
          </w:tcPr>
          <w:p>
            <w:pPr>
              <w:spacing w:after="40"/>
            </w:pPr>
            <w:r>
              <w:rPr>
                <w:rFonts w:ascii="Arial" w:hAnsi="Arial"/>
                <w:sz w:val="22"/>
              </w:rPr>
              <w:t xml:space="preserve">Lambda Function URL</w:t>
            </w:r>
          </w:p>
        </w:tc>
        <w:tc>
          <w:tcPr>
            <w:tcW w:w="3060" w:type="dxa"/>
          </w:tcPr>
          <w:p>
            <w:pPr>
              <w:spacing w:after="40"/>
            </w:pPr>
            <w:r>
              <w:rPr>
                <w:rFonts w:ascii="Arial" w:hAnsi="Arial"/>
                <w:sz w:val="22"/>
              </w:rPr>
              <w:t xml:space="preserve">AWS_IAM authentication, SigV4-signed requests</w:t>
            </w:r>
          </w:p>
        </w:tc>
      </w:tr>
      <w:tr>
        <w:tc>
          <w:tcPr>
            <w:tcW w:w="3060" w:type="dxa"/>
          </w:tcPr>
          <w:p>
            <w:pPr>
              <w:spacing w:after="40"/>
            </w:pPr>
            <w:r>
              <w:rPr>
                <w:rFonts w:ascii="Arial" w:hAnsi="Arial"/>
                <w:sz w:val="22"/>
              </w:rPr>
              <w:t xml:space="preserve">Observability</w:t>
            </w:r>
          </w:p>
        </w:tc>
        <w:tc>
          <w:tcPr>
            <w:tcW w:w="3060" w:type="dxa"/>
          </w:tcPr>
          <w:p>
            <w:pPr>
              <w:spacing w:after="40"/>
            </w:pPr>
            <w:r>
              <w:rPr>
                <w:rFonts w:ascii="Arial" w:hAnsi="Arial"/>
                <w:sz w:val="22"/>
              </w:rPr>
              <w:t xml:space="preserve">CloudWatch Logs</w:t>
            </w:r>
          </w:p>
        </w:tc>
        <w:tc>
          <w:tcPr>
            <w:tcW w:w="3060" w:type="dxa"/>
          </w:tcPr>
          <w:p>
            <w:pPr>
              <w:spacing w:after="40"/>
            </w:pPr>
            <w:r>
              <w:rPr>
                <w:rFonts w:ascii="Arial" w:hAnsi="Arial"/>
                <w:sz w:val="22"/>
              </w:rPr>
              <w:t xml:space="preserve">Structured invocation logging</w:t>
            </w:r>
          </w:p>
        </w:tc>
      </w:tr>
    </w:tbl>
    <w:p>
      <w:pPr>
        <w:spacing w:after="120"/>
      </w:pPr>
    </w:p>
    <w:p>
      <w:pPr>
        <w:pStyle w:val="Heading3"/>
      </w:pPr>
      <w:r>
        <w:rPr>
          <w:rFonts w:ascii="Arial" w:hAnsi="Arial"/>
          <w:sz w:val="22"/>
        </w:rPr>
        <w:t xml:space="preserve">6.2 Design decisions and their justifications</w:t>
      </w:r>
    </w:p>
    <w:p>
      <w:pPr>
        <w:spacing w:after="120" w:line="276" w:lineRule="auto"/>
        <w:jc w:val="both"/>
      </w:pPr>
      <w:r>
        <w:rPr>
          <w:rFonts w:ascii="Arial" w:hAnsi="Arial"/>
          <w:b/>
          <w:sz w:val="22"/>
        </w:rPr>
        <w:t xml:space="preserve">ONNX instead of a pickled model.</w:t>
      </w:r>
      <w:r>
        <w:rPr>
          <w:rFonts w:ascii="Arial" w:hAnsi="Arial"/>
          <w:sz w:val="22"/>
        </w:rPr>
        <w:t xml:space="preserve"> Loading a pickle deserialises and executes arbitrary Python bytecode, so an attacker able to write to the model object would achieve remote code execution in the inference environment. ONNX is a data format parsed by a runtime, not executed, removing that vector. It also reduces the inference dependency footprint from roughly 300 MB to about 15 MB, bringing the deployment package under Lambda's size limit without a container image. Conversion was verified against the source model on 5,000 held-out samples: maximum probability difference 2.384e-07, label agreement exactly 1.000000. The export script refuses to write artefacts if verification fails.</w:t>
      </w:r>
    </w:p>
    <w:p>
      <w:pPr>
        <w:spacing w:after="120" w:line="276" w:lineRule="auto"/>
        <w:jc w:val="both"/>
      </w:pPr>
      <w:r>
        <w:rPr>
          <w:rFonts w:ascii="Arial" w:hAnsi="Arial"/>
          <w:b/>
          <w:sz w:val="22"/>
        </w:rPr>
        <w:t xml:space="preserve">arm64 Graviton instead of x86_64.</w:t>
      </w:r>
      <w:r>
        <w:rPr>
          <w:rFonts w:ascii="Arial" w:hAnsi="Arial"/>
          <w:sz w:val="22"/>
        </w:rPr>
        <w:t xml:space="preserve"> Building x86_64 images on an M1 requires emulation, which is slow for machine learning dependencies. Graviton gives native local builds and approximately 20% lower cost per GB-second.</w:t>
      </w:r>
    </w:p>
    <w:p>
      <w:pPr>
        <w:spacing w:after="120" w:line="276" w:lineRule="auto"/>
        <w:jc w:val="both"/>
      </w:pPr>
      <w:r>
        <w:rPr>
          <w:rFonts w:ascii="Arial" w:hAnsi="Arial"/>
          <w:b/>
          <w:sz w:val="22"/>
        </w:rPr>
        <w:t xml:space="preserve">Lambda Function URL instead of API Gateway.</w:t>
      </w:r>
      <w:r>
        <w:rPr>
          <w:rFonts w:ascii="Arial" w:hAnsi="Arial"/>
          <w:sz w:val="22"/>
        </w:rPr>
        <w:t xml:space="preserve"> API Gateway's free allowance is time-limited under the current AWS Free Plan; Function URLs are free and support IAM authentication. The accepted limitation is the loss of request throttling, WAF integration, and usage plans.</w:t>
      </w:r>
    </w:p>
    <w:p>
      <w:pPr>
        <w:spacing w:after="120" w:line="276" w:lineRule="auto"/>
        <w:jc w:val="both"/>
      </w:pPr>
      <w:r>
        <w:rPr>
          <w:rFonts w:ascii="Arial" w:hAnsi="Arial"/>
          <w:b/>
          <w:sz w:val="22"/>
        </w:rPr>
        <w:t xml:space="preserve">S3 gateway endpoint instead of a NAT gateway.</w:t>
      </w:r>
      <w:r>
        <w:rPr>
          <w:rFonts w:ascii="Arial" w:hAnsi="Arial"/>
          <w:sz w:val="22"/>
        </w:rPr>
        <w:t xml:space="preserve"> The conventional pattern for a private-subnet Lambda needing AWS API access is a NAT gateway at approximately $32 per month, which would exhaust the account credit within six months of idle operation. A gateway endpoint provides the same private connectivity at no charge.</w:t>
      </w:r>
    </w:p>
    <w:p>
      <w:pPr>
        <w:spacing w:after="120" w:line="276" w:lineRule="auto"/>
        <w:jc w:val="both"/>
      </w:pPr>
      <w:r>
        <w:rPr>
          <w:rFonts w:ascii="Arial" w:hAnsi="Arial"/>
          <w:b/>
          <w:sz w:val="22"/>
        </w:rPr>
        <w:t xml:space="preserve">SSE-S3 instead of SSE-KMS.</w:t>
      </w:r>
      <w:r>
        <w:rPr>
          <w:rFonts w:ascii="Arial" w:hAnsi="Arial"/>
          <w:sz w:val="22"/>
        </w:rPr>
        <w:t xml:space="preserve"> A customer-managed key would give rotation control and per-request audit granularity but costs $1 per month. The accepted limitation is reduced key management control and no separate key-usage audit trail.</w:t>
      </w:r>
    </w:p>
    <w:p>
      <w:pPr>
        <w:pStyle w:val="Heading3"/>
      </w:pPr>
      <w:r>
        <w:rPr>
          <w:rFonts w:ascii="Arial" w:hAnsi="Arial"/>
          <w:sz w:val="22"/>
        </w:rPr>
        <w:t xml:space="preserve">6.3 Identity and access</w:t>
      </w:r>
    </w:p>
    <w:p>
      <w:pPr>
        <w:spacing w:after="120" w:line="276" w:lineRule="auto"/>
        <w:jc w:val="both"/>
      </w:pPr>
      <w:r>
        <w:rPr>
          <w:rFonts w:ascii="Arial" w:hAnsi="Arial"/>
          <w:sz w:val="22"/>
        </w:rPr>
        <w:t xml:space="preserve">The execution role trusts only the Lambda service. Its entire S3 grant is a single statement permitting object reads on one prefix of one bucket.</w:t>
      </w:r>
    </w:p>
    <w:p>
      <w:pPr>
        <w:spacing w:after="120" w:line="276" w:lineRule="auto"/>
        <w:jc w:val="both"/>
      </w:pPr>
      <w:r>
        <w:rPr>
          <w:rFonts w:ascii="Arial" w:hAnsi="Arial"/>
          <w:sz w:val="22"/>
        </w:rPr>
        <w:t xml:space="preserve">What is deliberately absent matters more than what is present. There is no write permission, so a compromised function cannot overwrite the model, which is the primary data-poisoning mitigation. There is no list permission, so the bucket cannot be enumerated. There are no wildcard actions or resources.</w:t>
      </w:r>
    </w:p>
    <w:p>
      <w:pPr>
        <w:spacing w:after="120" w:line="276" w:lineRule="auto"/>
        <w:jc w:val="both"/>
      </w:pPr>
      <w:r>
        <w:rPr>
          <w:rFonts w:ascii="Arial" w:hAnsi="Arial"/>
          <w:sz w:val="22"/>
        </w:rPr>
        <w:t xml:space="preserve">Two AWS-managed policies are attached for CloudWatch Logs and network interface management. Both grant their actions on all resources, which is broader than necessary; replacing them with scoped inline equivalents is recorded as outstanding hardening work.</w:t>
      </w:r>
    </w:p>
    <w:p>
      <w:pPr>
        <w:pStyle w:val="Heading3"/>
      </w:pPr>
      <w:r>
        <w:rPr>
          <w:rFonts w:ascii="Arial" w:hAnsi="Arial"/>
          <w:sz w:val="22"/>
        </w:rPr>
        <w:t xml:space="preserve">6.4 Network controls</w:t>
      </w:r>
    </w:p>
    <w:p>
      <w:pPr>
        <w:spacing w:after="120" w:line="276" w:lineRule="auto"/>
        <w:jc w:val="both"/>
      </w:pPr>
      <w:r>
        <w:rPr>
          <w:rFonts w:ascii="Arial" w:hAnsi="Arial"/>
          <w:sz w:val="22"/>
        </w:rPr>
        <w:t xml:space="preserve">The VPC uses CIDR 10.0.0.0/16 with two private subnets across availability zones, as Lambda requires multiple zones. The route table contains no internet gateway and no NAT gateway. AWS creates security groups permitting unrestricted outbound traffic by default; this was explicitly revoked and replaced with HTTPS egress to the S3 managed prefix list only, constraining data exfiltration paths.</w:t>
      </w:r>
    </w:p>
    <w:p>
      <w:pPr>
        <w:pStyle w:val="Heading3"/>
      </w:pPr>
      <w:r>
        <w:rPr>
          <w:rFonts w:ascii="Arial" w:hAnsi="Arial"/>
          <w:sz w:val="22"/>
        </w:rPr>
        <w:t xml:space="preserve">6.5 Measured results</w:t>
      </w:r>
    </w:p>
    <w:tbl>
      <w:tblPr>
        <w:tblStyle w:val="TableGrid"/>
        <w:tblW w:w="9180" w:type="dxa"/>
        <w:tblLook w:val="04A0" w:firstRow="1" w:lastRow="0" w:firstColumn="1" w:lastColumn="0" w:noHBand="0" w:noVBand="1"/>
      </w:tblPr>
      <w:tblGrid>
        <w:gridCol w:w="3060"/>
        <w:gridCol w:w="3060"/>
        <w:gridCol w:w="3060"/>
      </w:tblGrid>
      <w:tr>
        <w:trPr>
          <w:tblHeader/>
        </w:trPr>
        <w:tc>
          <w:tcPr>
            <w:tcW w:w="3060" w:type="dxa"/>
            <w:shd w:val="clear" w:color="auto" w:fill="EFEFEF"/>
          </w:tcPr>
          <w:p>
            <w:pPr>
              <w:spacing w:after="40"/>
            </w:pPr>
            <w:r>
              <w:rPr>
                <w:rFonts w:ascii="Arial" w:hAnsi="Arial"/>
                <w:b/>
                <w:sz w:val="22"/>
              </w:rPr>
              <w:t xml:space="preserve">Metric</w:t>
            </w:r>
          </w:p>
        </w:tc>
        <w:tc>
          <w:tcPr>
            <w:tcW w:w="3060" w:type="dxa"/>
            <w:shd w:val="clear" w:color="auto" w:fill="EFEFEF"/>
          </w:tcPr>
          <w:p>
            <w:pPr>
              <w:spacing w:after="40"/>
            </w:pPr>
            <w:r>
              <w:rPr>
                <w:rFonts w:ascii="Arial" w:hAnsi="Arial"/>
                <w:b/>
                <w:sz w:val="22"/>
              </w:rPr>
              <w:t xml:space="preserve">Public deployment</w:t>
            </w:r>
          </w:p>
        </w:tc>
        <w:tc>
          <w:tcPr>
            <w:tcW w:w="3060" w:type="dxa"/>
            <w:shd w:val="clear" w:color="auto" w:fill="EFEFEF"/>
          </w:tcPr>
          <w:p>
            <w:pPr>
              <w:spacing w:after="40"/>
            </w:pPr>
            <w:r>
              <w:rPr>
                <w:rFonts w:ascii="Arial" w:hAnsi="Arial"/>
                <w:b/>
                <w:sz w:val="22"/>
              </w:rPr>
              <w:t xml:space="preserve">Private subnet</w:t>
            </w:r>
          </w:p>
        </w:tc>
      </w:tr>
      <w:tr>
        <w:tc>
          <w:tcPr>
            <w:tcW w:w="3060" w:type="dxa"/>
          </w:tcPr>
          <w:p>
            <w:pPr>
              <w:spacing w:after="40"/>
            </w:pPr>
            <w:r>
              <w:rPr>
                <w:rFonts w:ascii="Arial" w:hAnsi="Arial"/>
                <w:sz w:val="22"/>
              </w:rPr>
              <w:t xml:space="preserve">Init duration (cold start)</w:t>
            </w:r>
          </w:p>
        </w:tc>
        <w:tc>
          <w:tcPr>
            <w:tcW w:w="3060" w:type="dxa"/>
          </w:tcPr>
          <w:p>
            <w:pPr>
              <w:spacing w:after="40"/>
            </w:pPr>
            <w:r>
              <w:rPr>
                <w:rFonts w:ascii="Arial" w:hAnsi="Arial"/>
                <w:sz w:val="22"/>
              </w:rPr>
              <w:t xml:space="preserve">681 ms</w:t>
            </w:r>
          </w:p>
        </w:tc>
        <w:tc>
          <w:tcPr>
            <w:tcW w:w="3060" w:type="dxa"/>
          </w:tcPr>
          <w:p>
            <w:pPr>
              <w:spacing w:after="40"/>
            </w:pPr>
            <w:r>
              <w:rPr>
                <w:rFonts w:ascii="Arial" w:hAnsi="Arial"/>
                <w:sz w:val="22"/>
              </w:rPr>
              <w:t xml:space="preserve">649 ms</w:t>
            </w:r>
          </w:p>
        </w:tc>
      </w:tr>
      <w:tr>
        <w:tc>
          <w:tcPr>
            <w:tcW w:w="3060" w:type="dxa"/>
          </w:tcPr>
          <w:p>
            <w:pPr>
              <w:spacing w:after="40"/>
            </w:pPr>
            <w:r>
              <w:rPr>
                <w:rFonts w:ascii="Arial" w:hAnsi="Arial"/>
                <w:sz w:val="22"/>
              </w:rPr>
              <w:t xml:space="preserve">Invocation duration</w:t>
            </w:r>
          </w:p>
        </w:tc>
        <w:tc>
          <w:tcPr>
            <w:tcW w:w="3060" w:type="dxa"/>
          </w:tcPr>
          <w:p>
            <w:pPr>
              <w:spacing w:after="40"/>
            </w:pPr>
            <w:r>
              <w:rPr>
                <w:rFonts w:ascii="Arial" w:hAnsi="Arial"/>
                <w:sz w:val="22"/>
              </w:rPr>
              <w:t xml:space="preserve">618 ms</w:t>
            </w:r>
          </w:p>
        </w:tc>
        <w:tc>
          <w:tcPr>
            <w:tcW w:w="3060" w:type="dxa"/>
          </w:tcPr>
          <w:p>
            <w:pPr>
              <w:spacing w:after="40"/>
            </w:pPr>
            <w:r>
              <w:rPr>
                <w:rFonts w:ascii="Arial" w:hAnsi="Arial"/>
                <w:sz w:val="22"/>
              </w:rPr>
              <w:t xml:space="preserve">626 ms</w:t>
            </w:r>
          </w:p>
        </w:tc>
      </w:tr>
      <w:tr>
        <w:tc>
          <w:tcPr>
            <w:tcW w:w="3060" w:type="dxa"/>
          </w:tcPr>
          <w:p>
            <w:pPr>
              <w:spacing w:after="40"/>
            </w:pPr>
            <w:r>
              <w:rPr>
                <w:rFonts w:ascii="Arial" w:hAnsi="Arial"/>
                <w:sz w:val="22"/>
              </w:rPr>
              <w:t xml:space="preserve">Memory used of 1024 MB allocated</w:t>
            </w:r>
          </w:p>
        </w:tc>
        <w:tc>
          <w:tcPr>
            <w:tcW w:w="3060" w:type="dxa"/>
          </w:tcPr>
          <w:p>
            <w:pPr>
              <w:spacing w:after="40"/>
            </w:pPr>
            <w:r>
              <w:rPr>
                <w:rFonts w:ascii="Arial" w:hAnsi="Arial"/>
                <w:sz w:val="22"/>
              </w:rPr>
              <w:t xml:space="preserve">187 MB</w:t>
            </w:r>
          </w:p>
        </w:tc>
        <w:tc>
          <w:tcPr>
            <w:tcW w:w="3060" w:type="dxa"/>
          </w:tcPr>
          <w:p>
            <w:pPr>
              <w:spacing w:after="40"/>
            </w:pPr>
            <w:r>
              <w:rPr>
                <w:rFonts w:ascii="Arial" w:hAnsi="Arial"/>
                <w:sz w:val="22"/>
              </w:rPr>
              <w:t xml:space="preserve">187 MB</w:t>
            </w:r>
          </w:p>
        </w:tc>
      </w:tr>
    </w:tbl>
    <w:p>
      <w:pPr>
        <w:spacing w:after="120"/>
      </w:pPr>
    </w:p>
    <w:p>
      <w:pPr>
        <w:spacing w:after="120" w:line="276" w:lineRule="auto"/>
        <w:jc w:val="both"/>
      </w:pPr>
      <w:r>
        <w:rPr>
          <w:rFonts w:ascii="Arial" w:hAnsi="Arial"/>
          <w:b/>
          <w:sz w:val="22"/>
        </w:rPr>
        <w:t xml:space="preserve">The expected VPC cold-start penalty did not materialise.</w:t>
      </w:r>
      <w:r>
        <w:rPr>
          <w:rFonts w:ascii="Arial" w:hAnsi="Arial"/>
          <w:sz w:val="22"/>
        </w:rPr>
        <w:t xml:space="preserve"> Historically, VPC-attached Lambda functions incurred an 8 to 10 second penalty while a network interface was provisioned per invocation. AWS re-architected this in 2019 to use pre-provisioned, function-level interfaces. Much published guidance still advises against VPC attachment on the basis of the older behaviour. This measurement contradicts that guidance directly.</w:t>
      </w:r>
    </w:p>
    <w:p>
      <w:pPr>
        <w:spacing w:after="120" w:line="276" w:lineRule="auto"/>
        <w:jc w:val="both"/>
      </w:pPr>
      <w:r>
        <w:rPr>
          <w:rFonts w:ascii="Arial" w:hAnsi="Arial"/>
          <w:sz w:val="22"/>
        </w:rPr>
        <w:t xml:space="preserve">Memory utilisation at 18% of allocation suggests the allocation can be reduced. Since Lambda scales CPU proportionally to memory, this is a latency-versus-cost trade-off rather than waste, and measuring the curve is recorded as further work.</w:t>
      </w:r>
    </w:p>
    <w:p>
      <w:pPr>
        <w:pStyle w:val="Heading3"/>
      </w:pPr>
      <w:r>
        <w:rPr>
          <w:rFonts w:ascii="Arial" w:hAnsi="Arial"/>
          <w:sz w:val="22"/>
        </w:rPr>
        <w:t xml:space="preserve">6.6 Authentication verification</w:t>
      </w:r>
    </w:p>
    <w:tbl>
      <w:tblPr>
        <w:tblStyle w:val="TableGrid"/>
        <w:tblW w:w="9180" w:type="dxa"/>
        <w:tblLook w:val="04A0" w:firstRow="1" w:lastRow="0" w:firstColumn="1" w:lastColumn="0" w:noHBand="0" w:noVBand="1"/>
      </w:tblPr>
      <w:tblGrid>
        <w:gridCol w:w="3060"/>
        <w:gridCol w:w="3060"/>
        <w:gridCol w:w="3060"/>
      </w:tblGrid>
      <w:tr>
        <w:trPr>
          <w:tblHeader/>
        </w:trPr>
        <w:tc>
          <w:tcPr>
            <w:tcW w:w="3060" w:type="dxa"/>
            <w:shd w:val="clear" w:color="auto" w:fill="EFEFEF"/>
          </w:tcPr>
          <w:p>
            <w:pPr>
              <w:spacing w:after="40"/>
            </w:pPr>
            <w:r>
              <w:rPr>
                <w:rFonts w:ascii="Arial" w:hAnsi="Arial"/>
                <w:b/>
                <w:sz w:val="22"/>
              </w:rPr>
              <w:t xml:space="preserve">Test</w:t>
            </w:r>
          </w:p>
        </w:tc>
        <w:tc>
          <w:tcPr>
            <w:tcW w:w="3060" w:type="dxa"/>
            <w:shd w:val="clear" w:color="auto" w:fill="EFEFEF"/>
          </w:tcPr>
          <w:p>
            <w:pPr>
              <w:spacing w:after="40"/>
            </w:pPr>
            <w:r>
              <w:rPr>
                <w:rFonts w:ascii="Arial" w:hAnsi="Arial"/>
                <w:b/>
                <w:sz w:val="22"/>
              </w:rPr>
              <w:t xml:space="preserve">Request</w:t>
            </w:r>
          </w:p>
        </w:tc>
        <w:tc>
          <w:tcPr>
            <w:tcW w:w="3060" w:type="dxa"/>
            <w:shd w:val="clear" w:color="auto" w:fill="EFEFEF"/>
          </w:tcPr>
          <w:p>
            <w:pPr>
              <w:spacing w:after="40"/>
            </w:pPr>
            <w:r>
              <w:rPr>
                <w:rFonts w:ascii="Arial" w:hAnsi="Arial"/>
                <w:b/>
                <w:sz w:val="22"/>
              </w:rPr>
              <w:t xml:space="preserve">Result</w:t>
            </w:r>
          </w:p>
        </w:tc>
      </w:tr>
      <w:tr>
        <w:tc>
          <w:tcPr>
            <w:tcW w:w="3060" w:type="dxa"/>
          </w:tcPr>
          <w:p>
            <w:pPr>
              <w:spacing w:after="40"/>
            </w:pPr>
            <w:r>
              <w:rPr>
                <w:rFonts w:ascii="Arial" w:hAnsi="Arial"/>
                <w:sz w:val="22"/>
              </w:rPr>
              <w:t xml:space="preserve">1</w:t>
            </w:r>
          </w:p>
        </w:tc>
        <w:tc>
          <w:tcPr>
            <w:tcW w:w="3060" w:type="dxa"/>
          </w:tcPr>
          <w:p>
            <w:pPr>
              <w:spacing w:after="40"/>
            </w:pPr>
            <w:r>
              <w:rPr>
                <w:rFonts w:ascii="Arial" w:hAnsi="Arial"/>
                <w:sz w:val="22"/>
              </w:rPr>
              <w:t xml:space="preserve">Unsigned POST to the endpoint</w:t>
            </w:r>
          </w:p>
        </w:tc>
        <w:tc>
          <w:tcPr>
            <w:tcW w:w="3060" w:type="dxa"/>
          </w:tcPr>
          <w:p>
            <w:pPr>
              <w:spacing w:after="40"/>
            </w:pPr>
            <w:r>
              <w:rPr>
                <w:rFonts w:ascii="Arial" w:hAnsi="Arial"/>
                <w:sz w:val="22"/>
              </w:rPr>
              <w:t xml:space="preserve">HTTP 403</w:t>
            </w:r>
          </w:p>
        </w:tc>
      </w:tr>
      <w:tr>
        <w:tc>
          <w:tcPr>
            <w:tcW w:w="3060" w:type="dxa"/>
          </w:tcPr>
          <w:p>
            <w:pPr>
              <w:spacing w:after="40"/>
            </w:pPr>
            <w:r>
              <w:rPr>
                <w:rFonts w:ascii="Arial" w:hAnsi="Arial"/>
                <w:sz w:val="22"/>
              </w:rPr>
              <w:t xml:space="preserve">2</w:t>
            </w:r>
          </w:p>
        </w:tc>
        <w:tc>
          <w:tcPr>
            <w:tcW w:w="3060" w:type="dxa"/>
          </w:tcPr>
          <w:p>
            <w:pPr>
              <w:spacing w:after="40"/>
            </w:pPr>
            <w:r>
              <w:rPr>
                <w:rFonts w:ascii="Arial" w:hAnsi="Arial"/>
                <w:sz w:val="22"/>
              </w:rPr>
              <w:t xml:space="preserve">SigV4-signed POST</w:t>
            </w:r>
          </w:p>
        </w:tc>
        <w:tc>
          <w:tcPr>
            <w:tcW w:w="3060" w:type="dxa"/>
          </w:tcPr>
          <w:p>
            <w:pPr>
              <w:spacing w:after="40"/>
            </w:pPr>
            <w:r>
              <w:rPr>
                <w:rFonts w:ascii="Arial" w:hAnsi="Arial"/>
                <w:sz w:val="22"/>
              </w:rPr>
              <w:t xml:space="preserve">HTTP 200, prediction returned</w:t>
            </w:r>
          </w:p>
        </w:tc>
      </w:tr>
    </w:tbl>
    <w:p>
      <w:pPr>
        <w:spacing w:after="120"/>
      </w:pPr>
    </w:p>
    <w:p>
      <w:pPr>
        <w:spacing w:after="120" w:line="276" w:lineRule="auto"/>
        <w:jc w:val="both"/>
      </w:pPr>
      <w:r>
        <w:rPr>
          <w:rFonts w:ascii="Arial" w:hAnsi="Arial"/>
          <w:sz w:val="22"/>
        </w:rPr>
        <w:t xml:space="preserve">The endpoint is not publicly invokable. Authorisation requires both a valid signature and an allowing statement in the function's resource policy: two independent conditions.</w:t>
      </w:r>
    </w:p>
    <w:p>
      <w:pPr>
        <w:spacing w:after="120" w:line="276" w:lineRule="auto"/>
        <w:jc w:val="both"/>
      </w:pPr>
      <w:r>
        <w:rPr>
          <w:rFonts w:ascii="Arial" w:hAnsi="Arial"/>
          <w:sz w:val="22"/>
        </w:rPr>
        <w:t xml:space="preserve">Three distinct policy types now govern this system: identity-based on the execution role, resource-based on the S3 bucket, and resource-based on the Lambda function. Each fails independently, which is the practical meaning of defence in depth in this architecture.</w:t>
      </w:r>
    </w:p>
    <w:p>
      <w:pPr>
        <w:pStyle w:val="Heading3"/>
      </w:pPr>
      <w:r>
        <w:rPr>
          <w:rFonts w:ascii="Arial" w:hAnsi="Arial"/>
          <w:sz w:val="22"/>
        </w:rPr>
        <w:t xml:space="preserve">6.7 Functional verification</w:t>
      </w:r>
    </w:p>
    <w:p>
      <w:pPr>
        <w:spacing w:after="120" w:line="276" w:lineRule="auto"/>
        <w:jc w:val="both"/>
      </w:pPr>
      <w:r>
        <w:rPr>
          <w:rFonts w:ascii="Arial" w:hAnsi="Arial"/>
          <w:sz w:val="22"/>
        </w:rPr>
        <w:t xml:space="preserve">Thirty-five real flows, five per class, drawn from the held-out test split and scored through the deployed endpoint: 35 of 35 correct. Repeated after VPC attachment with the same result, confirming that the gateway endpoint routes model retrieval correctly with no internet path present.</w:t>
      </w:r>
    </w:p>
    <w:p>
      <w:pPr>
        <w:spacing w:after="120" w:line="276" w:lineRule="auto"/>
        <w:jc w:val="both"/>
      </w:pPr>
      <w:r>
        <w:rPr>
          <w:rFonts w:ascii="Arial" w:hAnsi="Arial"/>
          <w:sz w:val="22"/>
        </w:rPr>
        <w:t xml:space="preserve">This is a deployment sanity check rather than a performance measurement. The sample was small and non-random. Reported model performance remains the E4 test-set figures.</w:t>
      </w:r>
    </w:p>
    <w:p>
      <w:pPr>
        <w:pStyle w:val="Heading2"/>
      </w:pPr>
      <w:r>
        <w:rPr>
          <w:rFonts w:ascii="Arial" w:hAnsi="Arial"/>
          <w:sz w:val="22"/>
        </w:rPr>
        <w:t xml:space="preserve">7. Analyst console</w:t>
      </w:r>
    </w:p>
    <w:p>
      <w:pPr>
        <w:spacing w:after="120" w:line="276" w:lineRule="auto"/>
        <w:jc w:val="both"/>
      </w:pPr>
      <w:r>
        <w:rPr>
          <w:rFonts w:ascii="Arial" w:hAnsi="Arial"/>
          <w:sz w:val="22"/>
        </w:rPr>
        <w:t xml:space="preserve">A local Streamlit application provides an operator interface to the deployed endpoint, invoking Lambda through the AWS SDK with signed requests and reading live operational metrics from CloudWatch.</w:t>
      </w:r>
    </w:p>
    <w:p>
      <w:pPr>
        <w:spacing w:after="120" w:line="276" w:lineRule="auto"/>
        <w:jc w:val="both"/>
      </w:pPr>
      <w:r>
        <w:rPr>
          <w:rFonts w:ascii="Arial" w:hAnsi="Arial"/>
          <w:sz w:val="22"/>
        </w:rPr>
        <w:t xml:space="preserve">Hosting is local by design. A browser-based client hosted on S3 could not call the authenticated endpoint without either embedding credentials in client-side code, which would be a serious flaw, or introducing an identity service, which would exceed the project's scope and cost constraints. An analyst workstation calling a cloud inference API is a realistic deployment pattern.</w:t>
      </w:r>
    </w:p>
    <w:p>
      <w:pPr>
        <w:spacing w:after="120" w:line="276" w:lineRule="auto"/>
        <w:jc w:val="both"/>
      </w:pPr>
      <w:r>
        <w:rPr>
          <w:rFonts w:ascii="Arial" w:hAnsi="Arial"/>
          <w:sz w:val="22"/>
        </w:rPr>
        <w:t xml:space="preserve">Features: detection review from held-out samples or uploaded CSV; accuracy against ground truth where labels exist; class distribution and sortable detections; isolated misclassification panel; CSV export; operational telemetry covering invocations, errors, error rate, mean duration and throttles; and a model provenance panel showing the deployed artefact's metadata including conversion verification figures.</w:t>
      </w:r>
    </w:p>
    <w:p>
      <w:pPr>
        <w:pStyle w:val="Heading3"/>
      </w:pPr>
      <w:r>
        <w:rPr>
          <w:rFonts w:ascii="Arial" w:hAnsi="Arial"/>
          <w:sz w:val="22"/>
        </w:rPr>
        <w:t xml:space="preserve">7.1 Live detection run</w:t>
      </w:r>
    </w:p>
    <w:p>
      <w:pPr>
        <w:spacing w:after="120" w:line="276" w:lineRule="auto"/>
        <w:jc w:val="both"/>
      </w:pPr>
      <w:r>
        <w:rPr>
          <w:rFonts w:ascii="Arial" w:hAnsi="Arial"/>
          <w:sz w:val="22"/>
        </w:rPr>
        <w:t xml:space="preserve">Two hundred attack flows sampled from held-out data and scored through the deployed, network-isolated function.</w:t>
      </w:r>
    </w:p>
    <w:tbl>
      <w:tblPr>
        <w:tblStyle w:val="TableGrid"/>
        <w:tblW w:w="9180" w:type="dxa"/>
        <w:tblLook w:val="04A0" w:firstRow="1" w:lastRow="0" w:firstColumn="1" w:lastColumn="0" w:noHBand="0" w:noVBand="1"/>
      </w:tblPr>
      <w:tblGrid>
        <w:gridCol w:w="2295"/>
        <w:gridCol w:w="2295"/>
        <w:gridCol w:w="2295"/>
        <w:gridCol w:w="2295"/>
      </w:tblGrid>
      <w:tr>
        <w:trPr>
          <w:tblHeader/>
        </w:trPr>
        <w:tc>
          <w:tcPr>
            <w:tcW w:w="2295" w:type="dxa"/>
            <w:shd w:val="clear" w:color="auto" w:fill="EFEFEF"/>
          </w:tcPr>
          <w:p>
            <w:pPr>
              <w:spacing w:after="40"/>
            </w:pPr>
            <w:r>
              <w:rPr>
                <w:rFonts w:ascii="Arial" w:hAnsi="Arial"/>
                <w:b/>
                <w:sz w:val="22"/>
              </w:rPr>
              <w:t xml:space="preserve">Class</w:t>
            </w:r>
          </w:p>
        </w:tc>
        <w:tc>
          <w:tcPr>
            <w:tcW w:w="2295" w:type="dxa"/>
            <w:shd w:val="clear" w:color="auto" w:fill="EFEFEF"/>
          </w:tcPr>
          <w:p>
            <w:pPr>
              <w:spacing w:after="40"/>
            </w:pPr>
            <w:r>
              <w:rPr>
                <w:rFonts w:ascii="Arial" w:hAnsi="Arial"/>
                <w:b/>
                <w:sz w:val="22"/>
              </w:rPr>
              <w:t xml:space="preserve">Flows</w:t>
            </w:r>
          </w:p>
        </w:tc>
        <w:tc>
          <w:tcPr>
            <w:tcW w:w="2295" w:type="dxa"/>
            <w:shd w:val="clear" w:color="auto" w:fill="EFEFEF"/>
          </w:tcPr>
          <w:p>
            <w:pPr>
              <w:spacing w:after="40"/>
            </w:pPr>
            <w:r>
              <w:rPr>
                <w:rFonts w:ascii="Arial" w:hAnsi="Arial"/>
                <w:b/>
                <w:sz w:val="22"/>
              </w:rPr>
              <w:t xml:space="preserve">Correct</w:t>
            </w:r>
          </w:p>
        </w:tc>
        <w:tc>
          <w:tcPr>
            <w:tcW w:w="2295" w:type="dxa"/>
            <w:shd w:val="clear" w:color="auto" w:fill="EFEFEF"/>
          </w:tcPr>
          <w:p>
            <w:pPr>
              <w:spacing w:after="40"/>
            </w:pPr>
            <w:r>
              <w:rPr>
                <w:rFonts w:ascii="Arial" w:hAnsi="Arial"/>
                <w:b/>
                <w:sz w:val="22"/>
              </w:rPr>
              <w:t xml:space="preserve">Recall</w:t>
            </w:r>
          </w:p>
        </w:tc>
      </w:tr>
      <w:tr>
        <w:tc>
          <w:tcPr>
            <w:tcW w:w="2295" w:type="dxa"/>
          </w:tcPr>
          <w:p>
            <w:pPr>
              <w:spacing w:after="40"/>
            </w:pPr>
            <w:r>
              <w:rPr>
                <w:rFonts w:ascii="Arial" w:hAnsi="Arial"/>
                <w:sz w:val="22"/>
              </w:rPr>
              <w:t xml:space="preserve">Bots</w:t>
            </w:r>
          </w:p>
        </w:tc>
        <w:tc>
          <w:tcPr>
            <w:tcW w:w="2295" w:type="dxa"/>
          </w:tcPr>
          <w:p>
            <w:pPr>
              <w:spacing w:after="40"/>
            </w:pPr>
            <w:r>
              <w:rPr>
                <w:rFonts w:ascii="Arial" w:hAnsi="Arial"/>
                <w:sz w:val="22"/>
              </w:rPr>
              <w:t xml:space="preserve">30</w:t>
            </w:r>
          </w:p>
        </w:tc>
        <w:tc>
          <w:tcPr>
            <w:tcW w:w="2295" w:type="dxa"/>
          </w:tcPr>
          <w:p>
            <w:pPr>
              <w:spacing w:after="40"/>
            </w:pPr>
            <w:r>
              <w:rPr>
                <w:rFonts w:ascii="Arial" w:hAnsi="Arial"/>
                <w:sz w:val="22"/>
              </w:rPr>
              <w:t xml:space="preserve">29</w:t>
            </w:r>
          </w:p>
        </w:tc>
        <w:tc>
          <w:tcPr>
            <w:tcW w:w="2295" w:type="dxa"/>
          </w:tcPr>
          <w:p>
            <w:pPr>
              <w:spacing w:after="40"/>
            </w:pPr>
            <w:r>
              <w:rPr>
                <w:rFonts w:ascii="Arial" w:hAnsi="Arial"/>
                <w:sz w:val="22"/>
              </w:rPr>
              <w:t xml:space="preserve">0.967</w:t>
            </w:r>
          </w:p>
        </w:tc>
      </w:tr>
      <w:tr>
        <w:tc>
          <w:tcPr>
            <w:tcW w:w="2295" w:type="dxa"/>
          </w:tcPr>
          <w:p>
            <w:pPr>
              <w:spacing w:after="40"/>
            </w:pPr>
            <w:r>
              <w:rPr>
                <w:rFonts w:ascii="Arial" w:hAnsi="Arial"/>
                <w:sz w:val="22"/>
              </w:rPr>
              <w:t xml:space="preserve">Brute Force</w:t>
            </w:r>
          </w:p>
        </w:tc>
        <w:tc>
          <w:tcPr>
            <w:tcW w:w="2295" w:type="dxa"/>
          </w:tcPr>
          <w:p>
            <w:pPr>
              <w:spacing w:after="40"/>
            </w:pPr>
            <w:r>
              <w:rPr>
                <w:rFonts w:ascii="Arial" w:hAnsi="Arial"/>
                <w:sz w:val="22"/>
              </w:rPr>
              <w:t xml:space="preserve">38</w:t>
            </w:r>
          </w:p>
        </w:tc>
        <w:tc>
          <w:tcPr>
            <w:tcW w:w="2295" w:type="dxa"/>
          </w:tcPr>
          <w:p>
            <w:pPr>
              <w:spacing w:after="40"/>
            </w:pPr>
            <w:r>
              <w:rPr>
                <w:rFonts w:ascii="Arial" w:hAnsi="Arial"/>
                <w:sz w:val="22"/>
              </w:rPr>
              <w:t xml:space="preserve">38</w:t>
            </w:r>
          </w:p>
        </w:tc>
        <w:tc>
          <w:tcPr>
            <w:tcW w:w="2295" w:type="dxa"/>
          </w:tcPr>
          <w:p>
            <w:pPr>
              <w:spacing w:after="40"/>
            </w:pPr>
            <w:r>
              <w:rPr>
                <w:rFonts w:ascii="Arial" w:hAnsi="Arial"/>
                <w:sz w:val="22"/>
              </w:rPr>
              <w:t xml:space="preserve">1.000</w:t>
            </w:r>
          </w:p>
        </w:tc>
      </w:tr>
      <w:tr>
        <w:tc>
          <w:tcPr>
            <w:tcW w:w="2295" w:type="dxa"/>
          </w:tcPr>
          <w:p>
            <w:pPr>
              <w:spacing w:after="40"/>
            </w:pPr>
            <w:r>
              <w:rPr>
                <w:rFonts w:ascii="Arial" w:hAnsi="Arial"/>
                <w:sz w:val="22"/>
              </w:rPr>
              <w:t xml:space="preserve">DDoS</w:t>
            </w:r>
          </w:p>
        </w:tc>
        <w:tc>
          <w:tcPr>
            <w:tcW w:w="2295" w:type="dxa"/>
          </w:tcPr>
          <w:p>
            <w:pPr>
              <w:spacing w:after="40"/>
            </w:pPr>
            <w:r>
              <w:rPr>
                <w:rFonts w:ascii="Arial" w:hAnsi="Arial"/>
                <w:sz w:val="22"/>
              </w:rPr>
              <w:t xml:space="preserve">28</w:t>
            </w:r>
          </w:p>
        </w:tc>
        <w:tc>
          <w:tcPr>
            <w:tcW w:w="2295" w:type="dxa"/>
          </w:tcPr>
          <w:p>
            <w:pPr>
              <w:spacing w:after="40"/>
            </w:pPr>
            <w:r>
              <w:rPr>
                <w:rFonts w:ascii="Arial" w:hAnsi="Arial"/>
                <w:sz w:val="22"/>
              </w:rPr>
              <w:t xml:space="preserve">28</w:t>
            </w:r>
          </w:p>
        </w:tc>
        <w:tc>
          <w:tcPr>
            <w:tcW w:w="2295" w:type="dxa"/>
          </w:tcPr>
          <w:p>
            <w:pPr>
              <w:spacing w:after="40"/>
            </w:pPr>
            <w:r>
              <w:rPr>
                <w:rFonts w:ascii="Arial" w:hAnsi="Arial"/>
                <w:sz w:val="22"/>
              </w:rPr>
              <w:t xml:space="preserve">1.000</w:t>
            </w:r>
          </w:p>
        </w:tc>
      </w:tr>
      <w:tr>
        <w:tc>
          <w:tcPr>
            <w:tcW w:w="2295" w:type="dxa"/>
          </w:tcPr>
          <w:p>
            <w:pPr>
              <w:spacing w:after="40"/>
            </w:pPr>
            <w:r>
              <w:rPr>
                <w:rFonts w:ascii="Arial" w:hAnsi="Arial"/>
                <w:sz w:val="22"/>
              </w:rPr>
              <w:t xml:space="preserve">DoS</w:t>
            </w:r>
          </w:p>
        </w:tc>
        <w:tc>
          <w:tcPr>
            <w:tcW w:w="2295" w:type="dxa"/>
          </w:tcPr>
          <w:p>
            <w:pPr>
              <w:spacing w:after="40"/>
            </w:pPr>
            <w:r>
              <w:rPr>
                <w:rFonts w:ascii="Arial" w:hAnsi="Arial"/>
                <w:sz w:val="22"/>
              </w:rPr>
              <w:t xml:space="preserve">44</w:t>
            </w:r>
          </w:p>
        </w:tc>
        <w:tc>
          <w:tcPr>
            <w:tcW w:w="2295" w:type="dxa"/>
          </w:tcPr>
          <w:p>
            <w:pPr>
              <w:spacing w:after="40"/>
            </w:pPr>
            <w:r>
              <w:rPr>
                <w:rFonts w:ascii="Arial" w:hAnsi="Arial"/>
                <w:sz w:val="22"/>
              </w:rPr>
              <w:t xml:space="preserve">44</w:t>
            </w:r>
          </w:p>
        </w:tc>
        <w:tc>
          <w:tcPr>
            <w:tcW w:w="2295" w:type="dxa"/>
          </w:tcPr>
          <w:p>
            <w:pPr>
              <w:spacing w:after="40"/>
            </w:pPr>
            <w:r>
              <w:rPr>
                <w:rFonts w:ascii="Arial" w:hAnsi="Arial"/>
                <w:sz w:val="22"/>
              </w:rPr>
              <w:t xml:space="preserve">1.000</w:t>
            </w:r>
          </w:p>
        </w:tc>
      </w:tr>
      <w:tr>
        <w:tc>
          <w:tcPr>
            <w:tcW w:w="2295" w:type="dxa"/>
          </w:tcPr>
          <w:p>
            <w:pPr>
              <w:spacing w:after="40"/>
            </w:pPr>
            <w:r>
              <w:rPr>
                <w:rFonts w:ascii="Arial" w:hAnsi="Arial"/>
                <w:sz w:val="22"/>
              </w:rPr>
              <w:t xml:space="preserve">Port Scanning</w:t>
            </w:r>
          </w:p>
        </w:tc>
        <w:tc>
          <w:tcPr>
            <w:tcW w:w="2295" w:type="dxa"/>
          </w:tcPr>
          <w:p>
            <w:pPr>
              <w:spacing w:after="40"/>
            </w:pPr>
            <w:r>
              <w:rPr>
                <w:rFonts w:ascii="Arial" w:hAnsi="Arial"/>
                <w:sz w:val="22"/>
              </w:rPr>
              <w:t xml:space="preserve">26</w:t>
            </w:r>
          </w:p>
        </w:tc>
        <w:tc>
          <w:tcPr>
            <w:tcW w:w="2295" w:type="dxa"/>
          </w:tcPr>
          <w:p>
            <w:pPr>
              <w:spacing w:after="40"/>
            </w:pPr>
            <w:r>
              <w:rPr>
                <w:rFonts w:ascii="Arial" w:hAnsi="Arial"/>
                <w:sz w:val="22"/>
              </w:rPr>
              <w:t xml:space="preserve">26</w:t>
            </w:r>
          </w:p>
        </w:tc>
        <w:tc>
          <w:tcPr>
            <w:tcW w:w="2295" w:type="dxa"/>
          </w:tcPr>
          <w:p>
            <w:pPr>
              <w:spacing w:after="40"/>
            </w:pPr>
            <w:r>
              <w:rPr>
                <w:rFonts w:ascii="Arial" w:hAnsi="Arial"/>
                <w:sz w:val="22"/>
              </w:rPr>
              <w:t xml:space="preserve">1.000</w:t>
            </w:r>
          </w:p>
        </w:tc>
      </w:tr>
      <w:tr>
        <w:tc>
          <w:tcPr>
            <w:tcW w:w="2295" w:type="dxa"/>
          </w:tcPr>
          <w:p>
            <w:pPr>
              <w:spacing w:after="40"/>
            </w:pPr>
            <w:r>
              <w:rPr>
                <w:rFonts w:ascii="Arial" w:hAnsi="Arial"/>
                <w:sz w:val="22"/>
              </w:rPr>
              <w:t xml:space="preserve">Web Attacks</w:t>
            </w:r>
          </w:p>
        </w:tc>
        <w:tc>
          <w:tcPr>
            <w:tcW w:w="2295" w:type="dxa"/>
          </w:tcPr>
          <w:p>
            <w:pPr>
              <w:spacing w:after="40"/>
            </w:pPr>
            <w:r>
              <w:rPr>
                <w:rFonts w:ascii="Arial" w:hAnsi="Arial"/>
                <w:sz w:val="22"/>
              </w:rPr>
              <w:t xml:space="preserve">34</w:t>
            </w:r>
          </w:p>
        </w:tc>
        <w:tc>
          <w:tcPr>
            <w:tcW w:w="2295" w:type="dxa"/>
          </w:tcPr>
          <w:p>
            <w:pPr>
              <w:spacing w:after="40"/>
            </w:pPr>
            <w:r>
              <w:rPr>
                <w:rFonts w:ascii="Arial" w:hAnsi="Arial"/>
                <w:sz w:val="22"/>
              </w:rPr>
              <w:t xml:space="preserve">34</w:t>
            </w:r>
          </w:p>
        </w:tc>
        <w:tc>
          <w:tcPr>
            <w:tcW w:w="2295" w:type="dxa"/>
          </w:tcPr>
          <w:p>
            <w:pPr>
              <w:spacing w:after="40"/>
            </w:pPr>
            <w:r>
              <w:rPr>
                <w:rFonts w:ascii="Arial" w:hAnsi="Arial"/>
                <w:sz w:val="22"/>
              </w:rPr>
              <w:t xml:space="preserve">1.000</w:t>
            </w:r>
          </w:p>
        </w:tc>
      </w:tr>
      <w:tr>
        <w:tc>
          <w:tcPr>
            <w:tcW w:w="2295" w:type="dxa"/>
          </w:tcPr>
          <w:p>
            <w:pPr>
              <w:spacing w:after="40"/>
            </w:pPr>
            <w:r>
              <w:rPr>
                <w:rFonts w:ascii="Arial" w:hAnsi="Arial"/>
                <w:sz w:val="22"/>
              </w:rPr>
              <w:t xml:space="preserve">Overall</w:t>
            </w:r>
          </w:p>
        </w:tc>
        <w:tc>
          <w:tcPr>
            <w:tcW w:w="2295" w:type="dxa"/>
          </w:tcPr>
          <w:p>
            <w:pPr>
              <w:spacing w:after="40"/>
            </w:pPr>
            <w:r>
              <w:rPr>
                <w:rFonts w:ascii="Arial" w:hAnsi="Arial"/>
                <w:sz w:val="22"/>
              </w:rPr>
              <w:t xml:space="preserve">200</w:t>
            </w:r>
          </w:p>
        </w:tc>
        <w:tc>
          <w:tcPr>
            <w:tcW w:w="2295" w:type="dxa"/>
          </w:tcPr>
          <w:p>
            <w:pPr>
              <w:spacing w:after="40"/>
            </w:pPr>
            <w:r>
              <w:rPr>
                <w:rFonts w:ascii="Arial" w:hAnsi="Arial"/>
                <w:sz w:val="22"/>
              </w:rPr>
              <w:t xml:space="preserve">199</w:t>
            </w:r>
          </w:p>
        </w:tc>
        <w:tc>
          <w:tcPr>
            <w:tcW w:w="2295" w:type="dxa"/>
          </w:tcPr>
          <w:p>
            <w:pPr>
              <w:spacing w:after="40"/>
            </w:pPr>
            <w:r>
              <w:rPr>
                <w:rFonts w:ascii="Arial" w:hAnsi="Arial"/>
                <w:sz w:val="22"/>
              </w:rPr>
              <w:t xml:space="preserve">0.995</w:t>
            </w:r>
          </w:p>
        </w:tc>
      </w:tr>
    </w:tbl>
    <w:p>
      <w:pPr>
        <w:spacing w:after="120"/>
      </w:pPr>
    </w:p>
    <w:p>
      <w:pPr>
        <w:spacing w:after="120" w:line="276" w:lineRule="auto"/>
        <w:jc w:val="both"/>
      </w:pPr>
      <w:r>
        <w:rPr>
          <w:rFonts w:ascii="Arial" w:hAnsi="Arial"/>
          <w:b/>
          <w:sz w:val="22"/>
        </w:rPr>
        <w:t xml:space="preserve">The single failure reproduces a predicted trade-off.</w:t>
      </w:r>
      <w:r>
        <w:rPr>
          <w:rFonts w:ascii="Arial" w:hAnsi="Arial"/>
          <w:sz w:val="22"/>
        </w:rPr>
        <w:t xml:space="preserve"> The missed flow was a Bot classified as Normal Traffic. E4 measured Bots recall at 0.939 after threshold tuning, a deliberate exchange of recall for precision. Observed recall of 0.967 across 30 samples is consistent with that measurement. Live operation reproduced a quantified, accepted limitation rather than revealing an unknown one.</w:t>
      </w:r>
    </w:p>
    <w:p>
      <w:pPr>
        <w:spacing w:after="120" w:line="276" w:lineRule="auto"/>
        <w:jc w:val="both"/>
      </w:pPr>
      <w:r>
        <w:rPr>
          <w:rFonts w:ascii="Arial" w:hAnsi="Arial"/>
          <w:b/>
          <w:sz w:val="22"/>
        </w:rPr>
        <w:t xml:space="preserve">Confidence separation supports a triage rule.</w:t>
      </w:r>
      <w:r>
        <w:rPr>
          <w:rFonts w:ascii="Arial" w:hAnsi="Arial"/>
          <w:sz w:val="22"/>
        </w:rPr>
        <w:t xml:space="preserve"> Correct predictions averaged 0.9999 confidence; the single misclassification returned 0.227. The model was not confidently wrong. A production deployment could route predictions below a confidence floor to manual analyst review, capturing this failure mode without retraining the model. This is recorded as a concrete operational recommendation.</w:t>
      </w:r>
    </w:p>
    <w:p>
      <w:pPr>
        <w:pStyle w:val="Heading2"/>
      </w:pPr>
      <w:r>
        <w:rPr>
          <w:rFonts w:ascii="Arial" w:hAnsi="Arial"/>
          <w:sz w:val="22"/>
        </w:rPr>
        <w:t xml:space="preserve">8. Troubleshooting record</w:t>
      </w:r>
    </w:p>
    <w:tbl>
      <w:tblPr>
        <w:tblStyle w:val="TableGrid"/>
        <w:tblW w:w="9180" w:type="dxa"/>
        <w:tblLook w:val="04A0" w:firstRow="1" w:lastRow="0" w:firstColumn="1" w:lastColumn="0" w:noHBand="0" w:noVBand="1"/>
      </w:tblPr>
      <w:tblGrid>
        <w:gridCol w:w="3060"/>
        <w:gridCol w:w="3060"/>
        <w:gridCol w:w="3060"/>
      </w:tblGrid>
      <w:tr>
        <w:trPr>
          <w:tblHeader/>
        </w:trPr>
        <w:tc>
          <w:tcPr>
            <w:tcW w:w="3060" w:type="dxa"/>
            <w:shd w:val="clear" w:color="auto" w:fill="EFEFEF"/>
          </w:tcPr>
          <w:p>
            <w:pPr>
              <w:spacing w:after="40"/>
            </w:pPr>
            <w:r>
              <w:rPr>
                <w:rFonts w:ascii="Arial" w:hAnsi="Arial"/>
                <w:b/>
                <w:sz w:val="22"/>
              </w:rPr>
              <w:t xml:space="preserve">Issue</w:t>
            </w:r>
          </w:p>
        </w:tc>
        <w:tc>
          <w:tcPr>
            <w:tcW w:w="3060" w:type="dxa"/>
            <w:shd w:val="clear" w:color="auto" w:fill="EFEFEF"/>
          </w:tcPr>
          <w:p>
            <w:pPr>
              <w:spacing w:after="40"/>
            </w:pPr>
            <w:r>
              <w:rPr>
                <w:rFonts w:ascii="Arial" w:hAnsi="Arial"/>
                <w:b/>
                <w:sz w:val="22"/>
              </w:rPr>
              <w:t xml:space="preserve">Cause</w:t>
            </w:r>
          </w:p>
        </w:tc>
        <w:tc>
          <w:tcPr>
            <w:tcW w:w="3060" w:type="dxa"/>
            <w:shd w:val="clear" w:color="auto" w:fill="EFEFEF"/>
          </w:tcPr>
          <w:p>
            <w:pPr>
              <w:spacing w:after="40"/>
            </w:pPr>
            <w:r>
              <w:rPr>
                <w:rFonts w:ascii="Arial" w:hAnsi="Arial"/>
                <w:b/>
                <w:sz w:val="22"/>
              </w:rPr>
              <w:t xml:space="preserve">Resolution</w:t>
            </w:r>
          </w:p>
        </w:tc>
      </w:tr>
      <w:tr>
        <w:tc>
          <w:tcPr>
            <w:tcW w:w="3060" w:type="dxa"/>
          </w:tcPr>
          <w:p>
            <w:pPr>
              <w:spacing w:after="40"/>
            </w:pPr>
            <w:r>
              <w:rPr>
                <w:rFonts w:ascii="Arial" w:hAnsi="Arial"/>
                <w:sz w:val="22"/>
              </w:rPr>
              <w:t xml:space="preserve">XGBoost failed to import, libomp.dylib not found</w:t>
            </w:r>
          </w:p>
        </w:tc>
        <w:tc>
          <w:tcPr>
            <w:tcW w:w="3060" w:type="dxa"/>
          </w:tcPr>
          <w:p>
            <w:pPr>
              <w:spacing w:after="40"/>
            </w:pPr>
            <w:r>
              <w:rPr>
                <w:rFonts w:ascii="Arial" w:hAnsi="Arial"/>
                <w:sz w:val="22"/>
              </w:rPr>
              <w:t xml:space="preserve">macOS ships no OpenMP runtime</w:t>
            </w:r>
          </w:p>
        </w:tc>
        <w:tc>
          <w:tcPr>
            <w:tcW w:w="3060" w:type="dxa"/>
          </w:tcPr>
          <w:p>
            <w:pPr>
              <w:spacing w:after="40"/>
            </w:pPr>
            <w:r>
              <w:rPr>
                <w:rFonts w:ascii="Arial" w:hAnsi="Arial"/>
                <w:sz w:val="22"/>
              </w:rPr>
              <w:t xml:space="preserve">Installed and force-linked libomp via Homebrew</w:t>
            </w:r>
          </w:p>
        </w:tc>
      </w:tr>
      <w:tr>
        <w:tc>
          <w:tcPr>
            <w:tcW w:w="3060" w:type="dxa"/>
          </w:tcPr>
          <w:p>
            <w:pPr>
              <w:spacing w:after="40"/>
            </w:pPr>
            <w:r>
              <w:rPr>
                <w:rFonts w:ascii="Arial" w:hAnsi="Arial"/>
                <w:sz w:val="22"/>
              </w:rPr>
              <w:t xml:space="preserve">SMOTE infeasible at full scale</w:t>
            </w:r>
          </w:p>
        </w:tc>
        <w:tc>
          <w:tcPr>
            <w:tcW w:w="3060" w:type="dxa"/>
          </w:tcPr>
          <w:p>
            <w:pPr>
              <w:spacing w:after="40"/>
            </w:pPr>
            <w:r>
              <w:rPr>
                <w:rFonts w:ascii="Arial" w:hAnsi="Arial"/>
                <w:sz w:val="22"/>
              </w:rPr>
              <w:t xml:space="preserve">1,075:1 imbalance implies roughly 14 million synthetic rows</w:t>
            </w:r>
          </w:p>
        </w:tc>
        <w:tc>
          <w:tcPr>
            <w:tcW w:w="3060" w:type="dxa"/>
          </w:tcPr>
          <w:p>
            <w:pPr>
              <w:spacing w:after="40"/>
            </w:pPr>
            <w:r>
              <w:rPr>
                <w:rFonts w:ascii="Arial" w:hAnsi="Arial"/>
                <w:sz w:val="22"/>
              </w:rPr>
              <w:t xml:space="preserve">Hybrid undersample and oversample strategy</w:t>
            </w:r>
          </w:p>
        </w:tc>
      </w:tr>
      <w:tr>
        <w:tc>
          <w:tcPr>
            <w:tcW w:w="3060" w:type="dxa"/>
          </w:tcPr>
          <w:p>
            <w:pPr>
              <w:spacing w:after="40"/>
            </w:pPr>
            <w:r>
              <w:rPr>
                <w:rFonts w:ascii="Arial" w:hAnsi="Arial"/>
                <w:sz w:val="22"/>
              </w:rPr>
              <w:t xml:space="preserve">Docker build rejected the shell command</w:t>
            </w:r>
          </w:p>
        </w:tc>
        <w:tc>
          <w:tcPr>
            <w:tcW w:w="3060" w:type="dxa"/>
          </w:tcPr>
          <w:p>
            <w:pPr>
              <w:spacing w:after="40"/>
            </w:pPr>
            <w:r>
              <w:rPr>
                <w:rFonts w:ascii="Arial" w:hAnsi="Arial"/>
                <w:sz w:val="22"/>
              </w:rPr>
              <w:t xml:space="preserve">Lambda base image entrypoint expects a handler argument</w:t>
            </w:r>
          </w:p>
        </w:tc>
        <w:tc>
          <w:tcPr>
            <w:tcW w:w="3060" w:type="dxa"/>
          </w:tcPr>
          <w:p>
            <w:pPr>
              <w:spacing w:after="40"/>
            </w:pPr>
            <w:r>
              <w:rPr>
                <w:rFonts w:ascii="Arial" w:hAnsi="Arial"/>
                <w:sz w:val="22"/>
              </w:rPr>
              <w:t xml:space="preserve">Overrode the entrypoint</w:t>
            </w:r>
          </w:p>
        </w:tc>
      </w:tr>
      <w:tr>
        <w:tc>
          <w:tcPr>
            <w:tcW w:w="3060" w:type="dxa"/>
          </w:tcPr>
          <w:p>
            <w:pPr>
              <w:spacing w:after="40"/>
            </w:pPr>
            <w:r>
              <w:rPr>
                <w:rFonts w:ascii="Arial" w:hAnsi="Arial"/>
                <w:sz w:val="22"/>
              </w:rPr>
              <w:t xml:space="preserve">Lambda creation failed, role cannot be assumed</w:t>
            </w:r>
          </w:p>
        </w:tc>
        <w:tc>
          <w:tcPr>
            <w:tcW w:w="3060" w:type="dxa"/>
          </w:tcPr>
          <w:p>
            <w:pPr>
              <w:spacing w:after="40"/>
            </w:pPr>
            <w:r>
              <w:rPr>
                <w:rFonts w:ascii="Arial" w:hAnsi="Arial"/>
                <w:sz w:val="22"/>
              </w:rPr>
              <w:t xml:space="preserve">The role did not exist; console creation had silently failed</w:t>
            </w:r>
          </w:p>
        </w:tc>
        <w:tc>
          <w:tcPr>
            <w:tcW w:w="3060" w:type="dxa"/>
          </w:tcPr>
          <w:p>
            <w:pPr>
              <w:spacing w:after="40"/>
            </w:pPr>
            <w:r>
              <w:rPr>
                <w:rFonts w:ascii="Arial" w:hAnsi="Arial"/>
                <w:sz w:val="22"/>
              </w:rPr>
              <w:t xml:space="preserve">Recreated via CLI, policy documents committed to the repository</w:t>
            </w:r>
          </w:p>
        </w:tc>
      </w:tr>
      <w:tr>
        <w:tc>
          <w:tcPr>
            <w:tcW w:w="3060" w:type="dxa"/>
          </w:tcPr>
          <w:p>
            <w:pPr>
              <w:spacing w:after="40"/>
            </w:pPr>
            <w:r>
              <w:rPr>
                <w:rFonts w:ascii="Arial" w:hAnsi="Arial"/>
                <w:sz w:val="22"/>
              </w:rPr>
              <w:t xml:space="preserve">Dashboard raised a missing column error</w:t>
            </w:r>
          </w:p>
        </w:tc>
        <w:tc>
          <w:tcPr>
            <w:tcW w:w="3060" w:type="dxa"/>
          </w:tcPr>
          <w:p>
            <w:pPr>
              <w:spacing w:after="40"/>
            </w:pPr>
            <w:r>
              <w:rPr>
                <w:rFonts w:ascii="Arial" w:hAnsi="Arial"/>
                <w:sz w:val="22"/>
              </w:rPr>
              <w:t xml:space="preserve">pandas 3.x changed groupby-apply column retention</w:t>
            </w:r>
          </w:p>
        </w:tc>
        <w:tc>
          <w:tcPr>
            <w:tcW w:w="3060" w:type="dxa"/>
          </w:tcPr>
          <w:p>
            <w:pPr>
              <w:spacing w:after="40"/>
            </w:pPr>
            <w:r>
              <w:rPr>
                <w:rFonts w:ascii="Arial" w:hAnsi="Arial"/>
                <w:sz w:val="22"/>
              </w:rPr>
              <w:t xml:space="preserve">Replaced with an explicit, version-independent loop</w:t>
            </w:r>
          </w:p>
        </w:tc>
      </w:tr>
    </w:tbl>
    <w:p>
      <w:pPr>
        <w:spacing w:after="120"/>
      </w:pPr>
    </w:p>
    <w:p>
      <w:pPr>
        <w:spacing w:after="120" w:line="276" w:lineRule="auto"/>
        <w:jc w:val="both"/>
      </w:pPr>
      <w:r>
        <w:rPr>
          <w:rFonts w:ascii="Arial" w:hAnsi="Arial"/>
          <w:sz w:val="22"/>
        </w:rPr>
        <w:t xml:space="preserve">Console-created resources proved unreliable and unverifiable. All subsequent infrastructure was created via the command line with policy documents committed to version control, giving a reproducible and auditable record. This is itself a finding about tooling choice worth reflecting on in the report.</w:t>
      </w:r>
    </w:p>
    <w:p>
      <w:pPr>
        <w:pStyle w:val="Heading2"/>
      </w:pPr>
      <w:r>
        <w:rPr>
          <w:rFonts w:ascii="Arial" w:hAnsi="Arial"/>
          <w:sz w:val="22"/>
        </w:rPr>
        <w:t xml:space="preserve">9. Repository structure</w:t>
      </w:r>
    </w:p>
    <w:tbl>
      <w:tblPr>
        <w:tblStyle w:val="TableGrid"/>
        <w:tblW w:w="9180" w:type="dxa"/>
        <w:tblLook w:val="04A0" w:firstRow="1" w:lastRow="0" w:firstColumn="1" w:lastColumn="0" w:noHBand="0" w:noVBand="1"/>
      </w:tblPr>
      <w:tblGrid>
        <w:gridCol w:w="4590"/>
        <w:gridCol w:w="4590"/>
      </w:tblGrid>
      <w:tr>
        <w:trPr>
          <w:tblHeader/>
        </w:trPr>
        <w:tc>
          <w:tcPr>
            <w:tcW w:w="4590" w:type="dxa"/>
            <w:shd w:val="clear" w:color="auto" w:fill="EFEFEF"/>
          </w:tcPr>
          <w:p>
            <w:pPr>
              <w:spacing w:after="40"/>
            </w:pPr>
            <w:r>
              <w:rPr>
                <w:rFonts w:ascii="Arial" w:hAnsi="Arial"/>
                <w:b/>
                <w:sz w:val="22"/>
              </w:rPr>
              <w:t xml:space="preserve">Path</w:t>
            </w:r>
          </w:p>
        </w:tc>
        <w:tc>
          <w:tcPr>
            <w:tcW w:w="4590" w:type="dxa"/>
            <w:shd w:val="clear" w:color="auto" w:fill="EFEFEF"/>
          </w:tcPr>
          <w:p>
            <w:pPr>
              <w:spacing w:after="40"/>
            </w:pPr>
            <w:r>
              <w:rPr>
                <w:rFonts w:ascii="Arial" w:hAnsi="Arial"/>
                <w:b/>
                <w:sz w:val="22"/>
              </w:rPr>
              <w:t xml:space="preserve">Contents</w:t>
            </w:r>
          </w:p>
        </w:tc>
      </w:tr>
      <w:tr>
        <w:tc>
          <w:tcPr>
            <w:tcW w:w="4590" w:type="dxa"/>
          </w:tcPr>
          <w:p>
            <w:pPr>
              <w:spacing w:after="40"/>
            </w:pPr>
            <w:r>
              <w:rPr>
                <w:rFonts w:ascii="Arial" w:hAnsi="Arial"/>
                <w:sz w:val="22"/>
              </w:rPr>
              <w:t xml:space="preserve">src/</w:t>
            </w:r>
          </w:p>
        </w:tc>
        <w:tc>
          <w:tcPr>
            <w:tcW w:w="4590" w:type="dxa"/>
          </w:tcPr>
          <w:p>
            <w:pPr>
              <w:spacing w:after="40"/>
            </w:pPr>
            <w:r>
              <w:rPr>
                <w:rFonts w:ascii="Arial" w:hAnsi="Arial"/>
                <w:sz w:val="22"/>
              </w:rPr>
              <w:t xml:space="preserve">Data loading, preprocessing, training, evaluation, experiments, ONNX export, deployment tests</w:t>
            </w:r>
          </w:p>
        </w:tc>
      </w:tr>
      <w:tr>
        <w:tc>
          <w:tcPr>
            <w:tcW w:w="4590" w:type="dxa"/>
          </w:tcPr>
          <w:p>
            <w:pPr>
              <w:spacing w:after="40"/>
            </w:pPr>
            <w:r>
              <w:rPr>
                <w:rFonts w:ascii="Arial" w:hAnsi="Arial"/>
                <w:sz w:val="22"/>
              </w:rPr>
              <w:t xml:space="preserve">lambda/</w:t>
            </w:r>
          </w:p>
        </w:tc>
        <w:tc>
          <w:tcPr>
            <w:tcW w:w="4590" w:type="dxa"/>
          </w:tcPr>
          <w:p>
            <w:pPr>
              <w:spacing w:after="40"/>
            </w:pPr>
            <w:r>
              <w:rPr>
                <w:rFonts w:ascii="Arial" w:hAnsi="Arial"/>
                <w:sz w:val="22"/>
              </w:rPr>
              <w:t xml:space="preserve">Inference handler and build process</w:t>
            </w:r>
          </w:p>
        </w:tc>
      </w:tr>
      <w:tr>
        <w:tc>
          <w:tcPr>
            <w:tcW w:w="4590" w:type="dxa"/>
          </w:tcPr>
          <w:p>
            <w:pPr>
              <w:spacing w:after="40"/>
            </w:pPr>
            <w:r>
              <w:rPr>
                <w:rFonts w:ascii="Arial" w:hAnsi="Arial"/>
                <w:sz w:val="22"/>
              </w:rPr>
              <w:t xml:space="preserve">infra/</w:t>
            </w:r>
          </w:p>
        </w:tc>
        <w:tc>
          <w:tcPr>
            <w:tcW w:w="4590" w:type="dxa"/>
          </w:tcPr>
          <w:p>
            <w:pPr>
              <w:spacing w:after="40"/>
            </w:pPr>
            <w:r>
              <w:rPr>
                <w:rFonts w:ascii="Arial" w:hAnsi="Arial"/>
                <w:sz w:val="22"/>
              </w:rPr>
              <w:t xml:space="preserve">IAM policy documents and the VPC creation script</w:t>
            </w:r>
          </w:p>
        </w:tc>
      </w:tr>
      <w:tr>
        <w:tc>
          <w:tcPr>
            <w:tcW w:w="4590" w:type="dxa"/>
          </w:tcPr>
          <w:p>
            <w:pPr>
              <w:spacing w:after="40"/>
            </w:pPr>
            <w:r>
              <w:rPr>
                <w:rFonts w:ascii="Arial" w:hAnsi="Arial"/>
                <w:sz w:val="22"/>
              </w:rPr>
              <w:t xml:space="preserve">dashboard/</w:t>
            </w:r>
          </w:p>
        </w:tc>
        <w:tc>
          <w:tcPr>
            <w:tcW w:w="4590" w:type="dxa"/>
          </w:tcPr>
          <w:p>
            <w:pPr>
              <w:spacing w:after="40"/>
            </w:pPr>
            <w:r>
              <w:rPr>
                <w:rFonts w:ascii="Arial" w:hAnsi="Arial"/>
                <w:sz w:val="22"/>
              </w:rPr>
              <w:t xml:space="preserve">Streamlit analyst console</w:t>
            </w:r>
          </w:p>
        </w:tc>
      </w:tr>
      <w:tr>
        <w:tc>
          <w:tcPr>
            <w:tcW w:w="4590" w:type="dxa"/>
          </w:tcPr>
          <w:p>
            <w:pPr>
              <w:spacing w:after="40"/>
            </w:pPr>
            <w:r>
              <w:rPr>
                <w:rFonts w:ascii="Arial" w:hAnsi="Arial"/>
                <w:sz w:val="22"/>
              </w:rPr>
              <w:t xml:space="preserve">docs/</w:t>
            </w:r>
          </w:p>
        </w:tc>
        <w:tc>
          <w:tcPr>
            <w:tcW w:w="4590" w:type="dxa"/>
          </w:tcPr>
          <w:p>
            <w:pPr>
              <w:spacing w:after="40"/>
            </w:pPr>
            <w:r>
              <w:rPr>
                <w:rFonts w:ascii="Arial" w:hAnsi="Arial"/>
                <w:sz w:val="22"/>
              </w:rPr>
              <w:t xml:space="preserve">Experiment log, deployment record, report map</w:t>
            </w:r>
          </w:p>
        </w:tc>
      </w:tr>
      <w:tr>
        <w:tc>
          <w:tcPr>
            <w:tcW w:w="4590" w:type="dxa"/>
          </w:tcPr>
          <w:p>
            <w:pPr>
              <w:spacing w:after="40"/>
            </w:pPr>
            <w:r>
              <w:rPr>
                <w:rFonts w:ascii="Arial" w:hAnsi="Arial"/>
                <w:sz w:val="22"/>
              </w:rPr>
              <w:t xml:space="preserve">artefacts/</w:t>
            </w:r>
          </w:p>
        </w:tc>
        <w:tc>
          <w:tcPr>
            <w:tcW w:w="4590" w:type="dxa"/>
          </w:tcPr>
          <w:p>
            <w:pPr>
              <w:spacing w:after="40"/>
            </w:pPr>
            <w:r>
              <w:rPr>
                <w:rFonts w:ascii="Arial" w:hAnsi="Arial"/>
                <w:sz w:val="22"/>
              </w:rPr>
              <w:t xml:space="preserve">Deployed ONNX model, scaler parameters, model metadata</w:t>
            </w:r>
          </w:p>
        </w:tc>
      </w:tr>
    </w:tbl>
    <w:p>
      <w:pPr>
        <w:spacing w:after="120"/>
      </w:pPr>
    </w:p>
    <w:p>
      <w:pPr>
        <w:spacing w:after="120" w:line="276" w:lineRule="auto"/>
        <w:jc w:val="both"/>
      </w:pPr>
      <w:r>
        <w:rPr>
          <w:rFonts w:ascii="Arial" w:hAnsi="Arial"/>
          <w:sz w:val="22"/>
        </w:rPr>
        <w:t xml:space="preserve">Milestones are tagged in version control, giving a timestamped record of independent development from scaffolding through to the authenticated endpoint.</w:t>
      </w:r>
    </w:p>
    <w:p>
      <w:pPr>
        <w:pStyle w:val="Heading2"/>
      </w:pPr>
      <w:r>
        <w:rPr>
          <w:rFonts w:ascii="Arial" w:hAnsi="Arial"/>
          <w:sz w:val="22"/>
        </w:rPr>
        <w:t xml:space="preserve">10. Status and outstanding work</w:t>
      </w:r>
    </w:p>
    <w:p>
      <w:pPr>
        <w:spacing w:after="120" w:line="276" w:lineRule="auto"/>
        <w:jc w:val="both"/>
      </w:pPr>
      <w:r>
        <w:rPr>
          <w:rFonts w:ascii="Arial" w:hAnsi="Arial"/>
          <w:sz w:val="22"/>
        </w:rPr>
        <w:t xml:space="preserve">Completed: model development with four documented experiments; model selection with quantified variance; format conversion with verification; cloud deployment with least-privilege access, network isolation and authentication, all verified by test; and an analyst interface with live detection and telemetry.</w:t>
      </w:r>
    </w:p>
    <w:p>
      <w:pPr>
        <w:spacing w:after="120" w:line="276" w:lineRule="auto"/>
        <w:jc w:val="both"/>
      </w:pPr>
      <w:r>
        <w:rPr>
          <w:rFonts w:ascii="Arial" w:hAnsi="Arial"/>
          <w:sz w:val="22"/>
        </w:rPr>
        <w:t xml:space="preserve">Outstanding, in priority order:</w:t>
      </w:r>
    </w:p>
    <w:p>
      <w:pPr>
        <w:spacing w:after="120" w:line="276" w:lineRule="auto"/>
        <w:jc w:val="left"/>
      </w:pPr>
      <w:r>
        <w:rPr>
          <w:rFonts w:ascii="Arial" w:hAnsi="Arial"/>
          <w:sz w:val="22"/>
        </w:rPr>
        <w:t xml:space="preserve">1.  </w:t>
      </w:r>
      <w:r>
        <w:rPr>
          <w:rFonts w:ascii="Arial" w:hAnsi="Arial"/>
          <w:b/>
          <w:sz w:val="22"/>
        </w:rPr>
        <w:t xml:space="preserve">STRIDE threat model</w:t>
      </w:r>
      <w:r>
        <w:rPr>
          <w:rFonts w:ascii="Arial" w:hAnsi="Arial"/>
          <w:sz w:val="22"/>
        </w:rPr>
        <w:t xml:space="preserve"> against the architecture as built, extended with machine-learning-specific threats mapped to MITRE ATLAS. This is a project deliverable and it feeds the requirements analysis.</w:t>
      </w:r>
    </w:p>
    <w:p>
      <w:pPr>
        <w:spacing w:after="120" w:line="276" w:lineRule="auto"/>
        <w:jc w:val="left"/>
      </w:pPr>
      <w:r>
        <w:rPr>
          <w:rFonts w:ascii="Arial" w:hAnsi="Arial"/>
          <w:sz w:val="22"/>
        </w:rPr>
        <w:t xml:space="preserve">2.  </w:t>
      </w:r>
      <w:r>
        <w:rPr>
          <w:rFonts w:ascii="Arial" w:hAnsi="Arial"/>
          <w:b/>
          <w:sz w:val="22"/>
        </w:rPr>
        <w:t xml:space="preserve">Literature review</w:t>
      </w:r>
      <w:r>
        <w:rPr>
          <w:rFonts w:ascii="Arial" w:hAnsi="Arial"/>
          <w:sz w:val="22"/>
        </w:rPr>
        <w:t xml:space="preserve">, covering machine learning for intrusion detection and published CICIDS2017 benchmarks, class imbalance handling, tree ensembles versus neural networks on tabular data, adversarial machine learning, cloud security architecture, and threat modelling methodology. This is the largest remaining gap and has the longest lead time.</w:t>
      </w:r>
    </w:p>
    <w:p>
      <w:pPr>
        <w:spacing w:after="120" w:line="276" w:lineRule="auto"/>
        <w:jc w:val="left"/>
      </w:pPr>
      <w:r>
        <w:rPr>
          <w:rFonts w:ascii="Arial" w:hAnsi="Arial"/>
          <w:sz w:val="22"/>
        </w:rPr>
        <w:t xml:space="preserve">3.  </w:t>
      </w:r>
      <w:r>
        <w:rPr>
          <w:rFonts w:ascii="Arial" w:hAnsi="Arial"/>
          <w:b/>
          <w:sz w:val="22"/>
        </w:rPr>
        <w:t xml:space="preserve">Requirements analysis</w:t>
      </w:r>
      <w:r>
        <w:rPr>
          <w:rFonts w:ascii="Arial" w:hAnsi="Arial"/>
          <w:sz w:val="22"/>
        </w:rPr>
        <w:t xml:space="preserve"> with traceability from each requirement to its verification method.</w:t>
      </w:r>
    </w:p>
    <w:p>
      <w:pPr>
        <w:spacing w:after="120" w:line="276" w:lineRule="auto"/>
        <w:jc w:val="left"/>
      </w:pPr>
      <w:r>
        <w:rPr>
          <w:rFonts w:ascii="Arial" w:hAnsi="Arial"/>
          <w:sz w:val="22"/>
        </w:rPr>
        <w:t xml:space="preserve">4.  </w:t>
      </w:r>
      <w:r>
        <w:rPr>
          <w:rFonts w:ascii="Arial" w:hAnsi="Arial"/>
          <w:b/>
          <w:sz w:val="22"/>
        </w:rPr>
        <w:t xml:space="preserve">Ethics and social responsibility section</w:t>
      </w:r>
      <w:r>
        <w:rPr>
          <w:rFonts w:ascii="Arial" w:hAnsi="Arial"/>
          <w:sz w:val="22"/>
        </w:rPr>
        <w:t xml:space="preserve">, addressing automated security decision-making, false positives as a genuine harm, the carbon cost of model training, and dual-use considerations.</w:t>
      </w:r>
    </w:p>
    <w:p>
      <w:pPr>
        <w:spacing w:after="120" w:line="276" w:lineRule="auto"/>
        <w:jc w:val="both"/>
      </w:pPr>
      <w:r>
        <w:rPr>
          <w:rFonts w:ascii="Arial" w:hAnsi="Arial"/>
          <w:sz w:val="22"/>
        </w:rPr>
        <w:t xml:space="preserve">Identified further work, all grounded in measured evidence: probability calibration, per-class thresholds, a Lambda memory-latency-cost curve, scoped replacements for the two over-permissive managed policies, validation against a more recent dataset, and adversarial robustness testing of the deployed endpoint.</w:t>
      </w:r>
    </w:p>
    <w:sectPr w:rsidR="00D02BD5" w:rsidSect="006F7A04">
      <w:headerReference w:type="default" r:id="rId15"/>
      <w:footerReference w:type="default" r:id="rId16"/>
      <w:pgSz w:w="11906" w:h="16838"/>
      <w:pgMar w:top="216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131" w:rsidRDefault="008A4131" w:rsidP="002D1619">
      <w:pPr>
        <w:spacing w:after="0" w:line="240" w:lineRule="auto"/>
      </w:pPr>
      <w:r>
        <w:separator/>
      </w:r>
    </w:p>
  </w:endnote>
  <w:endnote w:type="continuationSeparator" w:id="0">
    <w:p w:rsidR="008A4131" w:rsidRDefault="008A4131"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131" w:rsidRDefault="008A4131" w:rsidP="002D1619">
      <w:pPr>
        <w:spacing w:after="0" w:line="240" w:lineRule="auto"/>
      </w:pPr>
      <w:r>
        <w:separator/>
      </w:r>
    </w:p>
  </w:footnote>
  <w:footnote w:type="continuationSeparator" w:id="0">
    <w:p w:rsidR="008A4131" w:rsidRDefault="008A4131"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619" w:rsidRDefault="00874161" w:rsidP="00874161">
    <w:pPr>
      <w:pStyle w:val="Header"/>
      <w:jc w:val="right"/>
    </w:pPr>
    <w:r>
      <w:rPr>
        <w:noProof/>
        <w:lang w:eastAsia="en-GB"/>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1619" w:rsidRDefault="002D1619">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1315DA"/>
    <w:rsid w:val="001C7B66"/>
    <w:rsid w:val="001F27D4"/>
    <w:rsid w:val="002D1619"/>
    <w:rsid w:val="00384E4C"/>
    <w:rsid w:val="0045697C"/>
    <w:rsid w:val="00485CD6"/>
    <w:rsid w:val="0053670D"/>
    <w:rsid w:val="00561A67"/>
    <w:rsid w:val="00670367"/>
    <w:rsid w:val="006F7A04"/>
    <w:rsid w:val="00760216"/>
    <w:rsid w:val="00771BC5"/>
    <w:rsid w:val="00792A43"/>
    <w:rsid w:val="00792EA5"/>
    <w:rsid w:val="00874161"/>
    <w:rsid w:val="008A4131"/>
    <w:rsid w:val="008C0330"/>
    <w:rsid w:val="008F3E9E"/>
    <w:rsid w:val="00A7468E"/>
    <w:rsid w:val="00A91CFF"/>
    <w:rsid w:val="00B05C40"/>
    <w:rsid w:val="00C150C0"/>
    <w:rsid w:val="00C66F50"/>
    <w:rsid w:val="00C87D60"/>
    <w:rsid w:val="00D02BD5"/>
    <w:rsid w:val="00D35D6D"/>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F2F66"/>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Heading1">
    <w:name w:val="heading 1"/>
    <w:basedOn w:val="Normal"/>
    <w:next w:val="Normal"/>
    <w:qFormat/>
    <w:pPr>
      <w:keepNext/>
      <w:spacing w:before="360" w:after="160"/>
      <w:outlineLvl w:val="0"/>
    </w:pPr>
    <w:rPr>
      <w:rFonts w:ascii="Arial" w:hAnsi="Arial"/>
      <w:b/>
      <w:sz w:val="32"/>
      <w:szCs w:val="32"/>
    </w:rPr>
  </w:style>
  <w:style w:type="paragraph" w:styleId="Heading2">
    <w:name w:val="heading 2"/>
    <w:basedOn w:val="Normal"/>
    <w:next w:val="Normal"/>
    <w:qFormat/>
    <w:pPr>
      <w:keepNext/>
      <w:spacing w:before="300" w:after="140"/>
      <w:outlineLvl w:val="1"/>
    </w:pPr>
    <w:rPr>
      <w:rFonts w:ascii="Arial" w:hAnsi="Arial"/>
      <w:b/>
      <w:sz w:val="26"/>
      <w:szCs w:val="26"/>
    </w:rPr>
  </w:style>
  <w:style w:type="paragraph" w:styleId="Heading3">
    <w:name w:val="heading 3"/>
    <w:basedOn w:val="Normal"/>
    <w:next w:val="Normal"/>
    <w:qFormat/>
    <w:pPr>
      <w:keepNext/>
      <w:spacing w:before="240" w:after="120"/>
      <w:outlineLvl w:val="2"/>
    </w:pPr>
    <w:rPr>
      <w:rFonts w:ascii="Arial" w:hAnsi="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Num9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Christine Theodoridou</cp:lastModifiedBy>
  <cp:revision>11</cp:revision>
  <cp:lastPrinted>2015-08-05T15:29:00Z</cp:lastPrinted>
  <dcterms:created xsi:type="dcterms:W3CDTF">2016-05-18T07:34:00Z</dcterms:created>
  <dcterms:modified xsi:type="dcterms:W3CDTF">2018-04-10T09:24:00Z</dcterms:modified>
</cp:coreProperties>
</file>