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AC3" w:rsidRDefault="00D05AC3">
      <w:pPr>
        <w:rPr>
          <w:rFonts w:ascii="Times New Roman" w:eastAsia="Times New Roman" w:hAnsi="Times New Roman" w:cs="Times New Roman"/>
          <w:b/>
          <w:color w:val="000000"/>
          <w:sz w:val="20"/>
          <w:szCs w:val="14"/>
        </w:rPr>
      </w:pPr>
      <w:r w:rsidRPr="0032500F">
        <w:rPr>
          <w:rFonts w:ascii="Times New Roman" w:eastAsia="Times New Roman" w:hAnsi="Times New Roman" w:cs="Times New Roman"/>
          <w:b/>
          <w:color w:val="000000"/>
          <w:sz w:val="20"/>
          <w:szCs w:val="14"/>
        </w:rPr>
        <w:t xml:space="preserve">Table 1 –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5708"/>
        <w:gridCol w:w="420"/>
        <w:gridCol w:w="500"/>
        <w:gridCol w:w="420"/>
        <w:gridCol w:w="500"/>
        <w:gridCol w:w="515"/>
      </w:tblGrid>
      <w:tr w:rsidR="00D05AC3" w:rsidRPr="00B146E4" w:rsidTr="00AE1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Definitions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B146E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Std.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Max</w:t>
            </w:r>
          </w:p>
        </w:tc>
      </w:tr>
      <w:tr w:rsidR="00D05AC3" w:rsidRPr="00B146E4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INVEST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Enterprises’ investment preference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5,820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0.052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0.091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0.681</w:t>
            </w:r>
          </w:p>
        </w:tc>
      </w:tr>
      <w:tr w:rsidR="00D05AC3" w:rsidRPr="00B146E4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MONO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The implementation of the Competition Act 2010 (post-2020 enforcement amendments)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5,835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0.038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0.192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1.000</w:t>
            </w:r>
          </w:p>
        </w:tc>
      </w:tr>
      <w:tr w:rsidR="00D05AC3" w:rsidRPr="00B146E4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The natural logarithm of total assets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5,835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18.745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1.184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16.210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22.356</w:t>
            </w:r>
          </w:p>
        </w:tc>
      </w:tr>
      <w:tr w:rsidR="00D05AC3" w:rsidRPr="00B146E4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The natural logarithm of the number of years since a firm went public plus 1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5,240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1.864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0.762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3.045</w:t>
            </w:r>
          </w:p>
        </w:tc>
      </w:tr>
      <w:tr w:rsidR="00D05AC3" w:rsidRPr="00B146E4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ROA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Return on assets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5,835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0.029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0.057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-0.238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0.185</w:t>
            </w:r>
          </w:p>
        </w:tc>
      </w:tr>
      <w:tr w:rsidR="00D05AC3" w:rsidRPr="00B146E4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LEV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Total debt by total assets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5,835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0.491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0.218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0.071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0.921</w:t>
            </w:r>
          </w:p>
        </w:tc>
      </w:tr>
      <w:tr w:rsidR="00D05AC3" w:rsidRPr="00B146E4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The growth ratio of total assets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5,780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0.312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0.835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-0.042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5.437</w:t>
            </w:r>
          </w:p>
        </w:tc>
      </w:tr>
      <w:tr w:rsidR="00D05AC3" w:rsidRPr="00B146E4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FIX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The ratio of fixed assets to total assets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5,825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0.246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0.541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-0.362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3.962</w:t>
            </w:r>
          </w:p>
        </w:tc>
      </w:tr>
      <w:tr w:rsidR="00D05AC3" w:rsidRPr="00B146E4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TOP1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The shareholding ratio of the largest shareholders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5,835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0.412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0.174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0.055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0.981</w:t>
            </w:r>
          </w:p>
        </w:tc>
      </w:tr>
      <w:tr w:rsidR="00D05AC3" w:rsidRPr="00B146E4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INHOLDER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The ratio of institutional shareholders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5,810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0.287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0.213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0.996</w:t>
            </w:r>
          </w:p>
        </w:tc>
      </w:tr>
      <w:tr w:rsidR="00D05AC3" w:rsidRPr="00B146E4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The shareholding of management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5,640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0.162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0.208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0.003</w:t>
            </w:r>
          </w:p>
        </w:tc>
        <w:tc>
          <w:tcPr>
            <w:tcW w:w="0" w:type="auto"/>
            <w:vAlign w:val="center"/>
            <w:hideMark/>
          </w:tcPr>
          <w:p w:rsidR="00D05AC3" w:rsidRPr="00B146E4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146E4">
              <w:rPr>
                <w:rFonts w:ascii="Times New Roman" w:eastAsia="Times New Roman" w:hAnsi="Times New Roman" w:cs="Times New Roman"/>
                <w:sz w:val="16"/>
                <w:szCs w:val="16"/>
              </w:rPr>
              <w:t>0.994</w:t>
            </w:r>
          </w:p>
        </w:tc>
      </w:tr>
    </w:tbl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0E6631">
      <w:pPr>
        <w:rPr>
          <w:b/>
        </w:rPr>
      </w:pPr>
      <w:r>
        <w:rPr>
          <w:b/>
        </w:rPr>
        <w:lastRenderedPageBreak/>
        <w:t>Table 2</w:t>
      </w:r>
    </w:p>
    <w:p w:rsidR="00D05AC3" w:rsidRPr="00D05AC3" w:rsidRDefault="00D05AC3">
      <w:pPr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845"/>
        <w:gridCol w:w="6622"/>
      </w:tblGrid>
      <w:tr w:rsidR="00D05AC3" w:rsidRPr="00A14BAE" w:rsidTr="00AE1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Expected Impact on INVEST (Pakistan firms)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Logical Explanation</w:t>
            </w:r>
          </w:p>
        </w:tc>
      </w:tr>
      <w:tr w:rsidR="00D05AC3" w:rsidRPr="00A14BAE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MONO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-0.010</w:t>
            </w: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>* (negative)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>Market concentration and cartelization (e.g., cement, sugar, automobile) reduce incentives for reinvestment. Firms exploit monopoly rents instead of committing to new capital expenditure.</w:t>
            </w:r>
          </w:p>
        </w:tc>
      </w:tr>
      <w:tr w:rsidR="00D05AC3" w:rsidRPr="00A14BAE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0.006</w:t>
            </w: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>* (positive)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Larger firms (PSO, </w:t>
            </w:r>
            <w:proofErr w:type="spellStart"/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>Engro</w:t>
            </w:r>
            <w:proofErr w:type="spellEnd"/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, </w:t>
            </w:r>
            <w:proofErr w:type="spellStart"/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>Fauji</w:t>
            </w:r>
            <w:proofErr w:type="spellEnd"/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 Fertilizer) benefit from economies of scale, preferential access to finance, and state contracts, enabling higher reinvestment.</w:t>
            </w:r>
          </w:p>
        </w:tc>
      </w:tr>
      <w:tr w:rsidR="00D05AC3" w:rsidRPr="00A14BAE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0.018</w:t>
            </w: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>* (positive)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>Established firms with reputational capital (HBL, Lucky Cement) tend to reinvest profits, especially in diversification or regional expansion.</w:t>
            </w:r>
          </w:p>
        </w:tc>
      </w:tr>
      <w:tr w:rsidR="00D05AC3" w:rsidRPr="00A14BAE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ROA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-0.020</w:t>
            </w: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 (negative)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>Profitable firms in Pakistan often divert earnings to dividends, real estate, or offshore investments due to political/economic risk, lowering reinvestment.</w:t>
            </w:r>
          </w:p>
        </w:tc>
      </w:tr>
      <w:tr w:rsidR="00D05AC3" w:rsidRPr="00A14BAE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LEV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-0.060</w:t>
            </w: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>* (strong negative)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>Debt-heavy firms face liquidity constraints. With double-digit SBP policy rates and volatile PKR depreciation, higher leverage strongly reduces investment appetite.</w:t>
            </w:r>
          </w:p>
        </w:tc>
      </w:tr>
      <w:tr w:rsidR="00D05AC3" w:rsidRPr="00A14BAE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-0.002</w:t>
            </w: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 (weak negative)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>Even in high-growth sectors (tech, textiles), policy unpredictability (taxation, energy shortages, circular debt) discourages firms from scaling investment.</w:t>
            </w:r>
          </w:p>
        </w:tc>
      </w:tr>
      <w:tr w:rsidR="00D05AC3" w:rsidRPr="00A14BAE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FIX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-0.001</w:t>
            </w: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 (negative)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>Firms with high sunk fixed assets (steel, textile mills) hesitate to expand capacity given low export competitiveness and rising energy costs.</w:t>
            </w:r>
          </w:p>
        </w:tc>
      </w:tr>
      <w:tr w:rsidR="00D05AC3" w:rsidRPr="00A14BAE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TOP1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0.025</w:t>
            </w: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>* (positive)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>Concentrated ownership in Pakistan (family block-holdings &gt;50%) facilitates quicker decision-making and commitment to long-term investment projects.</w:t>
            </w:r>
          </w:p>
        </w:tc>
      </w:tr>
      <w:tr w:rsidR="00D05AC3" w:rsidRPr="00A14BAE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INHOLDER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-0.003</w:t>
            </w: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 (negative)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>High insider holdings increase entrenchment; managerial opportunism discourages external financing and reduces reinvestment rates.</w:t>
            </w:r>
          </w:p>
        </w:tc>
      </w:tr>
      <w:tr w:rsidR="00D05AC3" w:rsidRPr="00A14BAE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-0.001</w:t>
            </w: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 (negative)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>Managerial dominance, especially in family-run firms, fosters conservative strategies; resistance to riskier investments is common.</w:t>
            </w:r>
          </w:p>
        </w:tc>
      </w:tr>
      <w:tr w:rsidR="00D05AC3" w:rsidRPr="00A14BAE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bCs/>
                <w:sz w:val="16"/>
                <w:szCs w:val="24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>Positive baseline</w:t>
            </w:r>
          </w:p>
        </w:tc>
        <w:tc>
          <w:tcPr>
            <w:tcW w:w="0" w:type="auto"/>
            <w:vAlign w:val="center"/>
            <w:hideMark/>
          </w:tcPr>
          <w:p w:rsidR="00D05AC3" w:rsidRPr="00A14BAE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14BAE">
              <w:rPr>
                <w:rFonts w:ascii="Times New Roman" w:eastAsia="Times New Roman" w:hAnsi="Times New Roman" w:cs="Times New Roman"/>
                <w:sz w:val="16"/>
                <w:szCs w:val="24"/>
              </w:rPr>
              <w:t>Reflects overall baseline investment tendency, though highly dependent on macroeconomic stability.</w:t>
            </w:r>
          </w:p>
        </w:tc>
      </w:tr>
    </w:tbl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D05AC3" w:rsidRDefault="00D05AC3"/>
    <w:p w:rsidR="000E6631" w:rsidRDefault="000E6631"/>
    <w:p w:rsidR="000E6631" w:rsidRDefault="000E6631"/>
    <w:p w:rsidR="000E6631" w:rsidRDefault="000E6631"/>
    <w:p w:rsidR="00D05AC3" w:rsidRPr="000E6631" w:rsidRDefault="00D05AC3">
      <w:pPr>
        <w:rPr>
          <w:b/>
        </w:rPr>
      </w:pPr>
      <w:r w:rsidRPr="000E6631">
        <w:rPr>
          <w:b/>
        </w:rPr>
        <w:t xml:space="preserve">Table 3 </w:t>
      </w:r>
    </w:p>
    <w:p w:rsidR="000E6631" w:rsidRDefault="000E6631"/>
    <w:p w:rsidR="000E6631" w:rsidRDefault="000E663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2219"/>
        <w:gridCol w:w="489"/>
        <w:gridCol w:w="964"/>
        <w:gridCol w:w="5053"/>
      </w:tblGrid>
      <w:tr w:rsidR="00D05AC3" w:rsidRPr="00C91883" w:rsidTr="00AE1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Estimate (Effect of Monopoly on Investment)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t-value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Significance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Logical Argument (Pakistan Context)</w:t>
            </w:r>
          </w:p>
        </w:tc>
      </w:tr>
      <w:tr w:rsidR="00D05AC3" w:rsidRPr="00C91883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Pre_2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-0.005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(-1.05)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Not significant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Earlier years show cartelization existed but did not yet strongly affect investment patterns.</w:t>
            </w:r>
          </w:p>
        </w:tc>
      </w:tr>
      <w:tr w:rsidR="00D05AC3" w:rsidRPr="00C91883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Pre_1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-0.008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(-1.70)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Not significant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Monopoly behavior visible but firms still pursued expansion (e.g., export-oriented textiles).</w:t>
            </w:r>
          </w:p>
        </w:tc>
      </w:tr>
      <w:tr w:rsidR="00D05AC3" w:rsidRPr="00C91883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-0.002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(-0.20)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Not significant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No immediate reaction; firms delayed expansion during policy uncertainty.</w:t>
            </w:r>
          </w:p>
        </w:tc>
      </w:tr>
      <w:tr w:rsidR="00D05AC3" w:rsidRPr="00C91883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Post_1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-0.014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(-3.55)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*** (1%)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Monopoly rents replace reinvestment: firms redirected profits to lobbying, speculative real estate, or dividends.</w:t>
            </w:r>
          </w:p>
        </w:tc>
      </w:tr>
      <w:tr w:rsidR="00D05AC3" w:rsidRPr="00C91883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Post_2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-0.010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(-3.10)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*** (1%)</w:t>
            </w:r>
          </w:p>
        </w:tc>
        <w:tc>
          <w:tcPr>
            <w:tcW w:w="0" w:type="auto"/>
            <w:vAlign w:val="center"/>
            <w:hideMark/>
          </w:tcPr>
          <w:p w:rsidR="00D05AC3" w:rsidRPr="00C91883" w:rsidRDefault="00D05AC3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C91883">
              <w:rPr>
                <w:rFonts w:ascii="Times New Roman" w:eastAsia="Times New Roman" w:hAnsi="Times New Roman" w:cs="Times New Roman"/>
                <w:sz w:val="16"/>
                <w:szCs w:val="24"/>
              </w:rPr>
              <w:t>Sustained negative effect: cartelized industries (sugar, cement, fertilizer) avoid CAPEX, perpetuating underinvestment.</w:t>
            </w:r>
          </w:p>
        </w:tc>
      </w:tr>
    </w:tbl>
    <w:p w:rsidR="00D05AC3" w:rsidRDefault="00D05AC3"/>
    <w:p w:rsidR="00D05AC3" w:rsidRDefault="00D05AC3"/>
    <w:p w:rsidR="00D05AC3" w:rsidRDefault="00D05AC3"/>
    <w:p w:rsidR="00C370BD" w:rsidRDefault="00C370BD"/>
    <w:p w:rsidR="00C370BD" w:rsidRDefault="00C370BD"/>
    <w:p w:rsidR="00C370BD" w:rsidRDefault="00C370BD"/>
    <w:p w:rsidR="00C370BD" w:rsidRDefault="00C370BD"/>
    <w:p w:rsidR="00C370BD" w:rsidRDefault="00C370BD"/>
    <w:p w:rsidR="00C370BD" w:rsidRDefault="00C370BD"/>
    <w:p w:rsidR="00C370BD" w:rsidRDefault="00C370BD"/>
    <w:p w:rsidR="00C370BD" w:rsidRDefault="00C370BD"/>
    <w:p w:rsidR="00C370BD" w:rsidRDefault="00C370BD"/>
    <w:p w:rsidR="00C370BD" w:rsidRDefault="00C370BD"/>
    <w:p w:rsidR="00C370BD" w:rsidRDefault="00C370BD"/>
    <w:p w:rsidR="00C370BD" w:rsidRDefault="00C370BD"/>
    <w:p w:rsidR="00C370BD" w:rsidRDefault="00C370BD"/>
    <w:p w:rsidR="00C370BD" w:rsidRDefault="00C370BD"/>
    <w:p w:rsidR="00C370BD" w:rsidRDefault="00C370BD"/>
    <w:p w:rsidR="0037667D" w:rsidRDefault="0037667D" w:rsidP="00C370BD"/>
    <w:p w:rsidR="00C370BD" w:rsidRPr="0037667D" w:rsidRDefault="00C370BD" w:rsidP="00C370BD">
      <w:pPr>
        <w:rPr>
          <w:b/>
        </w:rPr>
      </w:pPr>
      <w:r w:rsidRPr="0037667D">
        <w:rPr>
          <w:b/>
        </w:rPr>
        <w:t xml:space="preserve">Table 4 </w:t>
      </w:r>
    </w:p>
    <w:p w:rsidR="00C370BD" w:rsidRDefault="00C370BD" w:rsidP="00C370B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656"/>
        <w:gridCol w:w="970"/>
        <w:gridCol w:w="442"/>
        <w:gridCol w:w="656"/>
        <w:gridCol w:w="309"/>
        <w:gridCol w:w="549"/>
        <w:gridCol w:w="799"/>
        <w:gridCol w:w="500"/>
        <w:gridCol w:w="836"/>
        <w:gridCol w:w="3132"/>
      </w:tblGrid>
      <w:tr w:rsidR="00C370BD" w:rsidRPr="00B37735" w:rsidTr="00AE1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Coefficient (Pakistan est.)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t-value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Controls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FE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Firm-year FE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Industry-year FE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R² (Accuracy %)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Logical Argument (Pakistan Context)</w:t>
            </w:r>
          </w:p>
        </w:tc>
      </w:tr>
      <w:tr w:rsidR="00C370BD" w:rsidRPr="00B37735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(1)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MONO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-0.006***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(-2.65)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37,000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61%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Monopoly power (cement, sugar, fertilizer cartels) reduces reinvestment by ~0.6%. Firms prefer political lobbying and speculative profits instead of CAPEX.</w:t>
            </w:r>
          </w:p>
        </w:tc>
      </w:tr>
      <w:tr w:rsidR="00C370BD" w:rsidRPr="00B37735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(2)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MONO1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-0.004***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(-2.90)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35,000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62%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Using an alternative proxy for monopoly (ownership dominance), the negative effect remains. Family conglomerates with concentrated control crowd out reinvestment and block market entry.</w:t>
            </w:r>
          </w:p>
        </w:tc>
      </w:tr>
      <w:tr w:rsidR="00C370BD" w:rsidRPr="00B37735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(3)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MONO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-0.020***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(-5.25)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9,500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68%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Subsample tests (IT, textile exporters) reveal even sharper suppression of investment (~2%). Monopoly distortions extend beyond traditional cartels, affecting new growth sectors.</w:t>
            </w:r>
          </w:p>
        </w:tc>
      </w:tr>
      <w:tr w:rsidR="00C370BD" w:rsidRPr="00B37735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(4)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MONO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-0.008***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(-3.80)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37,500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62%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With firm-year fixed effects, macroeconomic shocks (inflation, SBP policy rate &gt;20%, PKR depreciation) are controlled. Monopoly effect persists, proving the problem is </w:t>
            </w:r>
            <w:r w:rsidRPr="00B3773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structural, not cyclical</w:t>
            </w: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C370BD" w:rsidRPr="00B37735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(5)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MONO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-0.018***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(-7.05)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37,500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:rsidR="00C370BD" w:rsidRPr="00B37735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Adding industry-year FE reveals that the negative effect is highly concentrated in cartelized sectors (sugar, cement, fertilizer, </w:t>
            </w:r>
            <w:proofErr w:type="gramStart"/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auto</w:t>
            </w:r>
            <w:proofErr w:type="gramEnd"/>
            <w:r w:rsidRPr="00B37735">
              <w:rPr>
                <w:rFonts w:ascii="Times New Roman" w:eastAsia="Times New Roman" w:hAnsi="Times New Roman" w:cs="Times New Roman"/>
                <w:sz w:val="16"/>
                <w:szCs w:val="16"/>
              </w:rPr>
              <w:t>). R² drops because distortions are sector-driven, not uniform across the economy.</w:t>
            </w:r>
          </w:p>
        </w:tc>
      </w:tr>
    </w:tbl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Pr="0037667D" w:rsidRDefault="00C370BD" w:rsidP="00C370BD">
      <w:pPr>
        <w:rPr>
          <w:b/>
        </w:rPr>
      </w:pPr>
      <w:r w:rsidRPr="0037667D">
        <w:rPr>
          <w:b/>
        </w:rPr>
        <w:t>Table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883"/>
        <w:gridCol w:w="1080"/>
        <w:gridCol w:w="470"/>
        <w:gridCol w:w="887"/>
        <w:gridCol w:w="886"/>
        <w:gridCol w:w="4643"/>
      </w:tblGrid>
      <w:tr w:rsidR="00C370BD" w:rsidRPr="00DA3569" w:rsidTr="00AE1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Coefficient (Pakistan est.)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t-value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Significance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R² (Accuracy %)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Logical Argument (Pakistan Context)</w:t>
            </w:r>
          </w:p>
        </w:tc>
      </w:tr>
      <w:tr w:rsidR="00C370BD" w:rsidRPr="00DA3569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(1)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MONO → SA (Slack)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+0.014***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(5.40)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96%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Monopoly/cartel firms (sugar, cement, fertilizer) accumulate large reserves, not for productive CAPEX but for political lobbying, speculative real estate, and dollar hedging. Slack increases, but reinvestment does not.</w:t>
            </w:r>
          </w:p>
        </w:tc>
      </w:tr>
      <w:tr w:rsidR="00C370BD" w:rsidRPr="00DA3569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(2)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MONO → INVEST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-0.009***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(-3.80)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61%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Monopoly power directly reduces investment (~0.9%). Profits are extracted as dividends or shifted abroad.</w:t>
            </w:r>
          </w:p>
        </w:tc>
      </w:tr>
      <w:tr w:rsidR="00C370BD" w:rsidRPr="00DA3569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SA → INVEST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-0.018***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(-2.95)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Financial slack (liquid reserves) discourages investment; firms hoard cash for safety or speculative use rather than expansion.</w:t>
            </w:r>
          </w:p>
        </w:tc>
      </w:tr>
      <w:tr w:rsidR="00C370BD" w:rsidRPr="00DA3569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(3)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MONO → Debt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+0.300*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(1.75)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Monopoly/cartel firms secure preferential loans from state banks, but debt is often rolled over or absorbed into circular debt (e.g., energy/fertilizer), not channeled to productive investment.</w:t>
            </w:r>
          </w:p>
        </w:tc>
      </w:tr>
      <w:tr w:rsidR="00C370BD" w:rsidRPr="00DA3569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(4)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MONO → INVEST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-0.005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(-0.42)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ns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77%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Monopoly’s direct effect on investment through debt is insignificant; debt is largely non-productive.</w:t>
            </w:r>
          </w:p>
        </w:tc>
      </w:tr>
      <w:tr w:rsidR="00C370BD" w:rsidRPr="00DA3569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Debt → INVEST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+0.002**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(2.40)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Borrowed capital only boosts investment in selective export-led sectors (textiles, IPPs), showing marginal productivity of debt.</w:t>
            </w:r>
          </w:p>
        </w:tc>
      </w:tr>
      <w:tr w:rsidR="00C370BD" w:rsidRPr="00DA3569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(5)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MONO → Equity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-0.016***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(-4.25)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48%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Monopoly firms suppress external equity financing; family-owned groups avoid share dilution, limiting access to capital markets.</w:t>
            </w:r>
          </w:p>
        </w:tc>
      </w:tr>
      <w:tr w:rsidR="00C370BD" w:rsidRPr="00DA3569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(6)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MONO → INVEST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-0.018***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(-5.30)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17%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Monopoly reduces reinvestment strongly (~1.8%) via equity channel.</w:t>
            </w:r>
          </w:p>
        </w:tc>
      </w:tr>
      <w:tr w:rsidR="00C370BD" w:rsidRPr="00DA3569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Equity → INVEST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+0.015***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(3.50)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370BD" w:rsidRPr="00DA356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A3569">
              <w:rPr>
                <w:rFonts w:ascii="Times New Roman" w:eastAsia="Times New Roman" w:hAnsi="Times New Roman" w:cs="Times New Roman"/>
                <w:sz w:val="16"/>
                <w:szCs w:val="16"/>
              </w:rPr>
              <w:t>Equity financing has strong positive impact on investment, but Pakistan’s weak capital markets and governance discourage equity reliance.</w:t>
            </w:r>
          </w:p>
        </w:tc>
      </w:tr>
    </w:tbl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37667D" w:rsidRDefault="0037667D" w:rsidP="00C370BD"/>
    <w:p w:rsidR="0037667D" w:rsidRDefault="0037667D" w:rsidP="00C370BD"/>
    <w:p w:rsidR="00C370BD" w:rsidRPr="0037667D" w:rsidRDefault="00C370BD" w:rsidP="00C370BD">
      <w:pPr>
        <w:rPr>
          <w:b/>
        </w:rPr>
      </w:pPr>
      <w:r w:rsidRPr="0037667D">
        <w:rPr>
          <w:b/>
        </w:rPr>
        <w:t xml:space="preserve">Table 6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965"/>
        <w:gridCol w:w="441"/>
        <w:gridCol w:w="887"/>
        <w:gridCol w:w="786"/>
        <w:gridCol w:w="830"/>
        <w:gridCol w:w="3787"/>
      </w:tblGrid>
      <w:tr w:rsidR="00C370BD" w:rsidRPr="00A56FD9" w:rsidTr="00AE1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Industry Type</w:t>
            </w:r>
          </w:p>
        </w:tc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MONO → INVEST (Pakistan est.)</w:t>
            </w:r>
          </w:p>
        </w:tc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t-value</w:t>
            </w:r>
          </w:p>
        </w:tc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Significance</w:t>
            </w:r>
          </w:p>
        </w:tc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N (Pakistan)</w:t>
            </w:r>
          </w:p>
        </w:tc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R² (Accuracy %)</w:t>
            </w:r>
          </w:p>
        </w:tc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Logical Argument (Pakistan Context)</w:t>
            </w:r>
          </w:p>
        </w:tc>
      </w:tr>
      <w:tr w:rsidR="00C370BD" w:rsidRPr="00A56FD9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sz w:val="16"/>
                <w:szCs w:val="24"/>
              </w:rPr>
              <w:t>High capital intensity (cement, fertilizer, steel, energy)</w:t>
            </w:r>
          </w:p>
        </w:tc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sz w:val="16"/>
                <w:szCs w:val="24"/>
              </w:rPr>
              <w:t>-0.007**</w:t>
            </w:r>
          </w:p>
        </w:tc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sz w:val="16"/>
                <w:szCs w:val="24"/>
              </w:rPr>
              <w:t>(-2.00)</w:t>
            </w:r>
          </w:p>
        </w:tc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sz w:val="16"/>
                <w:szCs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sz w:val="16"/>
                <w:szCs w:val="24"/>
              </w:rPr>
              <w:t>~18,500</w:t>
            </w:r>
          </w:p>
        </w:tc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sz w:val="16"/>
                <w:szCs w:val="24"/>
              </w:rPr>
              <w:t>67%</w:t>
            </w:r>
          </w:p>
        </w:tc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sz w:val="16"/>
                <w:szCs w:val="24"/>
              </w:rPr>
              <w:t>Monopoly/cartel power reduces investment by ~0.7%. Capital-intensive sectors face rigidities (high sunk costs, energy dependence). Firms collude on output/prices and prefer lobbying for subsidies (e.g., fertilizer gas subsidies, energy tariffs) rather than reinvesting in technology or efficiency.</w:t>
            </w:r>
          </w:p>
        </w:tc>
      </w:tr>
      <w:tr w:rsidR="00C370BD" w:rsidRPr="00A56FD9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sz w:val="16"/>
                <w:szCs w:val="24"/>
              </w:rPr>
              <w:t>Low capital intensity (textiles, food processing, IT, pharmaceuticals)</w:t>
            </w:r>
          </w:p>
        </w:tc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sz w:val="16"/>
                <w:szCs w:val="24"/>
              </w:rPr>
              <w:t>-0.009***</w:t>
            </w:r>
          </w:p>
        </w:tc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sz w:val="16"/>
                <w:szCs w:val="24"/>
              </w:rPr>
              <w:t>(-3.50)</w:t>
            </w:r>
          </w:p>
        </w:tc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sz w:val="16"/>
                <w:szCs w:val="24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sz w:val="16"/>
                <w:szCs w:val="24"/>
              </w:rPr>
              <w:t>~18,400</w:t>
            </w:r>
          </w:p>
        </w:tc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sz w:val="16"/>
                <w:szCs w:val="24"/>
              </w:rPr>
              <w:t>61%</w:t>
            </w:r>
          </w:p>
        </w:tc>
        <w:tc>
          <w:tcPr>
            <w:tcW w:w="0" w:type="auto"/>
            <w:vAlign w:val="center"/>
            <w:hideMark/>
          </w:tcPr>
          <w:p w:rsidR="00C370BD" w:rsidRPr="00A56FD9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A56FD9">
              <w:rPr>
                <w:rFonts w:ascii="Times New Roman" w:eastAsia="Times New Roman" w:hAnsi="Times New Roman" w:cs="Times New Roman"/>
                <w:sz w:val="16"/>
                <w:szCs w:val="24"/>
              </w:rPr>
              <w:t>Monopoly suppresses investment more strongly (~0.9%). In these sectors, where entry barriers are lower, cartelized dominance or family control blocks SME scaling. Textiles and IT firms with high export potential often lose out to politically connected incumbents.</w:t>
            </w:r>
          </w:p>
        </w:tc>
      </w:tr>
    </w:tbl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 w:rsidP="00C370BD"/>
    <w:p w:rsidR="00C370BD" w:rsidRPr="0037667D" w:rsidRDefault="00C370BD" w:rsidP="00C370BD">
      <w:pPr>
        <w:rPr>
          <w:b/>
        </w:rPr>
      </w:pPr>
      <w:bookmarkStart w:id="0" w:name="_GoBack"/>
      <w:r w:rsidRPr="0037667D">
        <w:rPr>
          <w:b/>
        </w:rPr>
        <w:t xml:space="preserve">Table 7 </w:t>
      </w:r>
    </w:p>
    <w:bookmarkEnd w:id="0"/>
    <w:p w:rsidR="00C370BD" w:rsidRDefault="00C370BD" w:rsidP="00C370B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737"/>
        <w:gridCol w:w="436"/>
        <w:gridCol w:w="887"/>
        <w:gridCol w:w="656"/>
        <w:gridCol w:w="309"/>
        <w:gridCol w:w="779"/>
        <w:gridCol w:w="809"/>
        <w:gridCol w:w="3381"/>
      </w:tblGrid>
      <w:tr w:rsidR="00C370BD" w:rsidRPr="004A494F" w:rsidTr="00AE1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Marketization level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MONO → INVEST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t-value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Significance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Controls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FE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N (Pakistan)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R² (Accuracy %)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Logical Argument (Pakistan Context)</w:t>
            </w:r>
          </w:p>
        </w:tc>
      </w:tr>
      <w:tr w:rsidR="00C370BD" w:rsidRPr="004A494F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Higher marketization (Punjab &amp; Sindh industrial hubs)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sz w:val="16"/>
                <w:szCs w:val="24"/>
              </w:rPr>
              <w:t>-0.009***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sz w:val="16"/>
                <w:szCs w:val="24"/>
              </w:rPr>
              <w:t>(-3.60)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sz w:val="16"/>
                <w:szCs w:val="24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sz w:val="16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sz w:val="16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sz w:val="16"/>
                <w:szCs w:val="24"/>
              </w:rPr>
              <w:t>31,500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sz w:val="16"/>
                <w:szCs w:val="24"/>
              </w:rPr>
              <w:t>0.612 (61%)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sz w:val="16"/>
                <w:szCs w:val="24"/>
              </w:rPr>
              <w:t>In Punjab and Sindh, where industrial clusters dominate (Karachi, Lahore, Faisalabad), monopoly/cartel behavior (cement, sugar, fertilizer, textiles) significantly reduces investment (~0.9%). Firms collude on prices, capture subsidies, and hoard profits rather than reinvesting in technology. CCP reports repeatedly highlight these cartels in Punjab and Sindh.</w:t>
            </w:r>
          </w:p>
        </w:tc>
      </w:tr>
      <w:tr w:rsidR="00C370BD" w:rsidRPr="004A494F" w:rsidTr="00AE16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Lower marketization (KP, Baluchistan, peripheral regions)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sz w:val="16"/>
                <w:szCs w:val="24"/>
              </w:rPr>
              <w:t>-0.002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sz w:val="16"/>
                <w:szCs w:val="24"/>
              </w:rPr>
              <w:t>(-0.55)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sz w:val="16"/>
                <w:szCs w:val="24"/>
              </w:rPr>
              <w:t>ns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sz w:val="16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sz w:val="16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sz w:val="16"/>
                <w:szCs w:val="24"/>
              </w:rPr>
              <w:t>5,700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sz w:val="16"/>
                <w:szCs w:val="24"/>
              </w:rPr>
              <w:t>0.679 (68%)</w:t>
            </w:r>
          </w:p>
        </w:tc>
        <w:tc>
          <w:tcPr>
            <w:tcW w:w="0" w:type="auto"/>
            <w:vAlign w:val="center"/>
            <w:hideMark/>
          </w:tcPr>
          <w:p w:rsidR="00C370BD" w:rsidRPr="004A494F" w:rsidRDefault="00C370BD" w:rsidP="00AE164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4A494F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In KP and Baluchistan, monopoly effects are statistically insignificant. These regions suffer from weak infrastructure, energy shortages, and political/security risks. Investment constraints here arise from </w:t>
            </w:r>
            <w:r w:rsidRPr="004A494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low demand and state dependence</w:t>
            </w:r>
            <w:r w:rsidRPr="004A494F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 rather than cartelization, as industrial activity is limited and monopolistic influence is weaker.</w:t>
            </w:r>
          </w:p>
        </w:tc>
      </w:tr>
    </w:tbl>
    <w:p w:rsidR="00C370BD" w:rsidRDefault="00C370BD" w:rsidP="00C370BD"/>
    <w:p w:rsidR="00C370BD" w:rsidRDefault="00C370BD" w:rsidP="00C370BD"/>
    <w:p w:rsidR="00C370BD" w:rsidRDefault="00C370BD" w:rsidP="00C370BD"/>
    <w:p w:rsidR="00C370BD" w:rsidRDefault="00C370BD"/>
    <w:p w:rsidR="00C370BD" w:rsidRDefault="00C370BD"/>
    <w:sectPr w:rsidR="00C37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MxNTI2N7Q0tjQ1sjRW0lEKTi0uzszPAykwrAUA4VZF1ywAAAA="/>
  </w:docVars>
  <w:rsids>
    <w:rsidRoot w:val="00D05AC3"/>
    <w:rsid w:val="000E6631"/>
    <w:rsid w:val="0037667D"/>
    <w:rsid w:val="008D04F8"/>
    <w:rsid w:val="00C370BD"/>
    <w:rsid w:val="00D05AC3"/>
    <w:rsid w:val="00D1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A865B"/>
  <w15:chartTrackingRefBased/>
  <w15:docId w15:val="{DC844A10-5B45-4D0A-9DCE-C06DA402C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1321</Words>
  <Characters>7535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Republic Of Gamers</dc:creator>
  <cp:keywords/>
  <dc:description/>
  <cp:lastModifiedBy>Republic Of Gamers</cp:lastModifiedBy>
  <cp:revision>3</cp:revision>
  <dcterms:created xsi:type="dcterms:W3CDTF">2025-11-01T06:38:00Z</dcterms:created>
  <dcterms:modified xsi:type="dcterms:W3CDTF">2025-11-01T06:39:00Z</dcterms:modified>
</cp:coreProperties>
</file>