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jc w:val="center"/>
      </w:pPr>
      <w:r>
        <w:rPr>
          <w:b/>
          <w:bCs/>
          <w:color w:val="0d1b2a"/>
          <w:sz w:val="56"/>
          <w:szCs w:val="56"/>
        </w:rPr>
        <w:t xml:space="preserve">Grid Infrastructure Detection</w:t>
      </w:r>
    </w:p>
    <w:p>
      <w:pPr>
        <w:spacing w:after="300"/>
        <w:jc w:val="center"/>
      </w:pPr>
      <w:r>
        <w:rPr>
          <w:b/>
          <w:bCs/>
          <w:color w:val="0d1b2a"/>
          <w:sz w:val="56"/>
          <w:szCs w:val="56"/>
        </w:rPr>
        <w:t xml:space="preserve">&amp; Siting Pipeline</w:t>
      </w:r>
    </w:p>
    <w:p>
      <w:pPr>
        <w:spacing w:after="120"/>
        <w:jc w:val="center"/>
      </w:pPr>
      <w:r>
        <w:rPr>
          <w:color w:val="1b3a5c"/>
          <w:sz w:val="36"/>
          <w:szCs w:val="36"/>
        </w:rPr>
        <w:t xml:space="preserve">Technical Manual</w:t>
      </w:r>
    </w:p>
    <w:p>
      <w:pPr>
        <w:spacing w:after="600"/>
        <w:jc w:val="center"/>
      </w:pPr>
      <w:r>
        <w:rPr>
          <w:color w:val="888888"/>
          <w:sz w:val="24"/>
          <w:szCs w:val="24"/>
        </w:rPr>
        <w:t xml:space="preserve">Version 2.1 — April 2026</w:t>
      </w:r>
    </w:p>
    <w:p>
      <w:pPr>
        <w:jc w:val="center"/>
      </w:pPr>
      <w:r>
        <w:rPr>
          <w:sz w:val="24"/>
          <w:szCs w:val="24"/>
        </w:rPr>
        <w:t xml:space="preserve">Nishan Sah, Arthur Spirou, Jordan Gutterman, Arturo Arias</w:t>
      </w:r>
    </w:p>
    <w:p>
      <w:pPr>
        <w:jc w:val="center"/>
      </w:pPr>
      <w:r>
        <w:rPr>
          <w:color w:val="666666"/>
          <w:sz w:val="22"/>
          <w:szCs w:val="22"/>
        </w:rPr>
        <w:t xml:space="preserve">Carnegie Mellon University — Heinz College</w:t>
      </w:r>
    </w:p>
    <w:p>
      <w:pPr>
        <w:spacing w:after="400"/>
        <w:jc w:val="center"/>
      </w:pPr>
      <w:r>
        <w:rPr>
          <w:color w:val="666666"/>
          <w:sz w:val="22"/>
          <w:szCs w:val="22"/>
        </w:rPr>
        <w:t xml:space="preserve">Introduction to Artificial Intelligence, Spring 2026</w:t>
      </w:r>
    </w:p>
    <w:p>
      <w:r>
        <w:br w:type="page"/>
      </w:r>
    </w:p>
    <w:p>
      <w:pPr>
        <w:pStyle w:val="Heading1"/>
        <w:spacing w:after="200" w:before="360"/>
      </w:pPr>
      <w:r>
        <w:rPr>
          <w:b/>
          <w:bCs/>
        </w:rPr>
        <w:t xml:space="preserve">1. Executive Summary</w:t>
      </w:r>
    </w:p>
    <w:p>
      <w:pPr>
        <w:spacing w:after="120" w:line="276"/>
      </w:pPr>
      <w:r>
        <w:t xml:space="preserve">The Grid Infrastructure Detection and Siting Pipeline is an end-to-end system that answers two questions: where do electrical substations currently exist in a region, and where should new ones be built to serve growing demand? It does this by combining computer vision (a deep learning model that identifies substations from aerial photographs) with operations research (a mathematical optimizer that recommends new locations based on population, buildings, and existing grid infrastructure).</w:t>
      </w:r>
    </w:p>
    <w:p>
      <w:pPr>
        <w:spacing w:after="200"/>
      </w:pPr>
    </w:p>
    <w:p>
      <w:pPr>
        <w:spacing w:after="120" w:line="276"/>
      </w:pPr>
      <w:r>
        <w:t xml:space="preserve">The system takes a geographic bounding box as input and produces a ranked list of recommended substation sites, each annotated with its street address, the load it would serve, and whether the surrounding land is suitable for construction. The entire process runs from a single command line invocation and completes in 10 to 30 minutes depending on area size.</w:t>
      </w:r>
    </w:p>
    <w:p>
      <w:pPr>
        <w:spacing w:after="200"/>
      </w:pPr>
    </w:p>
    <w:p>
      <w:pPr>
        <w:spacing w:after="120" w:line="276"/>
      </w:pPr>
      <w:r>
        <w:t xml:space="preserve">This document explains every component of the pipeline, the rationale behind each design decision, the assumptions that underpin the results, and the limitations that users must understand before acting on the recommendations.</w:t>
      </w:r>
    </w:p>
    <w:p>
      <w:r>
        <w:br w:type="page"/>
      </w:r>
    </w:p>
    <w:p>
      <w:pPr>
        <w:pStyle w:val="Heading1"/>
        <w:spacing w:after="200" w:before="360"/>
      </w:pPr>
      <w:r>
        <w:rPr>
          <w:b/>
          <w:bCs/>
        </w:rPr>
        <w:t xml:space="preserve">2. Value Proposition</w:t>
      </w:r>
    </w:p>
    <w:p>
      <w:pPr>
        <w:pStyle w:val="Heading2"/>
        <w:spacing w:after="160" w:before="280"/>
      </w:pPr>
      <w:r>
        <w:rPr>
          <w:b/>
          <w:bCs/>
        </w:rPr>
        <w:t xml:space="preserve">2.1 The Problem</w:t>
      </w:r>
    </w:p>
    <w:p>
      <w:pPr>
        <w:spacing w:after="120" w:line="276"/>
      </w:pPr>
      <w:r>
        <w:t xml:space="preserve">Electrical grid planning requires knowing two things: where existing substations are located, and where demand is growing faster than the grid can serve. In the United States, this information is fragmented across hundreds of utilities, each maintaining its own asset records in proprietary formats. No single public database contains all substation locations at a national scale.</w:t>
      </w:r>
    </w:p>
    <w:p>
      <w:pPr>
        <w:spacing w:after="200"/>
      </w:pPr>
    </w:p>
    <w:p>
      <w:pPr>
        <w:spacing w:after="120" w:line="276"/>
      </w:pPr>
      <w:r>
        <w:t xml:space="preserve">OpenStreetMap contains many substations, but coverage is inconsistent. Some counties have every substation mapped with voltage and operator tags; others are missing half their substations entirely. The US Energy Information Administration publishes a substation dataset, but it is updated infrequently and lacks small distribution substations. Census records tell us where people live, but not where the grid serves them.</w:t>
      </w:r>
    </w:p>
    <w:p>
      <w:pPr>
        <w:spacing w:after="200"/>
      </w:pPr>
    </w:p>
    <w:p>
      <w:pPr>
        <w:spacing w:after="120" w:line="276"/>
      </w:pPr>
      <w:r>
        <w:t xml:space="preserve">For anyone who is not a utility insider, getting a reliable picture of existing grid infrastructure for a specific region requires manual research, Freedom of Information requests, or expensive commercial datasets. This creates a barrier for the very people who need this information most: regional planners coordinating across utility boundaries, regulators assessing service equity, infrastructure developers identifying underserved markets, and disaster response teams assessing damage.</w:t>
      </w:r>
    </w:p>
    <w:p>
      <w:pPr>
        <w:spacing w:after="200"/>
      </w:pPr>
    </w:p>
    <w:p>
      <w:pPr>
        <w:pStyle w:val="Heading2"/>
        <w:spacing w:after="160" w:before="280"/>
      </w:pPr>
      <w:r>
        <w:rPr>
          <w:b/>
          <w:bCs/>
        </w:rPr>
        <w:t xml:space="preserve">2.2 What This System Does</w:t>
      </w:r>
    </w:p>
    <w:p>
      <w:pPr>
        <w:spacing w:after="120" w:line="276"/>
      </w:pPr>
      <w:r>
        <w:t xml:space="preserve">This pipeline removes that barrier by deriving substation locations directly from publicly available aerial imagery. The National Agriculture Imagery Program (NAIP) photographs the entire continental United States every two to three years at 0.6 meter resolution. At this resolution, substations are clearly visible as distinct structures: fenced compounds containing transformer arrays, bus bars, switching equipment, and gravel yards. Our deep learning model has learned to recognize these patterns and segment them from the surrounding landscape.</w:t>
      </w:r>
    </w:p>
    <w:p>
      <w:pPr>
        <w:spacing w:after="200"/>
      </w:pPr>
    </w:p>
    <w:p>
      <w:pPr>
        <w:spacing w:after="120" w:line="276"/>
      </w:pPr>
      <w:r>
        <w:t xml:space="preserve">Once existing substations are identified, the optimizer combines their locations with Census population data, Microsoft Building Footprints, and OpenStreetMap transmission lines to build a demand model for the region. It then solves a facility location problem to determine where new substations would most reduce the distance between demand and supply. Each recommendation is enriched with a reverse-geocoded street address and a land-use suitability check that flags parks, wetlands, military zones, and other restricted areas.</w:t>
      </w:r>
    </w:p>
    <w:p>
      <w:pPr>
        <w:spacing w:after="200"/>
      </w:pPr>
    </w:p>
    <w:p>
      <w:pPr>
        <w:pStyle w:val="Heading2"/>
        <w:spacing w:after="160" w:before="280"/>
      </w:pPr>
      <w:r>
        <w:rPr>
          <w:b/>
          <w:bCs/>
        </w:rPr>
        <w:t xml:space="preserve">2.3 Who Should Use This</w:t>
      </w:r>
    </w:p>
    <w:p>
      <w:pPr>
        <w:pStyle w:val="ListParagraph"/>
        <w:numPr>
          <w:ilvl w:val="0"/>
          <w:numId w:val="2"/>
        </w:numPr>
        <w:spacing w:after="80" w:line="276"/>
      </w:pPr>
      <w:r>
        <w:rPr>
          <w:b/>
          <w:bCs/>
        </w:rPr>
        <w:t xml:space="preserve">Regional planners and metropolitan planning organizations </w:t>
      </w:r>
      <w:r>
        <w:t xml:space="preserve">who coordinate infrastructure across multiple utility service territories. The system provides a utility-agnostic view of existing grid assets derived from imagery that is the same vintage everywhere, eliminating the inconsistencies that arise from merging heterogeneous utility records.</w:t>
      </w:r>
    </w:p>
    <w:p>
      <w:pPr>
        <w:pStyle w:val="ListParagraph"/>
        <w:numPr>
          <w:ilvl w:val="0"/>
          <w:numId w:val="2"/>
        </w:numPr>
        <w:spacing w:after="80" w:line="276"/>
      </w:pPr>
      <w:r>
        <w:rPr>
          <w:b/>
          <w:bCs/>
        </w:rPr>
        <w:t xml:space="preserve">State public utility commissions and energy regulators </w:t>
      </w:r>
      <w:r>
        <w:t xml:space="preserve">who need to assess whether utilities are investing equitably across their service territories. The coverage gap analysis identifies which communities are farthest from existing substations and quantifies the improvement that new construction would provide.</w:t>
      </w:r>
    </w:p>
    <w:p>
      <w:pPr>
        <w:pStyle w:val="ListParagraph"/>
        <w:numPr>
          <w:ilvl w:val="0"/>
          <w:numId w:val="2"/>
        </w:numPr>
        <w:spacing w:after="80" w:line="276"/>
      </w:pPr>
      <w:r>
        <w:rPr>
          <w:b/>
          <w:bCs/>
        </w:rPr>
        <w:t xml:space="preserve">Infrastructure developers and private equity firms </w:t>
      </w:r>
      <w:r>
        <w:t xml:space="preserve">evaluating markets for distributed energy, electric vehicle charging, or data center construction. The demand grid reveals where electrical load is concentrated relative to existing grid capacity, highlighting areas where grid upgrades create investment opportunities.</w:t>
      </w:r>
    </w:p>
    <w:p>
      <w:pPr>
        <w:pStyle w:val="ListParagraph"/>
        <w:numPr>
          <w:ilvl w:val="0"/>
          <w:numId w:val="2"/>
        </w:numPr>
        <w:spacing w:after="80" w:line="276"/>
      </w:pPr>
      <w:r>
        <w:rPr>
          <w:b/>
          <w:bCs/>
        </w:rPr>
        <w:t xml:space="preserve">Disaster response and resilience planning teams </w:t>
      </w:r>
      <w:r>
        <w:t xml:space="preserve">who need rapid infrastructure assessment from recent imagery without waiting for utility cooperation. After a hurricane or wildfire, the detection model can be run on post-event imagery to identify which substations appear damaged or destroyed.</w:t>
      </w:r>
    </w:p>
    <w:p>
      <w:pPr>
        <w:pStyle w:val="ListParagraph"/>
        <w:numPr>
          <w:ilvl w:val="0"/>
          <w:numId w:val="2"/>
        </w:numPr>
        <w:spacing w:after="80" w:line="276"/>
      </w:pPr>
      <w:r>
        <w:rPr>
          <w:b/>
          <w:bCs/>
        </w:rPr>
        <w:t xml:space="preserve">Researchers studying grid equity, urban growth, or climate adaptation </w:t>
      </w:r>
      <w:r>
        <w:t xml:space="preserve">who need a reproducible, transparent method for quantifying grid infrastructure at regional scale.</w:t>
      </w:r>
    </w:p>
    <w:p>
      <w:pPr>
        <w:spacing w:after="200"/>
      </w:pPr>
    </w:p>
    <w:p>
      <w:pPr>
        <w:pStyle w:val="Heading2"/>
        <w:spacing w:after="160" w:before="280"/>
      </w:pPr>
      <w:r>
        <w:rPr>
          <w:b/>
          <w:bCs/>
        </w:rPr>
        <w:t xml:space="preserve">2.4 What This System Is Not</w:t>
      </w:r>
    </w:p>
    <w:p>
      <w:pPr>
        <w:spacing w:after="120" w:line="276"/>
      </w:pPr>
      <w:r>
        <w:t xml:space="preserve">This system is a planning support tool, not an engineering design tool. Its outputs are recommendations for further investigation, not construction-ready site plans. Specifically:</w:t>
      </w:r>
    </w:p>
    <w:p>
      <w:pPr>
        <w:pStyle w:val="ListParagraph"/>
        <w:numPr>
          <w:ilvl w:val="0"/>
          <w:numId w:val="2"/>
        </w:numPr>
        <w:spacing w:after="80" w:line="276"/>
      </w:pPr>
      <w:r>
        <w:t xml:space="preserve">It does not know actual electrical demand. It estimates demand from population and building footprints, which are proxies. A manufacturing plant and a residential neighborhood with the same building area have very different load profiles.</w:t>
      </w:r>
    </w:p>
    <w:p>
      <w:pPr>
        <w:pStyle w:val="ListParagraph"/>
        <w:numPr>
          <w:ilvl w:val="0"/>
          <w:numId w:val="2"/>
        </w:numPr>
        <w:spacing w:after="80" w:line="276"/>
      </w:pPr>
      <w:r>
        <w:t xml:space="preserve">It does not know grid topology. It knows where substations and transmission lines are located geographically, but not how they are electrically connected, what voltage they operate at, or how much spare capacity they have.</w:t>
      </w:r>
    </w:p>
    <w:p>
      <w:pPr>
        <w:pStyle w:val="ListParagraph"/>
        <w:numPr>
          <w:ilvl w:val="0"/>
          <w:numId w:val="2"/>
        </w:numPr>
        <w:spacing w:after="80" w:line="276"/>
      </w:pPr>
      <w:r>
        <w:t xml:space="preserve">It does not perform environmental review. The land-use check queries OpenStreetMap for parks, wetlands, and protected areas within 500 meters. This is a preliminary screen, not a substitute for formal NEPA review, zoning analysis, or permitting.</w:t>
      </w:r>
    </w:p>
    <w:p>
      <w:pPr>
        <w:pStyle w:val="ListParagraph"/>
        <w:numPr>
          <w:ilvl w:val="0"/>
          <w:numId w:val="2"/>
        </w:numPr>
        <w:spacing w:after="80" w:line="276"/>
      </w:pPr>
      <w:r>
        <w:t xml:space="preserve">It does not account for land ownership, easement availability, or construction costs beyond a flat per-substation estimate.</w:t>
      </w:r>
    </w:p>
    <w:p>
      <w:pPr>
        <w:spacing w:after="200"/>
      </w:pPr>
    </w:p>
    <w:p>
      <w:pPr>
        <w:spacing w:after="120" w:line="276"/>
      </w:pPr>
      <w:r>
        <w:t xml:space="preserve">Every recommendation this system produces should be interpreted as: "This location warrants a detailed feasibility study." The system's value is in narrowing the search space from everywhere in the region to a prioritized shortlist of dozens of sites.</w:t>
      </w:r>
    </w:p>
    <w:p>
      <w:r>
        <w:br w:type="page"/>
      </w:r>
    </w:p>
    <w:p>
      <w:pPr>
        <w:pStyle w:val="Heading1"/>
        <w:spacing w:after="200" w:before="360"/>
      </w:pPr>
      <w:r>
        <w:rPr>
          <w:b/>
          <w:bCs/>
        </w:rPr>
        <w:t xml:space="preserve">3. Working with Bounding Boxes</w:t>
      </w:r>
    </w:p>
    <w:p>
      <w:pPr>
        <w:pStyle w:val="Heading2"/>
        <w:spacing w:after="160" w:before="280"/>
      </w:pPr>
      <w:r>
        <w:rPr>
          <w:b/>
          <w:bCs/>
        </w:rPr>
        <w:t xml:space="preserve">3.1 Why Bounding Boxes, Not Counties</w:t>
      </w:r>
    </w:p>
    <w:p>
      <w:pPr>
        <w:spacing w:after="120" w:line="276"/>
      </w:pPr>
      <w:r>
        <w:t xml:space="preserve">The pipeline operates on bounding boxes rather than administrative boundaries because of a fundamental constraint: NAIP imagery at 0.6 meter resolution produces enormous data volumes. A single 512 by 512 pixel patch covers 307 by 307 meters of ground. To cover one square kilometer, you need roughly 11 patches. To cover a county like Maricopa (24,000 square kilometers), you would need approximately 260,000 patches requiring 100 gigabytes of storage and days of download time.</w:t>
      </w:r>
    </w:p>
    <w:p>
      <w:pPr>
        <w:spacing w:after="200"/>
      </w:pPr>
    </w:p>
    <w:p>
      <w:pPr>
        <w:spacing w:after="120" w:line="276"/>
      </w:pPr>
      <w:r>
        <w:t xml:space="preserve">More critically, the MILP optimizer's computational complexity scales superlinearly with the number of demand grid cells. A 3-kilometer grid over 24,000 square kilometers produces roughly 2,700 cells and 500 candidate sites, yielding a MILP with over 1.3 million variables. The HiGHS solver cannot find a feasible solution within a practical time limit for problems of this size, particularly when building footprint data inflates demand coefficients into the tens of thousands of kilowatts per cell.</w:t>
      </w:r>
    </w:p>
    <w:p>
      <w:pPr>
        <w:spacing w:after="200"/>
      </w:pPr>
    </w:p>
    <w:p>
      <w:pPr>
        <w:spacing w:after="120" w:line="276"/>
      </w:pPr>
      <w:r>
        <w:t xml:space="preserve">Bounding boxes are also how infrastructure planning actually works. Utilities and metropolitan planning organizations plan by service territory, growth corridor, or development zone. Nobody sits down to plan substation placement for an entire 24,000 square kilometer county as a single optimization problem. The pipeline mirrors this reality by encouraging users to focus on the specific area where they need answers.</w:t>
      </w:r>
    </w:p>
    <w:p>
      <w:pPr>
        <w:spacing w:after="200"/>
      </w:pPr>
    </w:p>
    <w:p>
      <w:pPr>
        <w:pStyle w:val="Heading2"/>
        <w:spacing w:after="160" w:before="280"/>
      </w:pPr>
      <w:r>
        <w:rPr>
          <w:b/>
          <w:bCs/>
        </w:rPr>
        <w:t xml:space="preserve">3.2 Choosing a Bounding Box</w:t>
      </w:r>
    </w:p>
    <w:p>
      <w:pPr>
        <w:spacing w:after="120" w:line="276"/>
      </w:pPr>
      <w:r>
        <w:t xml:space="preserve">A bounding box is defined by four coordinates in WGS-84 (decimal degrees): west, south, east, north. For example, Central Phoenix is approximately [-112.15, 33.35, -111.85, 33.55], a rectangle about 25 by 22 kilometers.</w:t>
      </w:r>
    </w:p>
    <w:p>
      <w:pPr>
        <w:spacing w:after="200"/>
      </w:pPr>
    </w:p>
    <w:p>
      <w:pPr>
        <w:spacing w:after="120" w:line="276"/>
      </w:pPr>
      <w:r>
        <w:t xml:space="preserve">To determine coordinates for your area of interest, open bboxfinder.com or Google Maps. Navigate to your target area, identify the corners, and note the longitude and latitude values. The pipeline accepts these via the --bbox flag, which overrides any preset.</w:t>
      </w:r>
    </w:p>
    <w:p>
      <w:pPr>
        <w:spacing w:after="200"/>
      </w:pPr>
    </w:p>
    <w:p>
      <w:pPr>
        <w:pStyle w:val="Heading2"/>
        <w:spacing w:after="160" w:before="280"/>
      </w:pPr>
      <w:r>
        <w:rPr>
          <w:b/>
          <w:bCs/>
        </w:rPr>
        <w:t xml:space="preserve">3.3 Sizing Guidelines</w:t>
      </w:r>
    </w:p>
    <w:p>
      <w:pPr>
        <w:spacing w:after="120" w:line="276"/>
      </w:pPr>
      <w:r>
        <w:t xml:space="preserve">The table below shows how area size translates to computational requirements at 3-kilometer grid resolution: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Grid Cells</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MILP Variables</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Solve Time</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 x 20 km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 30 seconds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Rapid prototyping and testing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x 30 km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to 2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Neighborhood or district analysis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 x 50 km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to 8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City-level planning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 x 80 km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to 30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Metropolitan planning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 km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Hours or infeasible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recommended</w:t>
            </w:r>
          </w:p>
        </w:tc>
      </w:tr>
    </w:tbl>
    <w:p>
      <w:pPr>
        <w:spacing w:after="200"/>
      </w:pPr>
    </w:p>
    <w:p>
      <w:pPr>
        <w:spacing w:after="120" w:line="276"/>
      </w:pPr>
      <w:r>
        <w:t xml:space="preserve">If your initial run times out, increase --grid-cell-size from 3000 to 5000 meters. This reduces cell count by roughly 60 percent. You can also add --no-capacity to remove capacity constraints, which are the most computationally expensive and rely on assumed values anyway.</w:t>
      </w:r>
    </w:p>
    <w:p>
      <w:r>
        <w:br w:type="page"/>
      </w:r>
    </w:p>
    <w:p>
      <w:pPr>
        <w:pStyle w:val="Heading1"/>
        <w:spacing w:after="200" w:before="360"/>
      </w:pPr>
      <w:r>
        <w:rPr>
          <w:b/>
          <w:bCs/>
        </w:rPr>
        <w:t xml:space="preserve">4. Stage 1: Region Extraction</w:t>
      </w:r>
    </w:p>
    <w:p>
      <w:pPr>
        <w:pStyle w:val="Heading2"/>
        <w:spacing w:after="160" w:before="280"/>
      </w:pPr>
      <w:r>
        <w:rPr>
          <w:b/>
          <w:bCs/>
        </w:rPr>
        <w:t xml:space="preserve">4.1 What This Stage Does</w:t>
      </w:r>
    </w:p>
    <w:p>
      <w:pPr>
        <w:spacing w:after="120" w:line="276"/>
      </w:pPr>
      <w:r>
        <w:t xml:space="preserve">The extraction stage downloads NAIP aerial imagery from Microsoft Planetary Computer and cuts it into 512 by 512 pixel patches suitable for the detection model. Each patch is georeferenced (it knows its exact position on the Earth's surface) and contains four spectral bands: red, green, blue, and near-infrared.</w:t>
      </w:r>
    </w:p>
    <w:p>
      <w:pPr>
        <w:spacing w:after="200"/>
      </w:pPr>
    </w:p>
    <w:p>
      <w:pPr>
        <w:pStyle w:val="Heading2"/>
        <w:spacing w:after="160" w:before="280"/>
      </w:pPr>
      <w:r>
        <w:rPr>
          <w:b/>
          <w:bCs/>
        </w:rPr>
        <w:t xml:space="preserve">4.2 Data Source: NAIP</w:t>
      </w:r>
    </w:p>
    <w:p>
      <w:pPr>
        <w:spacing w:after="120" w:line="276"/>
      </w:pPr>
      <w:r>
        <w:t xml:space="preserve">The National Agriculture Imagery Program, administered by the USDA Farm Service Agency, acquires aerial photography of the continental United States on a rotating basis. Each state is photographed approximately every two to three years. The imagery is captured from aircraft at altitudes of 6,000 to 10,000 meters and orthorectified to remove terrain distortion.</w:t>
      </w:r>
    </w:p>
    <w:p>
      <w:pPr>
        <w:spacing w:after="200"/>
      </w:pPr>
    </w:p>
    <w:p>
      <w:pPr>
        <w:spacing w:after="120" w:line="276"/>
      </w:pPr>
      <w:r>
        <w:t xml:space="preserve">NAIP imagery has two critical properties for substation detection. First, its spatial resolution (0.3 to 0.6 meters per pixel, depending on acquisition year) is sufficient to resolve individual pieces of substation equipment. A typical transformer occupies 5 to 10 meters, which translates to 8 to 17 pixels at 0.6 meter resolution. Second, the near-infrared band helps discriminate metal and gravel (which reflect strongly in NIR) from vegetation (which absorbs red and reflects NIR in a distinct pattern). This spectral signature makes substations more distinguishable from surrounding land cover than they would be in standard RGB photography.</w:t>
      </w:r>
    </w:p>
    <w:p>
      <w:pPr>
        <w:spacing w:after="200"/>
      </w:pPr>
    </w:p>
    <w:p>
      <w:pPr>
        <w:pStyle w:val="Heading2"/>
        <w:spacing w:after="160" w:before="280"/>
      </w:pPr>
      <w:r>
        <w:rPr>
          <w:b/>
          <w:bCs/>
        </w:rPr>
        <w:t xml:space="preserve">4.3 Resampling: Why 0.6m, Not 0.3m</w:t>
      </w:r>
    </w:p>
    <w:p>
      <w:pPr>
        <w:spacing w:after="120" w:line="276"/>
      </w:pPr>
      <w:r>
        <w:t xml:space="preserve">Recent NAIP acquisitions (2023 onward) are captured at 0.3 meter native resolution. However, the detection model was trained on 0.6 meter imagery, and the pipeline downsamples all patches to this resolution for consistency. The resampling reads 1024 by 1024 native pixel windows (307 by 307 meters of ground) and downsamples to 512 by 512 pixels using Lanczos interpolation.</w:t>
      </w:r>
    </w:p>
    <w:p>
      <w:pPr>
        <w:spacing w:after="200"/>
      </w:pPr>
    </w:p>
    <w:p>
      <w:pPr>
        <w:spacing w:after="120" w:line="276"/>
      </w:pPr>
      <w:r>
        <w:t xml:space="preserve">This decision involves a deliberate tradeoff. At 0.3 meters, individual equipment is more sharply resolved, but each patch covers only 154 by 154 meters of ground, quadrupling the number of patches needed (and the inference time) for the same area. At 0.6 meters, substations are still clearly identifiable (our model achieves 0.739 mean IoU at this resolution), and the patch count remains practical. Retraining the model at 0.3 meters is a viable future improvement but would require regenerating the entire training dataset.</w:t>
      </w:r>
    </w:p>
    <w:p>
      <w:pPr>
        <w:spacing w:after="200"/>
      </w:pPr>
    </w:p>
    <w:p>
      <w:pPr>
        <w:pStyle w:val="Heading2"/>
        <w:spacing w:after="160" w:before="280"/>
      </w:pPr>
      <w:r>
        <w:rPr>
          <w:b/>
          <w:bCs/>
        </w:rPr>
        <w:t xml:space="preserve">4.4 Deduplication Across Tiles</w:t>
      </w:r>
    </w:p>
    <w:p>
      <w:pPr>
        <w:spacing w:after="120" w:line="276"/>
      </w:pPr>
      <w:r>
        <w:t xml:space="preserve">NAIP tiles overlap at their boundaries. Without deduplication, the same ground area would produce patches from multiple tiles. The extraction script tracks covered cells by quantizing each patch center to a grid (approximately 307-meter spacing) and skipping any location already extracted from a previous tile. This ensures each ground cell appears exactly once regardless of how many tiles intersect the bounding box.</w:t>
      </w:r>
    </w:p>
    <w:p>
      <w:r>
        <w:br w:type="page"/>
      </w:r>
    </w:p>
    <w:p>
      <w:pPr>
        <w:pStyle w:val="Heading1"/>
        <w:spacing w:after="200" w:before="360"/>
      </w:pPr>
      <w:r>
        <w:rPr>
          <w:b/>
          <w:bCs/>
        </w:rPr>
        <w:t xml:space="preserve">5. Stage 2: Ensemble Detection</w:t>
      </w:r>
    </w:p>
    <w:p>
      <w:pPr>
        <w:pStyle w:val="Heading2"/>
        <w:spacing w:after="160" w:before="280"/>
      </w:pPr>
      <w:r>
        <w:rPr>
          <w:b/>
          <w:bCs/>
        </w:rPr>
        <w:t xml:space="preserve">5.1 Architecture</w:t>
      </w:r>
    </w:p>
    <w:p>
      <w:pPr>
        <w:spacing w:after="120" w:line="276"/>
      </w:pPr>
      <w:r>
        <w:t xml:space="preserve">The detection model uses a U-Net architecture with a ResNet-34 encoder. U-Net was chosen because it was specifically designed for biomedical image segmentation where precise boundary delineation matters with limited training data. Both properties apply to substation detection: substation boundaries must be localized precisely (for area estimation and location extraction), and labeled training data is limited to what OpenStreetMap volunteers have mapped.</w:t>
      </w:r>
    </w:p>
    <w:p>
      <w:pPr>
        <w:spacing w:after="200"/>
      </w:pPr>
    </w:p>
    <w:p>
      <w:pPr>
        <w:spacing w:after="120" w:line="276"/>
      </w:pPr>
      <w:r>
        <w:t xml:space="preserve">The ResNet-34 encoder was selected over deeper variants (ResNet-50, ResNet-101) because substation detection does not require the same depth of feature hierarchy as tasks like scene understanding. Substations have relatively simple visual signatures (rectangular compounds of metal and gravel) that are captured well by 34 layers. Deeper encoders showed marginal accuracy gains in our experiments but significantly increased inference time, which matters when processing thousands of patches.</w:t>
      </w:r>
    </w:p>
    <w:p>
      <w:pPr>
        <w:spacing w:after="200"/>
      </w:pPr>
    </w:p>
    <w:p>
      <w:pPr>
        <w:spacing w:after="120" w:line="276"/>
      </w:pPr>
      <w:r>
        <w:t xml:space="preserve">The model accepts 4-channel input (R, G, B, NIR) rather than standard 3-channel RGB. The near-infrared band is critical: metal structures and gravel pads that characterize substations have a distinct NIR reflectance signature that is absent in RGB alone. In our ablation experiments, removing the NIR channel reduced mean IoU by approximately 0.08 (from 0.739 to approximately 0.66), confirming its contribution.</w:t>
      </w:r>
    </w:p>
    <w:p>
      <w:pPr>
        <w:spacing w:after="200"/>
      </w:pPr>
    </w:p>
    <w:p>
      <w:pPr>
        <w:pStyle w:val="Heading2"/>
        <w:spacing w:after="160" w:before="280"/>
      </w:pPr>
      <w:r>
        <w:rPr>
          <w:b/>
          <w:bCs/>
        </w:rPr>
        <w:t xml:space="preserve">5.2 Ensemble Training</w:t>
      </w:r>
    </w:p>
    <w:p>
      <w:pPr>
        <w:spacing w:after="120" w:line="276"/>
      </w:pPr>
      <w:r>
        <w:t xml:space="preserve">Rather than training a single model, the pipeline uses a 5-fold cross-validation ensemble. The training data is split into five geographic folds, and five independent models are trained, each holding out one fold for validation. At inference, all five models process the same input patch, and their sigmoid probability outputs are averaged element-wise.</w:t>
      </w:r>
    </w:p>
    <w:p>
      <w:pPr>
        <w:spacing w:after="200"/>
      </w:pPr>
    </w:p>
    <w:p>
      <w:pPr>
        <w:spacing w:after="120" w:line="276"/>
      </w:pPr>
      <w:r>
        <w:t xml:space="preserve">Ensemble averaging serves three purposes. First, it reduces variance: individual folds may overfit to the geographic characteristics of their training regions (desert, forest, urban), but the average prediction smooths these biases. Second, it improves calibration: the averaged probability more accurately reflects the model's true confidence, which matters for threshold selection. Third, it enables disagreement detection: patches where the five folds produce widely different predictions are likely edge cases that merit human review.</w:t>
      </w:r>
    </w:p>
    <w:p>
      <w:pPr>
        <w:spacing w:after="200"/>
      </w:pPr>
    </w:p>
    <w:p>
      <w:pPr>
        <w:pStyle w:val="Heading2"/>
        <w:spacing w:after="160" w:before="280"/>
      </w:pPr>
      <w:r>
        <w:rPr>
          <w:b/>
          <w:bCs/>
        </w:rPr>
        <w:t xml:space="preserve">5.3 Training Data</w:t>
      </w:r>
    </w:p>
    <w:p>
      <w:pPr>
        <w:spacing w:after="120" w:line="276"/>
      </w:pPr>
      <w:r>
        <w:t xml:space="preserve">The training dataset was constructed from 10 curated US counties spanning diverse landscapes: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County</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Landscape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Fresno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Irrigated agriculture, solar farms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Tests against solar panel confusion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Maricopa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Desert urban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Clean substation visibility, large sample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Harris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Humid subtropical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Dense suburban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Forested urban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Tests canopy occlusion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Hennepin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Continental mixed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Snow cover variation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Wake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Piedmont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Mixed vegetation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Boulder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Mountain terrain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Elevation and shadow variation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Lancaster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Eastern deciduous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Dense rural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Sedgwick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agricultural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Featureless background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Bernalillo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Sparse vegetation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Desert with minimal confusion</w:t>
            </w:r>
          </w:p>
        </w:tc>
      </w:tr>
    </w:tbl>
    <w:p>
      <w:pPr>
        <w:spacing w:after="200"/>
      </w:pPr>
    </w:p>
    <w:p>
      <w:pPr>
        <w:spacing w:after="120" w:line="276"/>
      </w:pPr>
      <w:r>
        <w:t xml:space="preserve">Positive labels come from OpenStreetMap substation polygons rasterized onto NAIP imagery. This labeling approach is free but imperfect: OSM may contain outdated boundaries, missing substations, or inaccurately drawn polygons. We mitigate this through NDVI and NDWI auditing (flagging labels that overlap vegetation or water) and temporal alignment checking (verifying that the OSM edit date is within three years of the NAIP capture date).</w:t>
      </w:r>
    </w:p>
    <w:p>
      <w:pPr>
        <w:spacing w:after="200"/>
      </w:pPr>
    </w:p>
    <w:p>
      <w:pPr>
        <w:spacing w:after="120" w:line="276"/>
      </w:pPr>
      <w:r>
        <w:t xml:space="preserve">Negative patches are sampled at least 500 meters from any known substation to avoid ambiguous boundary cases. The negative sampling is geographically stratified to include diverse land cover types (residential, commercial, agricultural, forested, barren) so the model learns to distinguish substations from all common backgrounds.</w:t>
      </w:r>
    </w:p>
    <w:p>
      <w:pPr>
        <w:spacing w:after="200"/>
      </w:pPr>
    </w:p>
    <w:p>
      <w:pPr>
        <w:pStyle w:val="Heading2"/>
        <w:spacing w:after="160" w:before="280"/>
      </w:pPr>
      <w:r>
        <w:rPr>
          <w:b/>
          <w:bCs/>
        </w:rPr>
        <w:t xml:space="preserve">5.4 Evaluation Results</w:t>
      </w:r>
    </w:p>
    <w:p>
      <w:pPr>
        <w:spacing w:after="120" w:line="276"/>
      </w:pPr>
      <w:r>
        <w:t xml:space="preserve">The model was evaluated on two held-out datasets that the training process never saw: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7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17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7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Patches</w:t>
            </w:r>
          </w:p>
        </w:tc>
        <w:tc>
          <w:tcPr>
            <w:tcW w:type="dxa" w:w="117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 IoU</w:t>
            </w:r>
          </w:p>
        </w:tc>
        <w:tc>
          <w:tcPr>
            <w:tcW w:type="dxa" w:w="117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 Dice</w:t>
            </w:r>
          </w:p>
        </w:tc>
        <w:tc>
          <w:tcPr>
            <w:tcW w:type="dxa" w:w="117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17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17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AUC</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eval_dataset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curated counties (in-distribution)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3,086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0.739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0.801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0.862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0.773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0.993</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extra_val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 random US regions (out-of-distribution)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822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0.650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0.724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0.808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0.694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0.987</w:t>
            </w:r>
          </w:p>
        </w:tc>
      </w:tr>
    </w:tbl>
    <w:p>
      <w:pPr>
        <w:spacing w:after="200"/>
      </w:pPr>
    </w:p>
    <w:p>
      <w:pPr>
        <w:pStyle w:val="Heading3"/>
        <w:spacing w:after="120" w:before="200"/>
      </w:pPr>
      <w:r>
        <w:rPr>
          <w:b/>
          <w:bCs/>
        </w:rPr>
        <w:t xml:space="preserve">5.4.1 Interpreting IoU and Dice</w:t>
      </w:r>
    </w:p>
    <w:p>
      <w:pPr>
        <w:spacing w:after="120" w:line="276"/>
      </w:pPr>
      <w:r>
        <w:t xml:space="preserve">Intersection over Union (IoU) measures the overlap between predicted and ground truth masks: IoU = (true positives) / (true positives + false positives + false negatives). A score of 0.739 means that, on average, 73.9 percent of the area that should be marked as substation is correctly identified, with moderate over-prediction or under-prediction at boundaries. Dice is a related metric that weights boundary accuracy less heavily; our Dice of 0.801 indicates strong agreement on the core substation area.</w:t>
      </w:r>
    </w:p>
    <w:p>
      <w:pPr>
        <w:spacing w:after="200"/>
      </w:pPr>
    </w:p>
    <w:p>
      <w:pPr>
        <w:pStyle w:val="Heading3"/>
        <w:spacing w:after="120" w:before="200"/>
      </w:pPr>
      <w:r>
        <w:rPr>
          <w:b/>
          <w:bCs/>
        </w:rPr>
        <w:t xml:space="preserve">5.4.2 Patch-Level Detection</w:t>
      </w:r>
    </w:p>
    <w:p>
      <w:pPr>
        <w:spacing w:after="120" w:line="276"/>
      </w:pPr>
      <w:r>
        <w:t xml:space="preserve">For the pipeline's practical purpose (locating substations, not segmenting them at pixel precision), patch-level detection accuracy matters more than pixel-level IoU. The model achieves:</w:t>
      </w:r>
    </w:p>
    <w:p>
      <w:pPr>
        <w:pStyle w:val="ListParagraph"/>
        <w:numPr>
          <w:ilvl w:val="0"/>
          <w:numId w:val="2"/>
        </w:numPr>
        <w:spacing w:after="80" w:line="276"/>
      </w:pPr>
      <w:r>
        <w:rPr>
          <w:b/>
          <w:bCs/>
        </w:rPr>
        <w:t xml:space="preserve">99.8% precision: </w:t>
      </w:r>
      <w:r>
        <w:t xml:space="preserve">out of 1,717 negative patches in the eval dataset, only 2 were incorrectly classified as containing substations. The model almost never hallucinates substations where none exist.</w:t>
      </w:r>
    </w:p>
    <w:p>
      <w:pPr>
        <w:pStyle w:val="ListParagraph"/>
        <w:numPr>
          <w:ilvl w:val="0"/>
          <w:numId w:val="2"/>
        </w:numPr>
        <w:spacing w:after="80" w:line="276"/>
      </w:pPr>
      <w:r>
        <w:rPr>
          <w:b/>
          <w:bCs/>
        </w:rPr>
        <w:t xml:space="preserve">88.2% recall: </w:t>
      </w:r>
      <w:r>
        <w:t xml:space="preserve">out of 1,369 positive patches, 1,207 were correctly identified. The 11.8 percent miss rate predominantly affects very small distribution substations (under 200 pixels) and substations partially occluded by tree canopy.</w:t>
      </w:r>
    </w:p>
    <w:p>
      <w:pPr>
        <w:pStyle w:val="ListParagraph"/>
        <w:numPr>
          <w:ilvl w:val="0"/>
          <w:numId w:val="2"/>
        </w:numPr>
        <w:spacing w:after="80" w:line="276"/>
      </w:pPr>
      <w:r>
        <w:rPr>
          <w:b/>
          <w:bCs/>
        </w:rPr>
        <w:t xml:space="preserve">0.993 AUC-ROC: </w:t>
      </w:r>
      <w:r>
        <w:t xml:space="preserve">the model's confidence scores are extremely well-calibrated. A threshold sweep from 0.1 to 0.9 maintains both precision above 95 percent and recall above 75 percent across a wide range.</w:t>
      </w:r>
    </w:p>
    <w:p>
      <w:pPr>
        <w:spacing w:after="200"/>
      </w:pPr>
    </w:p>
    <w:p>
      <w:pPr>
        <w:pStyle w:val="Heading3"/>
        <w:spacing w:after="120" w:before="200"/>
      </w:pPr>
      <w:r>
        <w:rPr>
          <w:b/>
          <w:bCs/>
        </w:rPr>
        <w:t xml:space="preserve">5.4.3 Performance by County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337"/>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County</w:t>
            </w:r>
          </w:p>
        </w:tc>
        <w:tc>
          <w:tcPr>
            <w:tcW w:type="dxa" w:w="1337"/>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337"/>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IoU</w:t>
            </w:r>
          </w:p>
        </w:tc>
        <w:tc>
          <w:tcPr>
            <w:tcW w:type="dxa" w:w="1337"/>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Std</w:t>
            </w:r>
          </w:p>
        </w:tc>
        <w:tc>
          <w:tcPr>
            <w:tcW w:type="dxa" w:w="1337"/>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Dice</w:t>
            </w:r>
          </w:p>
        </w:tc>
        <w:tc>
          <w:tcPr>
            <w:tcW w:type="dxa" w:w="1337"/>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1337"/>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Maricopa, AZ</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0.894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0.142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0.934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0.969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0.910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Sedgwick, KS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0.818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0.212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0.878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0.917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0.873</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Boulder, CO</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0.720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0.338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0.772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0.827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0.731</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Hennepin, MN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0.717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0.368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0.755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0.776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0.743</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Harris, TX</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0.702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0.252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0.789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0.864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0.762</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Lancaster, PA</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0.699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0.304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0.768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0.832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0.741</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Fresno, CA</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0.590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0.347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0.664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0.777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0.614</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King, WA</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0.553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0.356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0.625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0.717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0.585</w:t>
            </w:r>
          </w:p>
        </w:tc>
      </w:tr>
    </w:tbl>
    <w:p>
      <w:pPr>
        <w:spacing w:after="200"/>
      </w:pPr>
    </w:p>
    <w:p>
      <w:pPr>
        <w:spacing w:after="120" w:line="276"/>
      </w:pPr>
      <w:r>
        <w:t xml:space="preserve">The county-level variation tells a clear story: the model excels in arid, open landscapes (Maricopa: 0.894 IoU) where substations stand out against sparse desert vegetation, and struggles most in heavily forested regions (King County: 0.553 IoU) where tree canopy partially occludes substations. This is a fundamental limitation of overhead imagery, not a model deficiency. The 0.089 IoU gap between in-distribution (0.739) and out-of-distribution (0.650) evaluation confirms reasonable generalization to unseen geographies.</w:t>
      </w:r>
    </w:p>
    <w:p>
      <w:pPr>
        <w:spacing w:after="200"/>
      </w:pPr>
    </w:p>
    <w:p>
      <w:pPr>
        <w:pStyle w:val="Heading3"/>
        <w:spacing w:after="120" w:before="200"/>
      </w:pPr>
      <w:r>
        <w:rPr>
          <w:b/>
          <w:bCs/>
        </w:rPr>
        <w:t xml:space="preserve">5.4.4 Performance by Substation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IoU</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Transmission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661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0.902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Distribution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0.870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Industrial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0.647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0.736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(untagged in OSM)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0.568</w:t>
            </w:r>
          </w:p>
        </w:tc>
      </w:tr>
    </w:tbl>
    <w:p>
      <w:pPr>
        <w:spacing w:after="200"/>
      </w:pPr>
    </w:p>
    <w:p>
      <w:pPr>
        <w:spacing w:after="120" w:line="276"/>
      </w:pPr>
      <w:r>
        <w:t xml:space="preserve">Transmission substations are largest and most visually distinctive, hence the highest IoU. The low score for untagged substations likely reflects lower quality OSM labels (poorly drawn boundaries, outdated polygons) rather than model failure. Industrial substations are underrepresented in the training data (only 10 examples), limiting the model's ability to learn their visual patterns.</w:t>
      </w:r>
    </w:p>
    <w:p>
      <w:r>
        <w:br w:type="page"/>
      </w:r>
    </w:p>
    <w:p>
      <w:pPr>
        <w:pStyle w:val="Heading1"/>
        <w:spacing w:after="200" w:before="360"/>
      </w:pPr>
      <w:r>
        <w:rPr>
          <w:b/>
          <w:bCs/>
        </w:rPr>
        <w:t xml:space="preserve">6. Stage 3: Detection to Optimization Handoff</w:t>
      </w:r>
    </w:p>
    <w:p>
      <w:pPr>
        <w:pStyle w:val="Heading2"/>
        <w:spacing w:after="160" w:before="280"/>
      </w:pPr>
      <w:r>
        <w:rPr>
          <w:b/>
          <w:bCs/>
        </w:rPr>
        <w:t xml:space="preserve">6.1 The Interface: metadata.csv</w:t>
      </w:r>
    </w:p>
    <w:p>
      <w:pPr>
        <w:spacing w:after="120" w:line="276"/>
      </w:pPr>
      <w:r>
        <w:t xml:space="preserve">The detection and optimization stages communicate through a single CSV file. This is a deliberate architectural decision, not an expedient shortcut. The two stages have fundamentally different concerns: the detection model is a computer vision system evaluated by IoU and Dice; the optimizer is an operations research system evaluated by service distance and coverage gap. Coupling them tightly (for example, having the optimizer access raw probability maps) would make it impossible to improve either independently.</w:t>
      </w:r>
    </w:p>
    <w:p>
      <w:pPr>
        <w:spacing w:after="200"/>
      </w:pPr>
    </w:p>
    <w:p>
      <w:pPr>
        <w:spacing w:after="120" w:line="276"/>
      </w:pPr>
      <w:r>
        <w:t xml:space="preserve">The metadata CSV contains one row per detected substation with the following fields consumed by the optimizer: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patch_id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 for each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center_lon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WGS-84 longitude of substation center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center_lat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WGS-84 latitude of substation center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be 'positive' for optimizer to include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county_geoid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5-digit FIPS code for county filtering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area_m2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Estimated substation footprint area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mean_confidence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confidence (0 to 1)</w:t>
            </w:r>
          </w:p>
        </w:tc>
      </w:tr>
    </w:tbl>
    <w:p>
      <w:pPr>
        <w:spacing w:after="200"/>
      </w:pPr>
    </w:p>
    <w:p>
      <w:pPr>
        <w:spacing w:after="120" w:line="276"/>
      </w:pPr>
      <w:r>
        <w:t xml:space="preserve">The optimizer treats each positive-label row as an existing substation node in its facility location model. It reprojects the coordinates from WGS-84 to the county's UTM zone for accurate distance calculations, but it never re-opens the original image patches or re-runs the segmentation model.</w:t>
      </w:r>
    </w:p>
    <w:p>
      <w:pPr>
        <w:spacing w:after="200"/>
      </w:pPr>
    </w:p>
    <w:p>
      <w:pPr>
        <w:spacing w:after="120" w:line="276"/>
      </w:pPr>
      <w:r>
        <w:t xml:space="preserve">This clean separation means: (a) the detection model can be retrained, replaced, or improved without modifying the optimizer; (b) the optimizer can be run on manually curated substation lists if model output is unavailable; (c) the metadata CSV serves as a human-readable audit trail of what the model detected.</w:t>
      </w:r>
    </w:p>
    <w:p>
      <w:r>
        <w:br w:type="page"/>
      </w:r>
    </w:p>
    <w:p>
      <w:pPr>
        <w:pStyle w:val="Heading1"/>
        <w:spacing w:after="200" w:before="360"/>
      </w:pPr>
      <w:r>
        <w:rPr>
          <w:b/>
          <w:bCs/>
        </w:rPr>
        <w:t xml:space="preserve">7. Stage 4: Optimization</w:t>
      </w:r>
    </w:p>
    <w:p>
      <w:pPr>
        <w:pStyle w:val="Heading2"/>
        <w:spacing w:after="160" w:before="280"/>
      </w:pPr>
      <w:r>
        <w:rPr>
          <w:b/>
          <w:bCs/>
        </w:rPr>
        <w:t xml:space="preserve">7.1 Problem Formulation</w:t>
      </w:r>
    </w:p>
    <w:p>
      <w:pPr>
        <w:spacing w:after="120" w:line="276"/>
      </w:pPr>
      <w:r>
        <w:t xml:space="preserve">The optimizer solves a capacitated p-median facility location problem. In plain language: given a set of demand locations (where people and buildings are), a set of existing facilities (detected substations), and a set of candidate sites (potential new substations), choose which candidates to build so as to minimize the total demand-weighted distance between every demand cell and its nearest substation, subject to a construction budget.</w:t>
      </w:r>
    </w:p>
    <w:p>
      <w:pPr>
        <w:spacing w:after="200"/>
      </w:pPr>
    </w:p>
    <w:p>
      <w:pPr>
        <w:spacing w:after="120" w:line="276"/>
      </w:pPr>
      <w:r>
        <w:rPr>
          <w:b/>
          <w:bCs/>
        </w:rPr>
        <w:t xml:space="preserve">Objective: </w:t>
      </w:r>
      <w:r>
        <w:t xml:space="preserve">minimize ∑ demand(d) × distance(d,s) × assign[d,s]  +  build_cost × ∑ build[c]</w:t>
      </w:r>
    </w:p>
    <w:p>
      <w:pPr>
        <w:spacing w:after="200"/>
      </w:pPr>
    </w:p>
    <w:p>
      <w:pPr>
        <w:spacing w:after="120" w:line="276"/>
      </w:pPr>
      <w:r>
        <w:t xml:space="preserve">The first term drives placements toward high-demand areas. The second term penalizes construction. The balance between them determines whether the solver recommends many small substations close to demand or fewer large ones at strategic locations. The default build cost of $1.5 million per substation reflects a rough estimate for distribution-level substations; users can adjust this to model different scenarios.</w:t>
      </w:r>
    </w:p>
    <w:p>
      <w:pPr>
        <w:spacing w:after="200"/>
      </w:pPr>
    </w:p>
    <w:p>
      <w:pPr>
        <w:pStyle w:val="Heading2"/>
        <w:spacing w:after="160" w:before="280"/>
      </w:pPr>
      <w:r>
        <w:rPr>
          <w:b/>
          <w:bCs/>
        </w:rPr>
        <w:t xml:space="preserve">7.2 Demand Estimation</w:t>
      </w:r>
    </w:p>
    <w:p>
      <w:pPr>
        <w:spacing w:after="120" w:line="276"/>
      </w:pPr>
      <w:r>
        <w:t xml:space="preserve">Demand is estimated by areal interpolation of Census block group population and Microsoft Building Footprint area onto a regular grid:</w:t>
      </w:r>
    </w:p>
    <w:p>
      <w:pPr>
        <w:spacing w:after="200"/>
      </w:pPr>
    </w:p>
    <w:p>
      <w:pPr>
        <w:spacing w:after="120" w:line="276"/>
      </w:pPr>
      <w:r>
        <w:rPr>
          <w:b/>
          <w:bCs/>
        </w:rPr>
        <w:t xml:space="preserve">demand_kw = population × 2.0 + building_area_m² × 0.03</w:t>
      </w:r>
    </w:p>
    <w:p>
      <w:pPr>
        <w:spacing w:after="200"/>
      </w:pPr>
    </w:p>
    <w:p>
      <w:pPr>
        <w:spacing w:after="120" w:line="276"/>
      </w:pPr>
      <w:r>
        <w:t xml:space="preserve">The population component (2.0 kW per person) represents average residential peak demand. The building footprint component (0.03 kW per square meter, or 30 watts per square meter) captures commercial and industrial load that does not correlate with residential population. A big-box retail store or warehouse may have zero residents but significant electrical demand; the building footprint term captures this.</w:t>
      </w:r>
    </w:p>
    <w:p>
      <w:pPr>
        <w:spacing w:after="200"/>
      </w:pPr>
    </w:p>
    <w:p>
      <w:pPr>
        <w:spacing w:after="120" w:line="276"/>
      </w:pPr>
      <w:r>
        <w:t xml:space="preserve">When building footprints are unavailable, the system falls back to population-only demand. Users should understand that population-only demand underestimates load in areas with significant commercial or industrial activity and overestimates it in areas with high-density residential housing (where per-capita demand is typically lower than in suburban areas due to shared HVAC systems).</w:t>
      </w:r>
    </w:p>
    <w:p>
      <w:pPr>
        <w:spacing w:after="200"/>
      </w:pPr>
    </w:p>
    <w:p>
      <w:pPr>
        <w:pStyle w:val="Heading2"/>
        <w:spacing w:after="160" w:before="280"/>
      </w:pPr>
      <w:r>
        <w:rPr>
          <w:b/>
          <w:bCs/>
        </w:rPr>
        <w:t xml:space="preserve">7.3 Candidate Site Generation</w:t>
      </w:r>
    </w:p>
    <w:p>
      <w:pPr>
        <w:spacing w:after="120" w:line="276"/>
      </w:pPr>
      <w:r>
        <w:t xml:space="preserve">Candidate sites for new substations are the centroids of demand grid cells that exceed a minimum demand threshold (default: 200 kW). This means the optimizer only considers building substations in areas where there is meaningful demand. Candidates near existing transmission lines are prioritized because real-world substation construction requires a grid connection; a substation in the middle of nowhere with no transmission line is useless regardless of how much demand it could serve.</w:t>
      </w:r>
    </w:p>
    <w:p>
      <w:pPr>
        <w:spacing w:after="200"/>
      </w:pPr>
    </w:p>
    <w:p>
      <w:pPr>
        <w:pStyle w:val="Heading2"/>
        <w:spacing w:after="160" w:before="280"/>
      </w:pPr>
      <w:r>
        <w:rPr>
          <w:b/>
          <w:bCs/>
        </w:rPr>
        <w:t xml:space="preserve">7.4 Solver Scaling</w:t>
      </w:r>
    </w:p>
    <w:p>
      <w:pPr>
        <w:spacing w:after="120" w:line="276"/>
      </w:pPr>
      <w:r>
        <w:t xml:space="preserve">With building footprints included, individual grid cells in dense urban areas can have demand values exceeding 50,000 kW. Multiplied by distances of 10,000+ meters, the objective function coefficients reach 500 million per term. The HiGHS solver struggles with coefficient ranges spanning six or more orders of magnitude.</w:t>
      </w:r>
    </w:p>
    <w:p>
      <w:pPr>
        <w:spacing w:after="200"/>
      </w:pPr>
    </w:p>
    <w:p>
      <w:pPr>
        <w:spacing w:after="120" w:line="276"/>
      </w:pPr>
      <w:r>
        <w:t xml:space="preserve">To address this, the objective function is internally scaled by a factor of 1/1000 (effectively working in megawatts instead of kilowatts). Both the assignment cost and build cost terms are divided by the same factor, so the optimal solution is mathematically identical. Only the reported objective value changes. This scaling is invisible to the user but is essential for solver convergence.</w:t>
      </w:r>
    </w:p>
    <w:p>
      <w:pPr>
        <w:spacing w:after="200"/>
      </w:pPr>
    </w:p>
    <w:p>
      <w:pPr>
        <w:pStyle w:val="Heading2"/>
        <w:spacing w:after="160" w:before="280"/>
      </w:pPr>
      <w:r>
        <w:rPr>
          <w:b/>
          <w:bCs/>
        </w:rPr>
        <w:t xml:space="preserve">7.5 Capacity Constraints</w:t>
      </w:r>
    </w:p>
    <w:p>
      <w:pPr>
        <w:spacing w:after="120" w:line="276"/>
      </w:pPr>
      <w:r>
        <w:t xml:space="preserve">The default formulation includes capacity constraints: each substation (existing or new) has a maximum load it can serve (default: 200 MW). In dense urban areas with building footprints, these constraints can make the problem infeasible because a single grid cell's demand exceeds any substation's capacity.</w:t>
      </w:r>
    </w:p>
    <w:p>
      <w:pPr>
        <w:spacing w:after="200"/>
      </w:pPr>
    </w:p>
    <w:p>
      <w:pPr>
        <w:spacing w:after="120" w:line="276"/>
      </w:pPr>
      <w:r>
        <w:t xml:space="preserve">The --no-capacity flag removes these constraints entirely. This is recommended for most planning analyses because: (a) actual substation capacity depends on transformer ratings, voltage levels, and switching configurations that are not observable from aerial imagery; (b) the 200 MW default is a rough estimate that may be too low for transmission substations or too high for distribution substations; (c) removing capacity constraints dramatically improves solve time by eliminating the most numerically challenging constraints.</w:t>
      </w:r>
    </w:p>
    <w:p>
      <w:pPr>
        <w:spacing w:after="200"/>
      </w:pPr>
    </w:p>
    <w:p>
      <w:pPr>
        <w:pStyle w:val="Heading2"/>
        <w:spacing w:after="160" w:before="280"/>
      </w:pPr>
      <w:r>
        <w:rPr>
          <w:b/>
          <w:bCs/>
        </w:rPr>
        <w:t xml:space="preserve">7.6 Transmission Expansion</w:t>
      </w:r>
    </w:p>
    <w:p>
      <w:pPr>
        <w:spacing w:after="120" w:line="276"/>
      </w:pPr>
      <w:r>
        <w:t xml:space="preserve">Not every underserved area can be addressed by building a new substation. Some areas have no existing transmission line within the coverage radius, which means a substation alone would not help. The optimizer identifies these transmission-constrained cells and clusters them into expansion candidates ranked by demand-to-distance ratio (how much load could be unlocked per kilometer of new transmission line). These appear in the transmission expansion CSV as candidates for a separate grid extension study.</w:t>
      </w:r>
    </w:p>
    <w:p>
      <w:r>
        <w:br w:type="page"/>
      </w:r>
    </w:p>
    <w:p>
      <w:pPr>
        <w:pStyle w:val="Heading1"/>
        <w:spacing w:after="200" w:before="360"/>
      </w:pPr>
      <w:r>
        <w:rPr>
          <w:b/>
          <w:bCs/>
        </w:rPr>
        <w:t xml:space="preserve">8. Stage 5: Site Analysis</w:t>
      </w:r>
    </w:p>
    <w:p>
      <w:pPr>
        <w:pStyle w:val="Heading2"/>
        <w:spacing w:after="160" w:before="280"/>
      </w:pPr>
      <w:r>
        <w:rPr>
          <w:b/>
          <w:bCs/>
        </w:rPr>
        <w:t xml:space="preserve">8.1 Reverse Geocoding</w:t>
      </w:r>
    </w:p>
    <w:p>
      <w:pPr>
        <w:spacing w:after="120" w:line="276"/>
      </w:pPr>
      <w:r>
        <w:t xml:space="preserve">Each recommended site is reverse-geocoded using the OpenStreetMap Nominatim service. This converts raw coordinates (33.4521, -112.0734) into human-readable locations ("W Van Buren St, Tolleson, Maricopa County, Arizona"). The geocoded address includes the nearest road, neighborhood or suburb, city, and county. This makes the output actionable for human reviewers who can immediately recognize whether a location is in an industrial park, a residential neighborhood, or an undeveloped area.</w:t>
      </w:r>
    </w:p>
    <w:p>
      <w:pPr>
        <w:spacing w:after="200"/>
      </w:pPr>
    </w:p>
    <w:p>
      <w:pPr>
        <w:pStyle w:val="Heading2"/>
        <w:spacing w:after="160" w:before="280"/>
      </w:pPr>
      <w:r>
        <w:rPr>
          <w:b/>
          <w:bCs/>
        </w:rPr>
        <w:t xml:space="preserve">8.2 Land-Use Suitability Check</w:t>
      </w:r>
    </w:p>
    <w:p>
      <w:pPr>
        <w:spacing w:after="120" w:line="276"/>
      </w:pPr>
      <w:r>
        <w:t xml:space="preserve">For each site, the pipeline queries the OpenStreetMap Overpass API for features within 500 meters that indicate restricted or sensitive land use:</w:t>
      </w:r>
    </w:p>
    <w:p>
      <w:pPr>
        <w:spacing w:after="200"/>
      </w:pPr>
    </w:p>
    <w:p>
      <w:pPr>
        <w:pStyle w:val="ListParagraph"/>
        <w:numPr>
          <w:ilvl w:val="0"/>
          <w:numId w:val="2"/>
        </w:numPr>
        <w:spacing w:after="80" w:line="276"/>
      </w:pPr>
      <w:r>
        <w:rPr>
          <w:b/>
          <w:bCs/>
        </w:rPr>
        <w:t xml:space="preserve">Restricted: </w:t>
      </w:r>
      <w:r>
        <w:t xml:space="preserve">nature reserves, national parks, water bodies, wetlands, glaciers, military installations, cemeteries. Sites near these features are flagged in red.</w:t>
      </w:r>
    </w:p>
    <w:p>
      <w:pPr>
        <w:pStyle w:val="ListParagraph"/>
        <w:numPr>
          <w:ilvl w:val="0"/>
          <w:numId w:val="2"/>
        </w:numPr>
        <w:spacing w:after="80" w:line="276"/>
      </w:pPr>
      <w:r>
        <w:rPr>
          <w:b/>
          <w:bCs/>
        </w:rPr>
        <w:t xml:space="preserve">Caution: </w:t>
      </w:r>
      <w:r>
        <w:t xml:space="preserve">public parks, forests, cultivated cropland. These are not absolute restrictions but require additional review. Flagged in orange.</w:t>
      </w:r>
    </w:p>
    <w:p>
      <w:pPr>
        <w:pStyle w:val="ListParagraph"/>
        <w:numPr>
          <w:ilvl w:val="0"/>
          <w:numId w:val="2"/>
        </w:numPr>
        <w:spacing w:after="80" w:line="276"/>
      </w:pPr>
      <w:r>
        <w:rPr>
          <w:b/>
          <w:bCs/>
        </w:rPr>
        <w:t xml:space="preserve">Suitable: </w:t>
      </w:r>
      <w:r>
        <w:t xml:space="preserve">no restricted features detected within 500 meters. Flagged in green.</w:t>
      </w:r>
    </w:p>
    <w:p>
      <w:pPr>
        <w:spacing w:after="200"/>
      </w:pPr>
    </w:p>
    <w:p>
      <w:pPr>
        <w:spacing w:after="120" w:line="276"/>
      </w:pPr>
      <w:r>
        <w:t xml:space="preserve">This screening is preliminary. OpenStreetMap coverage of protected areas varies by region, and the 500-meter radius is a heuristic. A site classified as "suitable" may still have zoning restrictions, soil contamination, flood risk, or other issues that require on-the-ground assessment. Conversely, a site classified as "restricted" near a park boundary may be perfectly buildable if the substation footprint does not encroach on the protected area.</w:t>
      </w:r>
    </w:p>
    <w:p>
      <w:pPr>
        <w:spacing w:after="200"/>
      </w:pPr>
    </w:p>
    <w:p>
      <w:pPr>
        <w:pStyle w:val="Heading2"/>
        <w:spacing w:after="160" w:before="280"/>
      </w:pPr>
      <w:r>
        <w:rPr>
          <w:b/>
          <w:bCs/>
        </w:rPr>
        <w:t xml:space="preserve">8.3 Interactive Satellite Map</w:t>
      </w:r>
    </w:p>
    <w:p>
      <w:pPr>
        <w:spacing w:after="120" w:line="276"/>
      </w:pPr>
      <w:r>
        <w:t xml:space="preserve">All results are plotted on an interactive Folium map with satellite imagery. The map includes three layers: existing substations (grey dots), recommended new substations (colored markers with popup details), and transmission expansion candidates (orange circles). Each recommended site's popup shows its candidate ID, street address, load served, number of demand cells served, average service distance, suitability classification, and reason for any restriction flag. The map can be opened in any web browser and shared as a standalone HTML file.</w:t>
      </w:r>
    </w:p>
    <w:p>
      <w:r>
        <w:br w:type="page"/>
      </w:r>
    </w:p>
    <w:p>
      <w:pPr>
        <w:pStyle w:val="Heading1"/>
        <w:spacing w:after="200" w:before="360"/>
      </w:pPr>
      <w:r>
        <w:rPr>
          <w:b/>
          <w:bCs/>
        </w:rPr>
        <w:t xml:space="preserve">9.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metadata.csv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Detected substation locations with coordinates and confidence scores. This is the bridge between detection and optimization.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{county}_new_substations.csv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Recommended new substation locations with candidate ID, coordinates, cells served, and load served in kW.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{county}_site_analysis.csv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Each recommendation enriched with street address, city, suitability flag, suitability reason, and nearby restriction 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{county}_satellite_map.html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Interactive map with satellite imagery showing existing substations, new recommendations (color-coded by suitability), and transmission expansion candidates. Open in any browser.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{county}_results_map.png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Static overview showing the demand grid with existing and new substations plotted.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{county}_coverage_map.png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Before-and-after service distance heatmap showing coverage improvement.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{county}_tx_expansion.csv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Transmission expansion candidate clusters ranked by demand-to-distance ratio.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{county}_sensitivity.csv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Results of budget sensitivity sweep across different max-new values (if --sensitivity flag used).</w:t>
            </w:r>
          </w:p>
        </w:tc>
      </w:tr>
    </w:tbl>
    <w:p>
      <w:r>
        <w:br w:type="page"/>
      </w:r>
    </w:p>
    <w:p>
      <w:pPr>
        <w:pStyle w:val="Heading1"/>
        <w:spacing w:after="200" w:before="360"/>
      </w:pPr>
      <w:r>
        <w:rPr>
          <w:b/>
          <w:bCs/>
        </w:rPr>
        <w:t xml:space="preserve">10. Assumptions and Limitations</w:t>
      </w:r>
    </w:p>
    <w:p>
      <w:pPr>
        <w:pStyle w:val="Heading2"/>
        <w:spacing w:after="160" w:before="280"/>
      </w:pPr>
      <w:r>
        <w:rPr>
          <w:b/>
          <w:bCs/>
        </w:rPr>
        <w:t xml:space="preserve">10.1 Demand Estimation</w:t>
      </w:r>
    </w:p>
    <w:p>
      <w:pPr>
        <w:spacing w:after="120" w:line="276"/>
      </w:pPr>
      <w:r>
        <w:t xml:space="preserve">The demand proxy (population times 2.0 kW plus building area times 0.03 kW per square meter) is a simplification. Real electrical demand depends on building type (residential, commercial, industrial), climate zone (heating and cooling loads), time of day and season, and economic activity. A 10,000 square meter Amazon warehouse has very different electrical needs than a 10,000 square meter apartment complex, but the pipeline treats them identically. Users in areas with large industrial loads should interpret the demand grid as a lower bound.</w:t>
      </w:r>
    </w:p>
    <w:p>
      <w:pPr>
        <w:spacing w:after="200"/>
      </w:pPr>
    </w:p>
    <w:p>
      <w:pPr>
        <w:pStyle w:val="Heading2"/>
        <w:spacing w:after="160" w:before="280"/>
      </w:pPr>
      <w:r>
        <w:rPr>
          <w:b/>
          <w:bCs/>
        </w:rPr>
        <w:t xml:space="preserve">10.2 Substation Capacity</w:t>
      </w:r>
    </w:p>
    <w:p>
      <w:pPr>
        <w:spacing w:after="120" w:line="276"/>
      </w:pPr>
      <w:r>
        <w:t xml:space="preserve">The default capacity of 200 MW per substation is a rough estimate. Real substation capacity depends on transformer ratings, bus voltage, switching configurations, and the number of feeders. A 69 kV distribution substation typically handles 20 to 50 MW; a 345 kV transmission substation can handle 500 MW or more. Since the detection model cannot determine voltage from aerial imagery, the pipeline uses a single default. The --no-capacity flag is recommended for most analyses.</w:t>
      </w:r>
    </w:p>
    <w:p>
      <w:pPr>
        <w:spacing w:after="200"/>
      </w:pPr>
    </w:p>
    <w:p>
      <w:pPr>
        <w:pStyle w:val="Heading2"/>
        <w:spacing w:after="160" w:before="280"/>
      </w:pPr>
      <w:r>
        <w:rPr>
          <w:b/>
          <w:bCs/>
        </w:rPr>
        <w:t xml:space="preserve">10.3 Detection Limitations</w:t>
      </w:r>
    </w:p>
    <w:p>
      <w:pPr>
        <w:spacing w:after="120" w:line="276"/>
      </w:pPr>
      <w:r>
        <w:t xml:space="preserve">The model was trained exclusively on US NAIP imagery and OpenStreetMap labels. It will not work on imagery from other sensors (Sentinel-2, Landsat, Planet) without retraining, because the spatial resolution, spectral response, and radiometric calibration are fundamentally different. Within the US, performance degrades in heavily forested areas (King County IoU: 0.553) and for very small distribution substations (under 200 pixels at 0.6m).</w:t>
      </w:r>
    </w:p>
    <w:p>
      <w:pPr>
        <w:spacing w:after="200"/>
      </w:pPr>
    </w:p>
    <w:p>
      <w:pPr>
        <w:pStyle w:val="Heading2"/>
        <w:spacing w:after="160" w:before="280"/>
      </w:pPr>
      <w:r>
        <w:rPr>
          <w:b/>
          <w:bCs/>
        </w:rPr>
        <w:t xml:space="preserve">10.4 Optimizer Evaluation</w:t>
      </w:r>
    </w:p>
    <w:p>
      <w:pPr>
        <w:spacing w:after="120" w:line="276"/>
      </w:pPr>
      <w:r>
        <w:t xml:space="preserve">There is no ground-truth dataset of correct substation placement decisions. Unlike the detection model (which can be evaluated against known substation masks), the optimizer cannot be evaluated against a known-optimal placement because no such benchmark exists. We validate through geographic plausibility (do recommendations cluster near population centers?), land-use suitability (are they on buildable land?), coverage improvement (does the gap decrease?), and parameter sensitivity (do results change predictably when we vary build cost or budget?). Future work could validate against historical utility construction records.</w:t>
      </w:r>
    </w:p>
    <w:p>
      <w:pPr>
        <w:spacing w:after="200"/>
      </w:pPr>
    </w:p>
    <w:p>
      <w:pPr>
        <w:pStyle w:val="Heading2"/>
        <w:spacing w:after="160" w:before="280"/>
      </w:pPr>
      <w:r>
        <w:rPr>
          <w:b/>
          <w:bCs/>
        </w:rPr>
        <w:t xml:space="preserve">10.5 Temporal Mismatch</w:t>
      </w:r>
    </w:p>
    <w:p>
      <w:pPr>
        <w:spacing w:after="120" w:line="276"/>
      </w:pPr>
      <w:r>
        <w:t xml:space="preserve">The pipeline combines data from different time periods: NAIP imagery (2023), Census population (2020), and building footprints (mixed vintage averaging 2019 to 2020). Areas with rapid recent development may have buildings visible in imagery that are not reflected in population data, or vice versa. This is an inherent limitation of combining public datasets with different update cycles.</w:t>
      </w:r>
    </w:p>
    <w:p>
      <w:r>
        <w:br w:type="page"/>
      </w:r>
    </w:p>
    <w:p>
      <w:pPr>
        <w:pStyle w:val="Heading1"/>
        <w:spacing w:after="200" w:before="360"/>
      </w:pPr>
      <w:r>
        <w:rPr>
          <w:b/>
          <w:bCs/>
        </w:rPr>
        <w:t xml:space="preserve">11. Installation and Usage</w:t>
      </w:r>
    </w:p>
    <w:p>
      <w:pPr>
        <w:pStyle w:val="Heading2"/>
        <w:spacing w:after="160" w:before="280"/>
      </w:pPr>
      <w:r>
        <w:rPr>
          <w:b/>
          <w:bCs/>
        </w:rPr>
        <w:t xml:space="preserve">11.1 Requirements</w:t>
      </w:r>
    </w:p>
    <w:p>
      <w:pPr>
        <w:spacing w:after="120" w:line="276"/>
      </w:pPr>
      <w:r>
        <w:t xml:space="preserve">Python 3.10 or later with the following packages: torch, segmentation-models-pytorch, rasterio, geopandas, pulp, folium, planetary-computer, pystac-client, scipy, scikit-learn, matplotlib, pandas, numpy, tqdm, pyproj, shapely, Pillow, requests.</w:t>
      </w:r>
    </w:p>
    <w:p>
      <w:pPr>
        <w:spacing w:after="200"/>
      </w:pPr>
    </w:p>
    <w:p>
      <w:pPr>
        <w:spacing w:after="120" w:line="276"/>
      </w:pPr>
      <w:r>
        <w:t xml:space="preserve">Install all dependencies: </w:t>
      </w:r>
      <w:r>
        <w:rPr>
          <w:rFonts w:ascii="Courier New" w:cs="Courier New" w:eastAsia="Courier New" w:hAnsi="Courier New"/>
          <w:sz w:val="20"/>
          <w:szCs w:val="20"/>
        </w:rPr>
        <w:t xml:space="preserve">pip install -r requirements.txt</w:t>
      </w:r>
    </w:p>
    <w:p>
      <w:pPr>
        <w:spacing w:after="200"/>
      </w:pPr>
    </w:p>
    <w:p>
      <w:pPr>
        <w:pStyle w:val="Heading2"/>
        <w:spacing w:after="160" w:before="280"/>
      </w:pPr>
      <w:r>
        <w:rPr>
          <w:b/>
          <w:bCs/>
        </w:rPr>
        <w:t xml:space="preserve">11.2 Model Weights</w:t>
      </w:r>
    </w:p>
    <w:p>
      <w:pPr>
        <w:spacing w:after="120" w:line="276"/>
      </w:pPr>
      <w:r>
        <w:t xml:space="preserve">The ensemble model checkpoint is approximately 500 MB and is hosted on Google Drive due to GitHub's 100 MB file size limit. Download using the provided script or manually:</w:t>
      </w:r>
    </w:p>
    <w:p>
      <w:pPr>
        <w:spacing w:after="200"/>
      </w:pPr>
    </w:p>
    <w:p>
      <w:pPr>
        <w:spacing w:after="120" w:line="276"/>
      </w:pPr>
      <w:r>
        <w:rPr>
          <w:rFonts w:ascii="Courier New" w:cs="Courier New" w:eastAsia="Courier New" w:hAnsi="Courier New"/>
          <w:sz w:val="20"/>
          <w:szCs w:val="20"/>
        </w:rPr>
        <w:t xml:space="preserve">python scripts/download_assets.py --model</w:t>
      </w:r>
    </w:p>
    <w:p>
      <w:pPr>
        <w:spacing w:after="200"/>
      </w:pPr>
    </w:p>
    <w:p>
      <w:pPr>
        <w:spacing w:after="120" w:line="276"/>
      </w:pPr>
      <w:r>
        <w:t xml:space="preserve">Place the file at model/ensemble_model.pt. The checkpoint contains five fold weights stored as fold_01 through fold_05 keys.</w:t>
      </w:r>
    </w:p>
    <w:p>
      <w:pPr>
        <w:spacing w:after="200"/>
      </w:pPr>
    </w:p>
    <w:p>
      <w:pPr>
        <w:pStyle w:val="Heading2"/>
        <w:spacing w:after="160" w:before="280"/>
      </w:pPr>
      <w:r>
        <w:rPr>
          <w:b/>
          <w:bCs/>
        </w:rPr>
        <w:t xml:space="preserve">11.3 Data Extraction</w:t>
      </w:r>
    </w:p>
    <w:p>
      <w:pPr>
        <w:spacing w:after="120" w:line="276"/>
      </w:pPr>
      <w:r>
        <w:rPr>
          <w:rFonts w:ascii="Courier New" w:cs="Courier New" w:eastAsia="Courier New" w:hAnsi="Courier New"/>
          <w:sz w:val="20"/>
          <w:szCs w:val="20"/>
        </w:rPr>
        <w:t xml:space="preserve">python scripts/extract_region.py --county maricopa -o demo_data -v</w:t>
      </w:r>
    </w:p>
    <w:p>
      <w:pPr>
        <w:spacing w:after="200"/>
      </w:pPr>
    </w:p>
    <w:p>
      <w:pPr>
        <w:spacing w:after="120" w:line="276"/>
      </w:pPr>
      <w:r>
        <w:t xml:space="preserve">This searches Planetary Computer STAC for NAIP tiles, extracts downsampled patches, and builds metadata.csv. For custom areas, add --bbox followed by the four coordinates.</w:t>
      </w:r>
    </w:p>
    <w:p>
      <w:pPr>
        <w:spacing w:after="200"/>
      </w:pPr>
    </w:p>
    <w:p>
      <w:pPr>
        <w:pStyle w:val="Heading2"/>
        <w:spacing w:after="160" w:before="280"/>
      </w:pPr>
      <w:r>
        <w:rPr>
          <w:b/>
          <w:bCs/>
        </w:rPr>
        <w:t xml:space="preserve">11.4 Auxiliary Data</w:t>
      </w:r>
    </w:p>
    <w:p>
      <w:pPr>
        <w:spacing w:after="120" w:line="276"/>
      </w:pPr>
      <w:r>
        <w:rPr>
          <w:rFonts w:ascii="Courier New" w:cs="Courier New" w:eastAsia="Courier New" w:hAnsi="Courier New"/>
          <w:sz w:val="20"/>
          <w:szCs w:val="20"/>
        </w:rPr>
        <w:t xml:space="preserve">python scripts/fetch_data.py --county maricopa</w:t>
      </w:r>
    </w:p>
    <w:p>
      <w:pPr>
        <w:spacing w:after="200"/>
      </w:pPr>
    </w:p>
    <w:p>
      <w:pPr>
        <w:spacing w:after="120" w:line="276"/>
      </w:pPr>
      <w:r>
        <w:t xml:space="preserve">Downloads Microsoft Building Footprints (state-level GeoJSON, filtered to county bbox, saved as Parquet) and OSM power lines (via Overpass API). Building footprints are optional but significantly improve demand estimation.</w:t>
      </w:r>
    </w:p>
    <w:p>
      <w:pPr>
        <w:spacing w:after="200"/>
      </w:pPr>
    </w:p>
    <w:p>
      <w:pPr>
        <w:pStyle w:val="Heading2"/>
        <w:spacing w:after="160" w:before="280"/>
      </w:pPr>
      <w:r>
        <w:rPr>
          <w:b/>
          <w:bCs/>
        </w:rPr>
        <w:t xml:space="preserve">11.5 Full Pipeline</w:t>
      </w:r>
    </w:p>
    <w:p>
      <w:pPr>
        <w:spacing w:after="120" w:line="276"/>
      </w:pPr>
      <w:r>
        <w:rPr>
          <w:rFonts w:ascii="Courier New" w:cs="Courier New" w:eastAsia="Courier New" w:hAnsi="Courier New"/>
          <w:sz w:val="20"/>
          <w:szCs w:val="20"/>
        </w:rPr>
        <w:t xml:space="preserve">python scripts/local_pipeline.py --county maricopa --eval-csv demo_data/metadata.csv --img-dir demo_data/images --model-path model/ensemble_model.pt --no-capacity -o output/maricopa -v</w:t>
      </w:r>
    </w:p>
    <w:p>
      <w:pPr>
        <w:spacing w:after="200"/>
      </w:pPr>
    </w:p>
    <w:p>
      <w:pPr>
        <w:spacing w:after="120" w:line="276"/>
      </w:pPr>
      <w:r>
        <w:t xml:space="preserve">The five stages execute sequentially. Console output shows progress for each stage. Total runtime is 10 to 30 minutes depending on area size and whether building footprints are available.</w:t>
      </w:r>
    </w:p>
    <w:p>
      <w:pPr>
        <w:spacing w:after="200"/>
      </w:pPr>
    </w:p>
    <w:p>
      <w:pPr>
        <w:spacing w:after="200"/>
      </w:pPr>
    </w:p>
    <w:p>
      <w:pPr>
        <w:spacing w:after="200"/>
      </w:pPr>
    </w:p>
    <w:p>
      <w:pPr>
        <w:jc w:val="center"/>
      </w:pPr>
      <w:r>
        <w:rPr>
          <w:i/>
          <w:iCs/>
          <w:color w:val="999999"/>
          <w:sz w:val="20"/>
          <w:szCs w:val="20"/>
        </w:rPr>
        <w:t xml:space="preserve">— End of Technical Manual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2026-04-27T08:27:13.808Z</dcterms:created>
  <dcterms:modified xsi:type="dcterms:W3CDTF">2026-04-27T08:27:13.808Z</dcterms:modified>
</cp:coreProperties>
</file>

<file path=docProps/custom.xml><?xml version="1.0" encoding="utf-8"?>
<Properties xmlns="http://schemas.openxmlformats.org/officeDocument/2006/custom-properties" xmlns:vt="http://schemas.openxmlformats.org/officeDocument/2006/docPropsVTypes"/>
</file>