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ANVEXA | CFO Investor Q&amp;A Preparation Guide</w:t>
      </w:r>
    </w:p>
    <w:p>
      <w:r>
        <w:t>Prepared for Nishant, Chief Financial Officer. The figures below are an internally consistent fictional presentation scenario, not audited company facts. Replace them with verified figures if required.</w:t>
      </w:r>
    </w:p>
    <w:p>
      <w:pPr>
        <w:pStyle w:val="Heading1"/>
      </w:pPr>
      <w:r>
        <w:t>1. One-minute CFO opening</w:t>
      </w:r>
    </w:p>
    <w:p>
      <w:r>
        <w:t>“I’m Nishant, CFO of Anvexa. My responsibility is to make growth financially disciplined. Our illustrative FY2025–26 model shows ₹3 crore revenue, 58% gross margin and ₹36 lakh net profit. We are proposing ₹2 crore of growth capital for productization, sales, talent, infrastructure, security and working capital. We will deploy capital against milestones and report monthly on revenue quality, cash, margins, receivables and outcomes. We do not promise guaranteed returns; we offer a transparent plan and measurable accountability.”</w:t>
      </w:r>
    </w:p>
    <w:p>
      <w:pPr>
        <w:pStyle w:val="Heading1"/>
      </w:pPr>
      <w:r>
        <w:t>2. Numbers to memorize</w:t>
      </w:r>
    </w:p>
    <w:tbl>
      <w:tblPr>
        <w:tblStyle w:val="LightShading-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Figure / explanation</w:t>
            </w:r>
          </w:p>
        </w:tc>
      </w:tr>
      <w:tr>
        <w:tc>
          <w:tcPr>
            <w:tcW w:type="dxa" w:w="4968"/>
          </w:tcPr>
          <w:p>
            <w:r>
              <w:t>Founded / HQ</w:t>
            </w:r>
          </w:p>
        </w:tc>
        <w:tc>
          <w:tcPr>
            <w:tcW w:type="dxa" w:w="4968"/>
          </w:tcPr>
          <w:p>
            <w:r>
              <w:t>2023 / Pune, Maharashtra</w:t>
            </w:r>
          </w:p>
        </w:tc>
      </w:tr>
      <w:tr>
        <w:tc>
          <w:tcPr>
            <w:tcW w:type="dxa" w:w="4968"/>
          </w:tcPr>
          <w:p>
            <w:r>
              <w:t>Geographic focus</w:t>
            </w:r>
          </w:p>
        </w:tc>
        <w:tc>
          <w:tcPr>
            <w:tcW w:type="dxa" w:w="4968"/>
          </w:tcPr>
          <w:p>
            <w:r>
              <w:t>Pune and Mumbai today; Gujarat and Bengaluru are conditional expansion markets</w:t>
            </w:r>
          </w:p>
        </w:tc>
      </w:tr>
      <w:tr>
        <w:tc>
          <w:tcPr>
            <w:tcW w:type="dxa" w:w="4968"/>
          </w:tcPr>
          <w:p>
            <w:r>
              <w:t>Recurring clients / projects</w:t>
            </w:r>
          </w:p>
        </w:tc>
        <w:tc>
          <w:tcPr>
            <w:tcW w:type="dxa" w:w="4968"/>
          </w:tcPr>
          <w:p>
            <w:r>
              <w:t>32 recurring clients at Year 3 end; 45+ cumulative projects (scenario assumptions)</w:t>
            </w:r>
          </w:p>
        </w:tc>
      </w:tr>
      <w:tr>
        <w:tc>
          <w:tcPr>
            <w:tcW w:type="dxa" w:w="4968"/>
          </w:tcPr>
          <w:p>
            <w:r>
              <w:t>Revenue FY23–24 / FY24–25 / FY25–26</w:t>
            </w:r>
          </w:p>
        </w:tc>
        <w:tc>
          <w:tcPr>
            <w:tcW w:type="dxa" w:w="4968"/>
          </w:tcPr>
          <w:p>
            <w:r>
              <w:t>₹1.20Cr / ₹2.00Cr / ₹3.00Cr</w:t>
            </w:r>
          </w:p>
        </w:tc>
      </w:tr>
      <w:tr>
        <w:tc>
          <w:tcPr>
            <w:tcW w:type="dxa" w:w="4968"/>
          </w:tcPr>
          <w:p>
            <w:r>
              <w:t>Cumulative revenue</w:t>
            </w:r>
          </w:p>
        </w:tc>
        <w:tc>
          <w:tcPr>
            <w:tcW w:type="dxa" w:w="4968"/>
          </w:tcPr>
          <w:p>
            <w:r>
              <w:t>₹6.20Cr = 1.20 + 2.00 + 3.00; corrects draft’s inconsistent ₹2.85Cr claim</w:t>
            </w:r>
          </w:p>
        </w:tc>
      </w:tr>
      <w:tr>
        <w:tc>
          <w:tcPr>
            <w:tcW w:type="dxa" w:w="4968"/>
          </w:tcPr>
          <w:p>
            <w:r>
              <w:t>Net profit by year</w:t>
            </w:r>
          </w:p>
        </w:tc>
        <w:tc>
          <w:tcPr>
            <w:tcW w:type="dxa" w:w="4968"/>
          </w:tcPr>
          <w:p>
            <w:r>
              <w:t>₹6L / ₹15L / ₹36L; corrects draft’s contradictory Year 1 loss wording</w:t>
            </w:r>
          </w:p>
        </w:tc>
      </w:tr>
      <w:tr>
        <w:tc>
          <w:tcPr>
            <w:tcW w:type="dxa" w:w="4968"/>
          </w:tcPr>
          <w:p>
            <w:r>
              <w:t>Year 3 gross margin</w:t>
            </w:r>
          </w:p>
        </w:tc>
        <w:tc>
          <w:tcPr>
            <w:tcW w:type="dxa" w:w="4968"/>
          </w:tcPr>
          <w:p>
            <w:r>
              <w:t>(₹300L − ₹126L direct costs) ÷ ₹300L = 58%</w:t>
            </w:r>
          </w:p>
        </w:tc>
      </w:tr>
      <w:tr>
        <w:tc>
          <w:tcPr>
            <w:tcW w:type="dxa" w:w="4968"/>
          </w:tcPr>
          <w:p>
            <w:r>
              <w:t>Year 3 net margin</w:t>
            </w:r>
          </w:p>
        </w:tc>
        <w:tc>
          <w:tcPr>
            <w:tcW w:type="dxa" w:w="4968"/>
          </w:tcPr>
          <w:p>
            <w:r>
              <w:t>₹36L ÷ ₹300L = 12%</w:t>
            </w:r>
          </w:p>
        </w:tc>
      </w:tr>
      <w:tr>
        <w:tc>
          <w:tcPr>
            <w:tcW w:type="dxa" w:w="4968"/>
          </w:tcPr>
          <w:p>
            <w:r>
              <w:t>ARR</w:t>
            </w:r>
          </w:p>
        </w:tc>
        <w:tc>
          <w:tcPr>
            <w:tcW w:type="dxa" w:w="4968"/>
          </w:tcPr>
          <w:p>
            <w:r>
              <w:t>₹90L annualized recurring contract value; subset/run-rate measure, not additional revenue</w:t>
            </w:r>
          </w:p>
        </w:tc>
      </w:tr>
      <w:tr>
        <w:tc>
          <w:tcPr>
            <w:tcW w:type="dxa" w:w="4968"/>
          </w:tcPr>
          <w:p>
            <w:r>
              <w:t>Average ARR per recurring client</w:t>
            </w:r>
          </w:p>
        </w:tc>
        <w:tc>
          <w:tcPr>
            <w:tcW w:type="dxa" w:w="4968"/>
          </w:tcPr>
          <w:p>
            <w:r>
              <w:t>₹90L ÷ 32 = ₹2.81L/year ≈ ₹23,438/month average</w:t>
            </w:r>
          </w:p>
        </w:tc>
      </w:tr>
      <w:tr>
        <w:tc>
          <w:tcPr>
            <w:tcW w:type="dxa" w:w="4968"/>
          </w:tcPr>
          <w:p>
            <w:r>
              <w:t>Funding ask</w:t>
            </w:r>
          </w:p>
        </w:tc>
        <w:tc>
          <w:tcPr>
            <w:tcW w:type="dxa" w:w="4968"/>
          </w:tcPr>
          <w:p>
            <w:r>
              <w:t>₹2Cr for proposed 16.67% ownership</w:t>
            </w:r>
          </w:p>
        </w:tc>
      </w:tr>
      <w:tr>
        <w:tc>
          <w:tcPr>
            <w:tcW w:type="dxa" w:w="4968"/>
          </w:tcPr>
          <w:p>
            <w:r>
              <w:t>Valuation implied</w:t>
            </w:r>
          </w:p>
        </w:tc>
        <w:tc>
          <w:tcPr>
            <w:tcW w:type="dxa" w:w="4968"/>
          </w:tcPr>
          <w:p>
            <w:r>
              <w:t>₹12Cr post-money; ₹10Cr pre-money</w:t>
            </w:r>
          </w:p>
        </w:tc>
      </w:tr>
      <w:tr>
        <w:tc>
          <w:tcPr>
            <w:tcW w:type="dxa" w:w="4968"/>
          </w:tcPr>
          <w:p>
            <w:r>
              <w:t>Use of funds</w:t>
            </w:r>
          </w:p>
        </w:tc>
        <w:tc>
          <w:tcPr>
            <w:tcW w:type="dxa" w:w="4968"/>
          </w:tcPr>
          <w:p>
            <w:r>
              <w:t>R&amp;D ₹60L; sales/marketing ₹50L; talent ₹40L; infrastructure ₹20L; security ₹20L; working capital ₹10L</w:t>
            </w:r>
          </w:p>
        </w:tc>
      </w:tr>
      <w:tr>
        <w:tc>
          <w:tcPr>
            <w:tcW w:type="dxa" w:w="4968"/>
          </w:tcPr>
          <w:p>
            <w:r>
              <w:t>Cash / receivables / loans</w:t>
            </w:r>
          </w:p>
        </w:tc>
        <w:tc>
          <w:tcPr>
            <w:tcW w:type="dxa" w:w="4968"/>
          </w:tcPr>
          <w:p>
            <w:r>
              <w:t>₹45L / ₹35L / ₹20L, illustrative and requiring verification</w:t>
            </w:r>
          </w:p>
        </w:tc>
      </w:tr>
    </w:tbl>
    <w:p>
      <w:pPr>
        <w:pStyle w:val="Heading1"/>
      </w:pPr>
      <w:r>
        <w:t>3. Investor questions and prepared answers</w:t>
      </w:r>
    </w:p>
    <w:p>
      <w:pPr>
        <w:pStyle w:val="Heading2"/>
      </w:pPr>
      <w:r>
        <w:t>What does Anvexa do?</w:t>
      </w:r>
    </w:p>
    <w:p>
      <w:r>
        <w:t>We combine cloud migration/support, cybersecurity hardening, AI-enabled reporting and custom business software for SMEs and mid-market businesses. Scope is defined in each statement of work.</w:t>
      </w:r>
    </w:p>
    <w:p>
      <w:pPr>
        <w:pStyle w:val="Heading2"/>
      </w:pPr>
      <w:r>
        <w:t>Are you local, national or global?</w:t>
      </w:r>
    </w:p>
    <w:p>
      <w:r>
        <w:t>Our operating base is Pune and our initial commercial focus is Pune and Mumbai. Gujarat and Bengaluru are planned expansion markets, subject to pipeline and delivery milestones. We are not claiming a global footprint.</w:t>
      </w:r>
    </w:p>
    <w:p>
      <w:pPr>
        <w:pStyle w:val="Heading2"/>
      </w:pPr>
      <w:r>
        <w:t>What kinds of clients do you serve?</w:t>
      </w:r>
    </w:p>
    <w:p>
      <w:r>
        <w:t>Target verticals are retail/distribution, IT/software services, logistics/manufacturing and professional services. The 32-client mix in the presentation is illustrative, not verified client records.</w:t>
      </w:r>
    </w:p>
    <w:p>
      <w:pPr>
        <w:pStyle w:val="Heading2"/>
      </w:pPr>
      <w:r>
        <w:t>Who are your named clients?</w:t>
      </w:r>
    </w:p>
    <w:p>
      <w:r>
        <w:t>We should name only real clients with permission. Otherwise we present anonymized case studies with sector, problem, scope, timeline and measured outcome. We never invent logos.</w:t>
      </w:r>
    </w:p>
    <w:p>
      <w:pPr>
        <w:pStyle w:val="Heading2"/>
      </w:pPr>
      <w:r>
        <w:t>How can 32 clients generate ₹3Cr revenue?</w:t>
      </w:r>
    </w:p>
    <w:p>
      <w:r>
        <w:t>Total revenue includes recurring subscriptions plus implementation/migration fees and custom projects. We need a revenue bridge by stream to prove the mix; ₹90L ARR is the recurring run-rate subset.</w:t>
      </w:r>
    </w:p>
    <w:p>
      <w:pPr>
        <w:pStyle w:val="Heading2"/>
      </w:pPr>
      <w:r>
        <w:t>Why is ARR ₹90L when revenue is ₹3Cr?</w:t>
      </w:r>
    </w:p>
    <w:p>
      <w:r>
        <w:t>ARR annualizes active recurring contracts only. Total revenue also includes non-recurring implementation and project fees. ARR must not be added to total revenue as if it were separate.</w:t>
      </w:r>
    </w:p>
    <w:p>
      <w:pPr>
        <w:pStyle w:val="Heading2"/>
      </w:pPr>
      <w:r>
        <w:t>How did you calculate ₹6.2Cr cumulative revenue?</w:t>
      </w:r>
    </w:p>
    <w:p>
      <w:r>
        <w:t>The three annual figures in the draft add to ₹6.2Cr. They cannot coexist with the ₹2.85Cr cumulative claim. The presentation uses ₹6.2Cr, pending verification.</w:t>
      </w:r>
    </w:p>
    <w:p>
      <w:pPr>
        <w:pStyle w:val="Heading2"/>
      </w:pPr>
      <w:r>
        <w:t>Was Year 1 profitable or loss-making?</w:t>
      </w:r>
    </w:p>
    <w:p>
      <w:r>
        <w:t>The draft says ₹6L net profit but elsewhere calls Year 1 a loss. This model uses ₹6L net profit. If the intended facts are a loss, the P&amp;L must be rebuilt.</w:t>
      </w:r>
    </w:p>
    <w:p>
      <w:pPr>
        <w:pStyle w:val="Heading2"/>
      </w:pPr>
      <w:r>
        <w:t>How is 58% gross margin calculated?</w:t>
      </w:r>
    </w:p>
    <w:p>
      <w:r>
        <w:t>Revenue ₹300L minus direct delivery costs ₹126L gives gross profit ₹174L. ₹174L divided by ₹300L is 58%.</w:t>
      </w:r>
    </w:p>
    <w:p>
      <w:pPr>
        <w:pStyle w:val="Heading2"/>
      </w:pPr>
      <w:r>
        <w:t>How is 12% net margin calculated?</w:t>
      </w:r>
    </w:p>
    <w:p>
      <w:r>
        <w:t>₹36L net profit divided by ₹300L revenue equals 12%.</w:t>
      </w:r>
    </w:p>
    <w:p>
      <w:pPr>
        <w:pStyle w:val="Heading2"/>
      </w:pPr>
      <w:r>
        <w:t>Why are expenses ₹2.4Cr?</w:t>
      </w:r>
    </w:p>
    <w:p>
      <w:r>
        <w:t>₹1.26Cr direct delivery costs plus ₹1.14Cr operating expenses total ₹2.40Cr before depreciation, interest and tax. A detailed ledger should support each category.</w:t>
      </w:r>
    </w:p>
    <w:p>
      <w:pPr>
        <w:pStyle w:val="Heading2"/>
      </w:pPr>
      <w:r>
        <w:t>What is the market size?</w:t>
      </w:r>
    </w:p>
    <w:p>
      <w:r>
        <w:t>National market figures show demand, but they are not our obtainable market. We need a bottom-up estimate: eligible firms in target sectors/clusters multiplied by realistic annual spend. Do not use an unsupported ₹65,000Cr TAM as fact.</w:t>
      </w:r>
    </w:p>
    <w:p>
      <w:pPr>
        <w:pStyle w:val="Heading2"/>
      </w:pPr>
      <w:r>
        <w:t>Why start in Pune and Mumbai?</w:t>
      </w:r>
    </w:p>
    <w:p>
      <w:r>
        <w:t>A focused nearby market lets us build references, keep delivery costs manageable and learn before expansion. Expansion depends on pipeline, acquisition cost and delivery capacity.</w:t>
      </w:r>
    </w:p>
    <w:p>
      <w:pPr>
        <w:pStyle w:val="Heading2"/>
      </w:pPr>
      <w:r>
        <w:t>Why ask for ₹2Cr?</w:t>
      </w:r>
    </w:p>
    <w:p>
      <w:r>
        <w:t>₹60L R&amp;D, ₹50L sales/marketing, ₹40L hiring, ₹20L infrastructure, ₹20L security/compliance and ₹10L working capital. Each allocation must be linked to milestones and reported against budget.</w:t>
      </w:r>
    </w:p>
    <w:p>
      <w:pPr>
        <w:pStyle w:val="Heading2"/>
      </w:pPr>
      <w:r>
        <w:t>How did you arrive at ₹12Cr post-money valuation?</w:t>
      </w:r>
    </w:p>
    <w:p>
      <w:r>
        <w:t>₹2Cr divided by 16.67% ownership implies about ₹12Cr post-money. Subtracting the investment gives ₹10Cr pre-money. This is a proposed valuation, not an independent valuation; it must be justified by quality of revenue, margins, ARR, growth and risk.</w:t>
      </w:r>
    </w:p>
    <w:p>
      <w:pPr>
        <w:pStyle w:val="Heading2"/>
      </w:pPr>
      <w:r>
        <w:t>What return will investors get?</w:t>
      </w:r>
    </w:p>
    <w:p>
      <w:r>
        <w:t>No return is guaranteed. Investors may benefit from valuation appreciation, a future share sale or dividends if declared and affordable. Outcomes depend on execution, dilution, market conditions and exit options.</w:t>
      </w:r>
    </w:p>
    <w:p>
      <w:pPr>
        <w:pStyle w:val="Heading2"/>
      </w:pPr>
      <w:r>
        <w:t>What if sales miss forecast?</w:t>
      </w:r>
    </w:p>
    <w:p>
      <w:r>
        <w:t>Use a downside case: slow hiring, prioritize high-margin work, pause unproven expansion, protect cash, enforce milestone billing and reforecast monthly.</w:t>
      </w:r>
    </w:p>
    <w:p>
      <w:pPr>
        <w:pStyle w:val="Heading2"/>
      </w:pPr>
      <w:r>
        <w:t>How will you protect investor money?</w:t>
      </w:r>
    </w:p>
    <w:p>
      <w:r>
        <w:t>Use a board-approved budget, approvals for larger expenses, documented procurement, milestone-based funding and monthly budget variance reporting. No plan eliminates risk completely.</w:t>
      </w:r>
    </w:p>
    <w:p>
      <w:pPr>
        <w:pStyle w:val="Heading2"/>
      </w:pPr>
      <w:r>
        <w:t>What is cash runway?</w:t>
      </w:r>
    </w:p>
    <w:p>
      <w:r>
        <w:t>Unrestricted cash divided by average monthly net cash burn. If cash flow is positive, report cash and forecast obligations rather than an artificial runway number.</w:t>
      </w:r>
    </w:p>
    <w:p>
      <w:pPr>
        <w:pStyle w:val="Heading2"/>
      </w:pPr>
      <w:r>
        <w:t>Are receivables of ₹35L risky?</w:t>
      </w:r>
    </w:p>
    <w:p>
      <w:r>
        <w:t>A rough proxy is ₹35L ÷ ₹300L × 365 ≈ 43 days, but proper DSO uses credit sales and average receivables. We need ageing buckets to judge collection risk.</w:t>
      </w:r>
    </w:p>
    <w:p>
      <w:pPr>
        <w:pStyle w:val="Heading2"/>
      </w:pPr>
      <w:r>
        <w:t>How do you prevent late payments?</w:t>
      </w:r>
    </w:p>
    <w:p>
      <w:r>
        <w:t>Milestone billing, clear payment terms, weekly ageing review, reminders and escalation at 30/45/60 days. Pause new work only where contract terms permit.</w:t>
      </w:r>
    </w:p>
    <w:p>
      <w:pPr>
        <w:pStyle w:val="Heading2"/>
      </w:pPr>
      <w:r>
        <w:t>What if one client accounts for too much revenue?</w:t>
      </w:r>
    </w:p>
    <w:p>
      <w:r>
        <w:t>Track concentration monthly and aim for no single client above 20% over time. If higher, disclose it and execute a diversification plan.</w:t>
      </w:r>
    </w:p>
    <w:p>
      <w:pPr>
        <w:pStyle w:val="Heading2"/>
      </w:pPr>
      <w:r>
        <w:t>Why mention quantum computing?</w:t>
      </w:r>
    </w:p>
    <w:p>
      <w:r>
        <w:t>It is not part of the base-case revenue model. Treat it as exploratory only unless there is a customer-funded use case, technical feasibility and staged stop/go budget. The core case is cloud, security, AI and software.</w:t>
      </w:r>
    </w:p>
    <w:p>
      <w:pPr>
        <w:pStyle w:val="Heading2"/>
      </w:pPr>
      <w:r>
        <w:t>Is 99.9% uptime guaranteed?</w:t>
      </w:r>
    </w:p>
    <w:p>
      <w:r>
        <w:t>Only if a signed SLA defines measurement, exclusions and remedies. Otherwise call it a target subject to scope and SLA; never imply perfect availability.</w:t>
      </w:r>
    </w:p>
    <w:p>
      <w:pPr>
        <w:pStyle w:val="Heading2"/>
      </w:pPr>
      <w:r>
        <w:t>How will investors receive updates?</w:t>
      </w:r>
    </w:p>
    <w:p>
      <w:r>
        <w:t>Monthly P&amp;L, cash-flow view, balance-sheet snapshot, budget variance, ARR, receivables ageing and pipeline; quarterly updates on concentration, renewals, project margins, risks and milestones.</w:t>
      </w:r>
    </w:p>
    <w:p>
      <w:pPr>
        <w:pStyle w:val="Heading2"/>
      </w:pPr>
      <w:r>
        <w:t>What is your unique finance principle?</w:t>
      </w:r>
    </w:p>
    <w:p>
      <w:r>
        <w:t>Capital with Purpose: every rupee has a defined use, owner, milestone and reported outcome.</w:t>
      </w:r>
    </w:p>
    <w:p>
      <w:pPr>
        <w:pStyle w:val="Heading2"/>
      </w:pPr>
      <w:r>
        <w:t>What is the biggest financial risk?</w:t>
      </w:r>
    </w:p>
    <w:p>
      <w:r>
        <w:t>Likely risks include delayed collections, client concentration, scope creep and hiring ahead of demand. We manage them through ageing reviews, project margin tracking, signed scopes and staged hiring.</w:t>
      </w:r>
    </w:p>
    <w:p>
      <w:pPr>
        <w:pStyle w:val="Heading2"/>
      </w:pPr>
      <w:r>
        <w:t>What should due diligence check?</w:t>
      </w:r>
    </w:p>
    <w:p>
      <w:r>
        <w:t>Financial statements, bank reconciliations, tax filings, contracts, invoices and collections, ARR schedules, retention, debts/liabilities, IP ownership, security controls, employee commitments and cap table.</w:t>
      </w:r>
    </w:p>
    <w:p>
      <w:pPr>
        <w:pStyle w:val="Heading1"/>
      </w:pPr>
      <w:r>
        <w:t>4. Formulas to remember</w:t>
      </w:r>
    </w:p>
    <w:p>
      <w:pPr>
        <w:pStyle w:val="ListBullet"/>
      </w:pPr>
      <w:r>
        <w:t>Revenue growth % = (current revenue − prior revenue) ÷ prior revenue × 100.</w:t>
      </w:r>
    </w:p>
    <w:p>
      <w:pPr>
        <w:pStyle w:val="ListBullet"/>
      </w:pPr>
      <w:r>
        <w:t>Gross profit = revenue − direct delivery costs; gross margin = gross profit ÷ revenue.</w:t>
      </w:r>
    </w:p>
    <w:p>
      <w:pPr>
        <w:pStyle w:val="ListBullet"/>
      </w:pPr>
      <w:r>
        <w:t>EBITDA = gross profit − operating expenses before depreciation, interest and tax.</w:t>
      </w:r>
    </w:p>
    <w:p>
      <w:pPr>
        <w:pStyle w:val="ListBullet"/>
      </w:pPr>
      <w:r>
        <w:t>Net margin = net profit after tax ÷ revenue.</w:t>
      </w:r>
    </w:p>
    <w:p>
      <w:pPr>
        <w:pStyle w:val="ListBullet"/>
      </w:pPr>
      <w:r>
        <w:t>Post-money valuation = investment ÷ investor ownership; pre-money = post-money − investment.</w:t>
      </w:r>
    </w:p>
    <w:p>
      <w:pPr>
        <w:pStyle w:val="ListBullet"/>
      </w:pPr>
      <w:r>
        <w:t>ARR = sum of annualized active recurring contract values; do not count one-off project revenue as ARR.</w:t>
      </w:r>
    </w:p>
    <w:p>
      <w:pPr>
        <w:pStyle w:val="ListBullet"/>
      </w:pPr>
      <w:r>
        <w:t>Client concentration = largest-client revenue ÷ total revenue.</w:t>
      </w:r>
    </w:p>
    <w:p>
      <w:pPr>
        <w:pStyle w:val="ListBullet"/>
      </w:pPr>
      <w:r>
        <w:t>Receivables-days proxy = receivables ÷ annual revenue × 365; proper DSO uses average receivables and credit sales.</w:t>
      </w:r>
    </w:p>
    <w:p>
      <w:pPr>
        <w:pStyle w:val="Heading1"/>
      </w:pPr>
      <w:r>
        <w:t>5. What must be verified before the pitch</w:t>
      </w:r>
    </w:p>
    <w:p>
      <w:pPr>
        <w:pStyle w:val="ListBullet"/>
      </w:pPr>
      <w:r>
        <w:t>Label figures as fictional assumptions unless actual accounts support them.</w:t>
      </w:r>
    </w:p>
    <w:p>
      <w:pPr>
        <w:pStyle w:val="ListBullet"/>
      </w:pPr>
      <w:r>
        <w:t>Reconcile annual revenue and cumulative revenue; ₹1.2Cr + ₹2Cr + ₹3Cr = ₹6.2Cr.</w:t>
      </w:r>
    </w:p>
    <w:p>
      <w:pPr>
        <w:pStyle w:val="ListBullet"/>
      </w:pPr>
      <w:r>
        <w:t>Resolve Year 1 profit-versus-loss wording and use one funding ask throughout.</w:t>
      </w:r>
    </w:p>
    <w:p>
      <w:pPr>
        <w:pStyle w:val="ListBullet"/>
      </w:pPr>
      <w:r>
        <w:t>Validate whether 32 means active year-end clients, average active clients or paying recurring clients.</w:t>
      </w:r>
    </w:p>
    <w:p>
      <w:pPr>
        <w:pStyle w:val="ListBullet"/>
      </w:pPr>
      <w:r>
        <w:t>Create a revenue bridge: subscriptions + onboarding/migration + custom projects = total revenue.</w:t>
      </w:r>
    </w:p>
    <w:p>
      <w:pPr>
        <w:pStyle w:val="ListBullet"/>
      </w:pPr>
      <w:r>
        <w:t>Validate cash, receivables, debt, taxes, gross margin and operating costs.</w:t>
      </w:r>
    </w:p>
    <w:p>
      <w:pPr>
        <w:pStyle w:val="ListBullet"/>
      </w:pPr>
      <w:r>
        <w:t>Do not claim named customers, quantified savings, certifications, global reach or quantum capability without evidence.</w:t>
      </w:r>
    </w:p>
    <w:p>
      <w:pPr>
        <w:pStyle w:val="Heading1"/>
      </w:pPr>
      <w:r>
        <w:t>6. External market references</w:t>
      </w:r>
    </w:p>
    <w:p>
      <w:r>
        <w:t>Government of India, Press Information Bureau (22 July 2024): MSME gross value added represented 30.1% of India GDP in FY2022–23. https://www.pib.gov.in/Pressreleaseshare.aspx?PRID=2035073</w:t>
      </w:r>
    </w:p>
    <w:p>
      <w:r>
        <w:t>Gartner (1 June 2026): India public-cloud end-user spending forecast at US$17.5B in 2026, up 28.1% from 2025. https://www.gartner.com/en/newsroom/press-releases/2026-06-01-gartner-forecasts-end-user-public-cloud-spending-in-india-to-surpass-17-billion-us-dollars-in-2026</w:t>
      </w:r>
    </w:p>
    <w:p>
      <w:r>
        <w:t>These support broad demand context only; they do not validate Anvexa’s own client count, TAM, revenue or forecasts.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