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60"/>
        <w:jc w:val="center"/>
      </w:pPr>
      <w:r>
        <w:rPr>
          <w:b/>
          <w:color w:val="0F172A"/>
          <w:sz w:val="56"/>
        </w:rPr>
        <w:t>COVID-19 GLOBAL DATA EXPLORER</w:t>
      </w:r>
    </w:p>
    <w:p>
      <w:pPr>
        <w:spacing w:after="480"/>
        <w:jc w:val="center"/>
      </w:pPr>
      <w:r>
        <w:rPr>
          <w:color w:val="475569"/>
          <w:sz w:val="26"/>
        </w:rPr>
        <w:t>DATA VISUALIZATION TECHNIQUES (LA-2) | GROUP 2 FINAL REPORT</w:t>
        <w:br/>
        <w:t>Public Health Analytical Dashboard &amp; Empirical Investigation</w:t>
      </w:r>
    </w:p>
    <w:p>
      <w:pPr>
        <w:spacing w:after="600"/>
        <w:jc w:val="center"/>
      </w:pPr>
      <w:r>
        <w:rPr>
          <w:b/>
          <w:color w:val="2563EB"/>
          <w:sz w:val="24"/>
        </w:rPr>
        <w:t>🌐 Live Interactive Dashboard:</w:t>
        <w:br/>
      </w:r>
      <w:r>
        <w:rPr>
          <w:color w:val="2563EB"/>
          <w:sz w:val="22"/>
        </w:rPr>
        <w:t>https://covid19-global-data-explorer-lqpxjhstcgzwc7gxhnshtd.streamlit.app/</w:t>
        <w:br/>
        <w:br/>
      </w:r>
      <w:r>
        <w:rPr>
          <w:color w:val="64748B"/>
          <w:sz w:val="20"/>
        </w:rPr>
        <w:t>💻 GitHub Source Code Repository: https://github.com/nishant-giri-j/covid19-global-data-explorer</w:t>
      </w:r>
    </w:p>
    <w:tbl>
      <w:tblPr>
        <w:tblW w:type="auto" w:w="0"/>
        <w:jc w:val="center"/>
        <w:tblLook w:firstColumn="1" w:firstRow="1" w:lastColumn="0" w:lastRow="0" w:noHBand="0" w:noVBand="1" w:val="04A0"/>
      </w:tblPr>
      <w:tblGrid>
        <w:gridCol w:w="3120"/>
        <w:gridCol w:w="3120"/>
        <w:gridCol w:w="3120"/>
      </w:tblGrid>
      <w:tr>
        <w:tc>
          <w:tcPr>
            <w:tcW w:type="dxa" w:w="3120"/>
            <w:shd w:fill="1E293B"/>
          </w:tcPr>
          <w:p>
            <w:r>
              <w:rPr>
                <w:b/>
                <w:color w:val="FFFFFF"/>
              </w:rPr>
              <w:t>Roll No.</w:t>
            </w:r>
          </w:p>
        </w:tc>
        <w:tc>
          <w:tcPr>
            <w:tcW w:type="dxa" w:w="3120"/>
            <w:shd w:fill="1E293B"/>
          </w:tcPr>
          <w:p>
            <w:r>
              <w:rPr>
                <w:b/>
                <w:color w:val="FFFFFF"/>
              </w:rPr>
              <w:t>Student Name</w:t>
            </w:r>
          </w:p>
        </w:tc>
        <w:tc>
          <w:tcPr>
            <w:tcW w:type="dxa" w:w="3120"/>
            <w:shd w:fill="1E293B"/>
          </w:tcPr>
          <w:p>
            <w:r>
              <w:rPr>
                <w:b/>
                <w:color w:val="FFFFFF"/>
              </w:rPr>
              <w:t>Project Role &amp; Contribution</w:t>
            </w:r>
          </w:p>
        </w:tc>
      </w:tr>
      <w:tr>
        <w:tc>
          <w:tcPr>
            <w:tcW w:type="dxa" w:w="3120"/>
            <w:shd w:fill="F8FAFC"/>
          </w:tcPr>
          <w:p>
            <w:r>
              <w:t>02</w:t>
            </w:r>
          </w:p>
        </w:tc>
        <w:tc>
          <w:tcPr>
            <w:tcW w:type="dxa" w:w="3120"/>
            <w:shd w:fill="F8FAFC"/>
          </w:tcPr>
          <w:p>
            <w:r>
              <w:t>Aashi Kohad</w:t>
            </w:r>
          </w:p>
        </w:tc>
        <w:tc>
          <w:tcPr>
            <w:tcW w:type="dxa" w:w="3120"/>
            <w:shd w:fill="F8FAFC"/>
          </w:tcPr>
          <w:p>
            <w:r>
              <w:t>Dataset Discovery &amp; Analytical Storytelling</w:t>
            </w:r>
          </w:p>
        </w:tc>
      </w:tr>
      <w:tr>
        <w:tc>
          <w:tcPr>
            <w:tcW w:type="dxa" w:w="3120"/>
            <w:shd w:fill="F8FAFC"/>
          </w:tcPr>
          <w:p>
            <w:r>
              <w:t>20</w:t>
            </w:r>
          </w:p>
        </w:tc>
        <w:tc>
          <w:tcPr>
            <w:tcW w:type="dxa" w:w="3120"/>
            <w:shd w:fill="F8FAFC"/>
          </w:tcPr>
          <w:p>
            <w:r>
              <w:t>Himanshu Yadav</w:t>
            </w:r>
          </w:p>
        </w:tc>
        <w:tc>
          <w:tcPr>
            <w:tcW w:type="dxa" w:w="3120"/>
            <w:shd w:fill="F8FAFC"/>
          </w:tcPr>
          <w:p>
            <w:r>
              <w:t>Analytical Questions &amp; Visualization Selection</w:t>
            </w:r>
          </w:p>
        </w:tc>
      </w:tr>
      <w:tr>
        <w:tc>
          <w:tcPr>
            <w:tcW w:type="dxa" w:w="3120"/>
            <w:shd w:fill="FFFFFF"/>
          </w:tcPr>
          <w:p>
            <w:r>
              <w:t>37</w:t>
            </w:r>
          </w:p>
        </w:tc>
        <w:tc>
          <w:tcPr>
            <w:tcW w:type="dxa" w:w="3120"/>
            <w:shd w:fill="FFFFFF"/>
          </w:tcPr>
          <w:p>
            <w:r>
              <w:t>Nishant Giri</w:t>
            </w:r>
          </w:p>
        </w:tc>
        <w:tc>
          <w:tcPr>
            <w:tcW w:type="dxa" w:w="3120"/>
            <w:shd w:fill="FFFFFF"/>
          </w:tcPr>
          <w:p>
            <w:r>
              <w:t>Dashboard Development &amp; Cloud Deployment</w:t>
            </w:r>
          </w:p>
        </w:tc>
      </w:tr>
      <w:tr>
        <w:tc>
          <w:tcPr>
            <w:tcW w:type="dxa" w:w="3120"/>
            <w:shd w:fill="FFFFFF"/>
          </w:tcPr>
          <w:p>
            <w:r>
              <w:t>55</w:t>
            </w:r>
          </w:p>
        </w:tc>
        <w:tc>
          <w:tcPr>
            <w:tcW w:type="dxa" w:w="3120"/>
            <w:shd w:fill="FFFFFF"/>
          </w:tcPr>
          <w:p>
            <w:r>
              <w:t>Shreyash Karemore</w:t>
            </w:r>
          </w:p>
        </w:tc>
        <w:tc>
          <w:tcPr>
            <w:tcW w:type="dxa" w:w="3120"/>
            <w:shd w:fill="FFFFFF"/>
          </w:tcPr>
          <w:p>
            <w:r>
              <w:t>Wrong Viz Challenge &amp; AI Critic Evaluation</w:t>
            </w:r>
          </w:p>
        </w:tc>
      </w:tr>
    </w:tbl>
    <w:p>
      <w:r>
        <w:br w:type="page"/>
      </w:r>
    </w:p>
    <w:p>
      <w:pPr>
        <w:pStyle w:val="Heading1"/>
        <w:spacing w:before="240"/>
      </w:pPr>
      <w:r>
        <w:t>1. Dataset Description &amp; Source References</w:t>
      </w:r>
    </w:p>
    <w:p>
      <w:r>
        <w:t>This project investigates global epidemiological, demographic, and immunization trajectories using data published by Our World in Data (OWID). The primary observations dataset spans from January 1, 2020 through August 19, 2024, at which point the OWID historical COVID tracking project stopped active updates. Therefore, this project provides a definitive historical perspective on the pandemic.</w:t>
      </w:r>
    </w:p>
    <w:p>
      <w:r>
        <w:t>• Primary Observation Data Source: https://covid.ourworldindata.org/data/owid-covid-data.csv</w:t>
        <w:br/>
        <w:t>• Official OWID GitHub Repository: https://github.com/owid/covid-19-data</w:t>
        <w:br/>
        <w:t>• Codebook &amp; Variable Dictionary: data/owid-covid-codebook.csv (67 attributes)</w:t>
        <w:br/>
        <w:t>• Bundled Standalone Observation Dataset: data/covid_data.csv (62,641 curated records spanning 36 sovereign nations across all 6 continents plus the World aggregate).</w:t>
      </w:r>
    </w:p>
    <w:p>
      <w:pPr>
        <w:pStyle w:val="Heading1"/>
      </w:pPr>
      <w:r>
        <w:t>2. Step 1 – Dataset Discovery Summary</w:t>
      </w:r>
    </w:p>
    <w:p>
      <w:r>
        <w:t>A rigorous empirical analysis of the dataset structure was conducted prior to dashboard development:</w:t>
      </w:r>
    </w:p>
    <w:p>
      <w:r>
        <w:t>• Records &amp; Attribute Dimensions: Over 300,000 global daily observations containing 67 structured attributes.</w:t>
        <w:br/>
        <w:t>• Numerical Variables: Epidemiological metrics (total_cases, new_cases, new_cases_smoothed, total_deaths, new_deaths, new_deaths_smoothed), normalized rates (total_cases_per_million, total_deaths_per_million), vaccination metrics (people_vaccinated, people_fully_vaccinated_per_hundred), and demographic variables (population, median_age, gdp_per_capita, population_density).</w:t>
        <w:br/>
        <w:t>• Categorical Variables: iso_code (3-letter alpha), continent (Africa, Asia, Europe, North America, Oceania, South America), and location (country / territory name).</w:t>
        <w:br/>
        <w:t>• Temporal Variables: date (daily calendar dates from 2020-01-01 to 2024-08-19).</w:t>
        <w:br/>
        <w:t>• Missing Values: Vaccination metrics are absent prior to December 2020 (when vaccines were first authorized). Hospitalization and ICU counts contain regional reporting gaps. Missingness is handled defensively using latest-available valid snapshots rather than synthetic imputation.</w:t>
        <w:br/>
        <w:t>• Deduplication &amp; Aggregate Partitioning: Natural composite key [location, date] is strictly deduplicated. OWID aggregate records (prefixed with OWID_, such as OWID_WRL, OWID_EUR) are segregated to avoid double-counting country totals.</w:t>
        <w:br/>
        <w:t>• Reporting Anomalies &amp; Outliers: Weekend reporting lags create artificial zero-counts followed by Monday surges. 7-day centered rolling averages are used to attenuate noise. Notable outliers include Peru's sudden mortality audit in June 2021 and Japan's low mortality despite extreme age.</w:t>
      </w:r>
    </w:p>
    <w:p>
      <w:pPr>
        <w:pStyle w:val="Heading1"/>
      </w:pPr>
      <w:r>
        <w:t>3. Step 2 &amp; 3 – Five Analytical Questions &amp; Justifications</w:t>
      </w:r>
    </w:p>
    <w:p>
      <w:r>
        <w:t>The following matrix outlines the five analytical questions formulated to interrogate the data, along with the required variables, selected chart types, and pedagogical justifications: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r>
              <w:rPr>
                <w:b/>
                <w:color w:val="FFFFFF"/>
              </w:rPr>
              <w:t>ID</w:t>
            </w:r>
          </w:p>
        </w:tc>
        <w:tc>
          <w:tcPr>
            <w:tcW w:type="dxa" w:w="1872"/>
            <w:shd w:fill="1E3A8A"/>
          </w:tcPr>
          <w:p>
            <w:r>
              <w:rPr>
                <w:b/>
                <w:color w:val="FFFFFF"/>
              </w:rPr>
              <w:t>Analytical Question</w:t>
            </w:r>
          </w:p>
        </w:tc>
        <w:tc>
          <w:tcPr>
            <w:tcW w:type="dxa" w:w="1872"/>
            <w:shd w:fill="1E3A8A"/>
          </w:tcPr>
          <w:p>
            <w:r>
              <w:rPr>
                <w:b/>
                <w:color w:val="FFFFFF"/>
              </w:rPr>
              <w:t>Variables Required</w:t>
            </w:r>
          </w:p>
        </w:tc>
        <w:tc>
          <w:tcPr>
            <w:tcW w:type="dxa" w:w="1872"/>
            <w:shd w:fill="1E3A8A"/>
          </w:tcPr>
          <w:p>
            <w:r>
              <w:rPr>
                <w:b/>
                <w:color w:val="FFFFFF"/>
              </w:rPr>
              <w:t>Proposed Visualization</w:t>
            </w:r>
          </w:p>
        </w:tc>
        <w:tc>
          <w:tcPr>
            <w:tcW w:type="dxa" w:w="1872"/>
            <w:shd w:fill="1E3A8A"/>
          </w:tcPr>
          <w:p>
            <w:r>
              <w:rPr>
                <w:b/>
                <w:color w:val="FFFFFF"/>
              </w:rPr>
              <w:t>Why Appropriate?</w:t>
            </w:r>
          </w:p>
        </w:tc>
      </w:tr>
      <w:tr>
        <w:tc>
          <w:tcPr>
            <w:tcW w:type="dxa" w:w="1872"/>
            <w:shd w:fill="FFFFFF"/>
          </w:tcPr>
          <w:p>
            <w:r>
              <w:t>Q1</w:t>
            </w:r>
          </w:p>
        </w:tc>
        <w:tc>
          <w:tcPr>
            <w:tcW w:type="dxa" w:w="1872"/>
            <w:shd w:fill="FFFFFF"/>
          </w:tcPr>
          <w:p>
            <w:r>
              <w:t>Did global cases and deaths rise and fall together, or did later waves have far more cases but proportionally fewer deaths?</w:t>
            </w:r>
          </w:p>
        </w:tc>
        <w:tc>
          <w:tcPr>
            <w:tcW w:type="dxa" w:w="1872"/>
            <w:shd w:fill="FFFFFF"/>
          </w:tcPr>
          <w:p>
            <w:r>
              <w:t>date, new_cases_smoothed, new_deaths_smoothed (World)</w:t>
            </w:r>
          </w:p>
        </w:tc>
        <w:tc>
          <w:tcPr>
            <w:tcW w:type="dxa" w:w="1872"/>
            <w:shd w:fill="FFFFFF"/>
          </w:tcPr>
          <w:p>
            <w:r>
              <w:t>Dual-Axis Line Chart</w:t>
            </w:r>
          </w:p>
        </w:tc>
        <w:tc>
          <w:tcPr>
            <w:tcW w:type="dxa" w:w="1872"/>
            <w:shd w:fill="FFFFFF"/>
          </w:tcPr>
          <w:p>
            <w:r>
              <w:t>Because daily cases (millions) and deaths (thousands) differ by three orders of magnitude, a dual y-axis prevents flattening deaths to zero and clearly highlights the dramatic decoupling during the Omicron wave.</w:t>
            </w:r>
          </w:p>
        </w:tc>
      </w:tr>
      <w:tr>
        <w:tc>
          <w:tcPr>
            <w:tcW w:type="dxa" w:w="1872"/>
            <w:shd w:fill="F8FAFC"/>
          </w:tcPr>
          <w:p>
            <w:r>
              <w:t>Q2</w:t>
            </w:r>
          </w:p>
        </w:tc>
        <w:tc>
          <w:tcPr>
            <w:tcW w:type="dxa" w:w="1872"/>
            <w:shd w:fill="F8FAFC"/>
          </w:tcPr>
          <w:p>
            <w:r>
              <w:t>Does a higher median age always mean more deaths, or do some countries break the pattern?</w:t>
            </w:r>
          </w:p>
        </w:tc>
        <w:tc>
          <w:tcPr>
            <w:tcW w:type="dxa" w:w="1872"/>
            <w:shd w:fill="F8FAFC"/>
          </w:tcPr>
          <w:p>
            <w:r>
              <w:t>median_age, total_deaths_per_million, continent, location</w:t>
            </w:r>
          </w:p>
        </w:tc>
        <w:tc>
          <w:tcPr>
            <w:tcW w:type="dxa" w:w="1872"/>
            <w:shd w:fill="F8FAFC"/>
          </w:tcPr>
          <w:p>
            <w:r>
              <w:t>Scatter Plot with Trendline (Coloured by Continent)</w:t>
            </w:r>
          </w:p>
        </w:tc>
        <w:tc>
          <w:tcPr>
            <w:tcW w:type="dxa" w:w="1872"/>
            <w:shd w:fill="F8FAFC"/>
          </w:tcPr>
          <w:p>
            <w:r>
              <w:t>Reveals overall positive correlation while immediately spotlighting prominent outliers—such as Japan (high age, low deaths) and Peru (younger population, high deaths). Tables obscure bivariate clustering.</w:t>
            </w:r>
          </w:p>
        </w:tc>
      </w:tr>
      <w:tr>
        <w:tc>
          <w:tcPr>
            <w:tcW w:type="dxa" w:w="1872"/>
            <w:shd w:fill="FFFFFF"/>
          </w:tcPr>
          <w:p>
            <w:r>
              <w:t>Q3</w:t>
            </w:r>
          </w:p>
        </w:tc>
        <w:tc>
          <w:tcPr>
            <w:tcW w:type="dxa" w:w="1872"/>
            <w:shd w:fill="FFFFFF"/>
          </w:tcPr>
          <w:p>
            <w:r>
              <w:t>Is the difference in death rates larger between continents or within a single continent?</w:t>
            </w:r>
          </w:p>
        </w:tc>
        <w:tc>
          <w:tcPr>
            <w:tcW w:type="dxa" w:w="1872"/>
            <w:shd w:fill="FFFFFF"/>
          </w:tcPr>
          <w:p>
            <w:r>
              <w:t>continent, total_deaths_per_million, location</w:t>
            </w:r>
          </w:p>
        </w:tc>
        <w:tc>
          <w:tcPr>
            <w:tcW w:type="dxa" w:w="1872"/>
            <w:shd w:fill="FFFFFF"/>
          </w:tcPr>
          <w:p>
            <w:r>
              <w:t>Box Plot by Continent with Jittered Data Points</w:t>
            </w:r>
          </w:p>
        </w:tc>
        <w:tc>
          <w:tcPr>
            <w:tcW w:type="dxa" w:w="1872"/>
            <w:shd w:fill="FFFFFF"/>
          </w:tcPr>
          <w:p>
            <w:r>
              <w:t>Box length (IQR), median line, whiskers, and outlier points reveal variance at a glance. Looking at single continent averages hides the internal spread and skewed distributions.</w:t>
            </w:r>
          </w:p>
        </w:tc>
      </w:tr>
      <w:tr>
        <w:tc>
          <w:tcPr>
            <w:tcW w:type="dxa" w:w="1872"/>
            <w:shd w:fill="F8FAFC"/>
          </w:tcPr>
          <w:p>
            <w:r>
              <w:t>Q4</w:t>
            </w:r>
          </w:p>
        </w:tc>
        <w:tc>
          <w:tcPr>
            <w:tcW w:type="dxa" w:w="1872"/>
            <w:shd w:fill="F8FAFC"/>
          </w:tcPr>
          <w:p>
            <w:r>
              <w:t>Is there a seasonal pattern, with some months repeatedly deadlier than others?</w:t>
            </w:r>
          </w:p>
        </w:tc>
        <w:tc>
          <w:tcPr>
            <w:tcW w:type="dxa" w:w="1872"/>
            <w:shd w:fill="F8FAFC"/>
          </w:tcPr>
          <w:p>
            <w:r>
              <w:t>year, month, new_deaths (World)</w:t>
            </w:r>
          </w:p>
        </w:tc>
        <w:tc>
          <w:tcPr>
            <w:tcW w:type="dxa" w:w="1872"/>
            <w:shd w:fill="F8FAFC"/>
          </w:tcPr>
          <w:p>
            <w:r>
              <w:t>Heatmap (Year × Month Matrix)</w:t>
            </w:r>
          </w:p>
        </w:tc>
        <w:tc>
          <w:tcPr>
            <w:tcW w:type="dxa" w:w="1872"/>
            <w:shd w:fill="F8FAFC"/>
          </w:tcPr>
          <w:p>
            <w:r>
              <w:t>A repeating dark band during December, January, and February immediately reveals recurring winter surge cycles that chronological tables conceal.</w:t>
            </w:r>
          </w:p>
        </w:tc>
      </w:tr>
      <w:tr>
        <w:tc>
          <w:tcPr>
            <w:tcW w:type="dxa" w:w="1872"/>
            <w:shd w:fill="FFFFFF"/>
          </w:tcPr>
          <w:p>
            <w:r>
              <w:t>Q5</w:t>
            </w:r>
          </w:p>
        </w:tc>
        <w:tc>
          <w:tcPr>
            <w:tcW w:type="dxa" w:w="1872"/>
            <w:shd w:fill="FFFFFF"/>
          </w:tcPr>
          <w:p>
            <w:r>
              <w:t>Are countries clustered around one level of vaccination coverage, or split into two separate groups (high and low)?</w:t>
            </w:r>
          </w:p>
        </w:tc>
        <w:tc>
          <w:tcPr>
            <w:tcW w:type="dxa" w:w="1872"/>
            <w:shd w:fill="FFFFFF"/>
          </w:tcPr>
          <w:p>
            <w:r>
              <w:t>people_fully_vaccinated_per_hundred (latest per country)</w:t>
            </w:r>
          </w:p>
        </w:tc>
        <w:tc>
          <w:tcPr>
            <w:tcW w:type="dxa" w:w="1872"/>
            <w:shd w:fill="FFFFFF"/>
          </w:tcPr>
          <w:p>
            <w:r>
              <w:t>Frequency Histogram</w:t>
            </w:r>
          </w:p>
        </w:tc>
        <w:tc>
          <w:tcPr>
            <w:tcW w:type="dxa" w:w="1872"/>
            <w:shd w:fill="FFFFFF"/>
          </w:tcPr>
          <w:p>
            <w:r>
              <w:t>The shape of the distribution (bimodal vs. unimodal) is exclusively visible in a histogram. A global average gives one misleading number and conceals the two-group divide (&lt;30% vs. &gt;75%).</w:t>
            </w:r>
          </w:p>
        </w:tc>
      </w:tr>
    </w:tbl>
    <w:p>
      <w:r>
        <w:br w:type="page"/>
      </w:r>
    </w:p>
    <w:p>
      <w:pPr>
        <w:pStyle w:val="Heading1"/>
      </w:pPr>
      <w:r>
        <w:t>4. Interactive Dashboard &amp; Live Demonstration Showcase</w:t>
      </w:r>
    </w:p>
    <w:p>
      <w:r>
        <w:t>The web-based interactive dashboard was developed using Streamlit and Plotly Express and deployed live on Streamlit Community Cloud at:</w:t>
        <w:br/>
        <w:t>https://covid19-global-data-explorer-lqpxjhstcgzwc7gxhnshtd.streamlit.app/</w:t>
        <w:br/>
        <w:t>It features live country filtering, date sliders, real-time KPI computation, and interactive chart navigation. Below are screenshots captured directly from the live deployed application:</w:t>
      </w:r>
    </w:p>
    <w:p>
      <w:pPr>
        <w:pStyle w:val="Caption"/>
      </w:pPr>
      <w:r>
        <w:t>Figure 1: Executive Health Indicators KPI Strip &amp; Live Data Feeds</w:t>
      </w:r>
    </w:p>
    <w:p>
      <w:r>
        <w:drawing>
          <wp:inline xmlns:a="http://schemas.openxmlformats.org/drawingml/2006/main" xmlns:pic="http://schemas.openxmlformats.org/drawingml/2006/picture">
            <wp:extent cx="5669280" cy="3222188"/>
            <wp:docPr id="1" name="Picture 1"/>
            <wp:cNvGraphicFramePr>
              <a:graphicFrameLocks noChangeAspect="1"/>
            </wp:cNvGraphicFramePr>
            <a:graphic>
              <a:graphicData uri="http://schemas.openxmlformats.org/drawingml/2006/picture">
                <pic:pic>
                  <pic:nvPicPr>
                    <pic:cNvPr id="0" name="screenshot_1_overview_kpis.png"/>
                    <pic:cNvPicPr/>
                  </pic:nvPicPr>
                  <pic:blipFill>
                    <a:blip r:embed="rId9"/>
                    <a:stretch>
                      <a:fillRect/>
                    </a:stretch>
                  </pic:blipFill>
                  <pic:spPr>
                    <a:xfrm>
                      <a:off x="0" y="0"/>
                      <a:ext cx="5669280" cy="3222188"/>
                    </a:xfrm>
                    <a:prstGeom prst="rect"/>
                  </pic:spPr>
                </pic:pic>
              </a:graphicData>
            </a:graphic>
          </wp:inline>
        </w:drawing>
      </w:r>
    </w:p>
    <w:p>
      <w:pPr>
        <w:spacing w:after="320"/>
      </w:pPr>
      <w:r>
        <w:t>Shows total confirmed cases, deaths, CFR (2.03%), fully vaccinated individuals (1.6B), and continent breakdown.</w:t>
      </w:r>
    </w:p>
    <w:p>
      <w:pPr>
        <w:pStyle w:val="Caption"/>
      </w:pPr>
      <w:r>
        <w:t>Figure 2: Longitudinal Time-Series Trends (Decoupling Dynamics &amp; Omicron Peak)</w:t>
      </w:r>
    </w:p>
    <w:p>
      <w:r>
        <w:drawing>
          <wp:inline xmlns:a="http://schemas.openxmlformats.org/drawingml/2006/main" xmlns:pic="http://schemas.openxmlformats.org/drawingml/2006/picture">
            <wp:extent cx="5669280" cy="3266480"/>
            <wp:docPr id="2" name="Picture 2"/>
            <wp:cNvGraphicFramePr>
              <a:graphicFrameLocks noChangeAspect="1"/>
            </wp:cNvGraphicFramePr>
            <a:graphic>
              <a:graphicData uri="http://schemas.openxmlformats.org/drawingml/2006/picture">
                <pic:pic>
                  <pic:nvPicPr>
                    <pic:cNvPr id="0" name="screenshot_2_time_series_trends.png"/>
                    <pic:cNvPicPr/>
                  </pic:nvPicPr>
                  <pic:blipFill>
                    <a:blip r:embed="rId10"/>
                    <a:stretch>
                      <a:fillRect/>
                    </a:stretch>
                  </pic:blipFill>
                  <pic:spPr>
                    <a:xfrm>
                      <a:off x="0" y="0"/>
                      <a:ext cx="5669280" cy="3266480"/>
                    </a:xfrm>
                    <a:prstGeom prst="rect"/>
                  </pic:spPr>
                </pic:pic>
              </a:graphicData>
            </a:graphic>
          </wp:inline>
        </w:drawing>
      </w:r>
    </w:p>
    <w:p>
      <w:pPr>
        <w:spacing w:after="320"/>
      </w:pPr>
      <w:r>
        <w:t>Interactive multiline Plotly visualization showing 7-day smoothed cases across selected countries with the Omicron wave surge in early 2022.</w:t>
      </w:r>
    </w:p>
    <w:p>
      <w:r>
        <w:br w:type="page"/>
      </w:r>
    </w:p>
    <w:p>
      <w:pPr>
        <w:pStyle w:val="Caption"/>
      </w:pPr>
      <w:r>
        <w:t>Figure 3: Country Ranking Bar Chart &amp; Global Geographic Choropleth Map</w:t>
      </w:r>
    </w:p>
    <w:p>
      <w:r>
        <w:drawing>
          <wp:inline xmlns:a="http://schemas.openxmlformats.org/drawingml/2006/main" xmlns:pic="http://schemas.openxmlformats.org/drawingml/2006/picture">
            <wp:extent cx="5669280" cy="3244334"/>
            <wp:docPr id="3" name="Picture 3"/>
            <wp:cNvGraphicFramePr>
              <a:graphicFrameLocks noChangeAspect="1"/>
            </wp:cNvGraphicFramePr>
            <a:graphic>
              <a:graphicData uri="http://schemas.openxmlformats.org/drawingml/2006/picture">
                <pic:pic>
                  <pic:nvPicPr>
                    <pic:cNvPr id="0" name="screenshot_3_rankings_and_map.png"/>
                    <pic:cNvPicPr/>
                  </pic:nvPicPr>
                  <pic:blipFill>
                    <a:blip r:embed="rId11"/>
                    <a:stretch>
                      <a:fillRect/>
                    </a:stretch>
                  </pic:blipFill>
                  <pic:spPr>
                    <a:xfrm>
                      <a:off x="0" y="0"/>
                      <a:ext cx="5669280" cy="3244334"/>
                    </a:xfrm>
                    <a:prstGeom prst="rect"/>
                  </pic:spPr>
                </pic:pic>
              </a:graphicData>
            </a:graphic>
          </wp:inline>
        </w:drawing>
      </w:r>
    </w:p>
    <w:p>
      <w:pPr>
        <w:spacing w:after="320"/>
      </w:pPr>
      <w:r>
        <w:t>Comparative horizontal ranking of cumulative mortality rates alongside a zoomable global choropleth map.</w:t>
      </w:r>
    </w:p>
    <w:p>
      <w:pPr>
        <w:pStyle w:val="Caption"/>
      </w:pPr>
      <w:r>
        <w:t>Figure 4: Five Major Findings &amp; Three Actionable Recommendations (Theme-Adaptive Cards)</w:t>
      </w:r>
    </w:p>
    <w:p>
      <w:r>
        <w:drawing>
          <wp:inline xmlns:a="http://schemas.openxmlformats.org/drawingml/2006/main" xmlns:pic="http://schemas.openxmlformats.org/drawingml/2006/picture">
            <wp:extent cx="5669280" cy="3244334"/>
            <wp:docPr id="4" name="Picture 4"/>
            <wp:cNvGraphicFramePr>
              <a:graphicFrameLocks noChangeAspect="1"/>
            </wp:cNvGraphicFramePr>
            <a:graphic>
              <a:graphicData uri="http://schemas.openxmlformats.org/drawingml/2006/picture">
                <pic:pic>
                  <pic:nvPicPr>
                    <pic:cNvPr id="0" name="screenshot_4_findings_and_recommendations.png"/>
                    <pic:cNvPicPr/>
                  </pic:nvPicPr>
                  <pic:blipFill>
                    <a:blip r:embed="rId12"/>
                    <a:stretch>
                      <a:fillRect/>
                    </a:stretch>
                  </pic:blipFill>
                  <pic:spPr>
                    <a:xfrm>
                      <a:off x="0" y="0"/>
                      <a:ext cx="5669280" cy="3244334"/>
                    </a:xfrm>
                    <a:prstGeom prst="rect"/>
                  </pic:spPr>
                </pic:pic>
              </a:graphicData>
            </a:graphic>
          </wp:inline>
        </w:drawing>
      </w:r>
    </w:p>
    <w:p>
      <w:pPr>
        <w:spacing w:after="320"/>
      </w:pPr>
      <w:r>
        <w:t>High-contrast executive summaries with crisp typography formatted for dark and light theme legibility.</w:t>
      </w:r>
    </w:p>
    <w:p>
      <w:pPr>
        <w:pStyle w:val="Heading1"/>
      </w:pPr>
      <w:r>
        <w:t>5. Five Major Analytical Findings</w:t>
      </w:r>
    </w:p>
    <w:p>
      <w:r>
        <w:rPr>
          <w:b/>
        </w:rPr>
        <w:t xml:space="preserve">• Finding 1: Decoupling of Cases and Deaths in Later Waves: </w:t>
      </w:r>
      <w:r>
        <w:t>During early pandemic phases (2020 through mid-2021), case waves and death waves grew synchronously. When cases doubled, fatalities followed proportionally. However, the emergence of the Omicron variant in early 2022 generated unprecedented global case totals (over 4x higher than any previous peak), yet cumulative fatalities remained comparatively subdued. Widespread vaccine uptake blunted mortality severity.</w:t>
      </w:r>
    </w:p>
    <w:p>
      <w:r>
        <w:rPr>
          <w:b/>
        </w:rPr>
        <w:t xml:space="preserve">• Finding 2: Age Vulnerability with Strong Behavioral Outliers: </w:t>
      </w:r>
      <w:r>
        <w:t>Median age strongly correlates with cumulative deaths per million across countries. Older populations in Europe suffered high initial mortality. However, notable outliers demonstrate that demographics do not determine destiny: Japan, despite having one of the world's highest median ages (48.2 years), maintained low mortality rates due to rapid public masking compliance and early contact tracing.</w:t>
      </w:r>
    </w:p>
    <w:p>
      <w:r>
        <w:rPr>
          <w:b/>
        </w:rPr>
        <w:t xml:space="preserve">• Finding 3: Continental Disparities Exceed Intra-Continental Variation: </w:t>
      </w:r>
      <w:r>
        <w:t>The variance in mortality between continents significantly exceeded the internal variance within continents. Europe and South America experienced median mortality rates exceeding 2,000 deaths per million, whereas reported rates in Africa and Oceania remained below 500 deaths per million.</w:t>
      </w:r>
    </w:p>
    <w:p>
      <w:r>
        <w:rPr>
          <w:b/>
        </w:rPr>
        <w:t xml:space="preserve">• Finding 4: Repeating Winter Seasonal Mortality Cycles: </w:t>
      </w:r>
      <w:r>
        <w:t>Heatmap analysis reveals a persistent, recurring concentration of global fatalities during the Northern Hemisphere winter months (December, January, and February) across 2020, 2021, and 2022, consistent with indoor transmission dynamics of respiratory viruses.</w:t>
      </w:r>
    </w:p>
    <w:p>
      <w:r>
        <w:rPr>
          <w:b/>
        </w:rPr>
        <w:t xml:space="preserve">• Finding 5: Bimodal Divide in Global Vaccination Equity: </w:t>
      </w:r>
      <w:r>
        <w:t>Global vaccination coverage does not follow a normal bell curve. Instead, it exhibits a stark bimodal distribution with one distinct peak below 30% (predominantly developing and African nations) and a second peak above 75% (high-income OECD nations), confirming a profound global vaccine access divide.</w:t>
      </w:r>
    </w:p>
    <w:p>
      <w:pPr>
        <w:pStyle w:val="Heading1"/>
      </w:pPr>
      <w:r>
        <w:t>6. Three Actionable Recommendations</w:t>
      </w:r>
    </w:p>
    <w:p>
      <w:r>
        <w:rPr>
          <w:b/>
        </w:rPr>
        <w:t xml:space="preserve">• Recommendation 1: Close the Vaccine Divide via Regional Manufacturing Hubs: </w:t>
      </w:r>
      <w:r>
        <w:t>The bimodal histogram proves that bilateral vaccine donations failed to achieve equitable coverage. Public health institutions must fund and establish localized mRNA manufacturing facilities in Africa and Latin America, paired with intellectual property waivers.</w:t>
      </w:r>
    </w:p>
    <w:p>
      <w:r>
        <w:rPr>
          <w:b/>
        </w:rPr>
        <w:t xml:space="preserve">• Recommendation 2: Calendar-Aligned Seasonal Surge Preparedness: </w:t>
      </w:r>
      <w:r>
        <w:t>Given the demonstrated winter mortality peaks in December–February, health ministries in temperate climates should schedule booster vaccination campaigns in September–October and preposition hospital ICU staffing ahead of November.</w:t>
      </w:r>
    </w:p>
    <w:p>
      <w:r>
        <w:rPr>
          <w:b/>
        </w:rPr>
        <w:t xml:space="preserve">• Recommendation 3: Mandate Standardized Real-Time Surveillance Metrics: </w:t>
      </w:r>
      <w:r>
        <w:t>Cross-country analyses were hindered by divergent definitions of COVID-attributed mortality, testing bottlenecks, and excess death discrepancies. The WHO should establish a standardized minimum reporting dataset.</w:t>
      </w:r>
    </w:p>
    <w:p>
      <w:pPr>
        <w:pStyle w:val="Heading1"/>
      </w:pPr>
      <w:r>
        <w:t>7. Part 4 – Wrong Visualization Challenge</w:t>
      </w:r>
    </w:p>
    <w:p>
      <w:r>
        <w:t>Target Analytical Question: Q5 — Are countries clustered around one level of vaccination coverage, or split into two separate groups (high and low)?</w:t>
        <w:br/>
        <w:br/>
        <w:t>• Correct Visualization: Frequency Histogram</w:t>
        <w:br/>
        <w:t>Why Appropriate: Histograms preserve continuous distribution shape, dividing full vaccination percentage into uniform bins. Viewers immediately detect the twin humps (bimodality: &lt;30% and &gt;75%), directly answering the question.</w:t>
        <w:br/>
        <w:br/>
        <w:t>• Deliberately Inappropriate / Misleading Visualization: Discretized Quartile Pie Chart</w:t>
        <w:br/>
        <w:t>Why Inappropriate: A pie chart forces continuous percentages into arbitrary subjective buckets (0-25%, 25-50%, etc.). The slices appear as regular wedges, completely masking the density distribution and hiding where countries are concentrated.</w:t>
        <w:br/>
        <w:br/>
        <w:t>• Impact on Interpretation &amp; Policy: A policymaker viewing the pie chart would falsely conclude that vaccination rollout is progressing evenly across four quadrants. In reality, the histogram shows developing nations are trapped in a low-coverage valley (&lt;30%). The misleading chart fosters policy complacency.</w:t>
      </w:r>
    </w:p>
    <w:p>
      <w:pPr>
        <w:pStyle w:val="Heading1"/>
      </w:pPr>
      <w:r>
        <w:t>8. Part 5 – AI as a Critic &amp; Team Evaluation</w:t>
      </w:r>
    </w:p>
    <w:p>
      <w:r>
        <w:t>We engaged Generative AI (Google Gemini / Claude) to critique our primary visualization for Q1 (Decoupling of Cases and Deaths over Time). Below is our evaluation matrix:</w:t>
      </w:r>
    </w:p>
    <w:p>
      <w:r>
        <w:t>• AI Recommendation: 1. Dual Y-Axis instead of stacked lines</w:t>
        <w:br/>
        <w:t xml:space="preserve">  Verdict: </w:t>
      </w:r>
      <w:r>
        <w:rPr>
          <w:b/>
          <w:color w:val="16A34A"/>
        </w:rPr>
        <w:t>[ACCEPTED]</w:t>
      </w:r>
      <w:r>
        <w:br/>
        <w:t xml:space="preserve">  Team Justification: Cases (millions) and deaths (thousands) differ by 1,000x. On a single axis, deaths flatten to zero. A secondary axis preserves individual morphologies and highlights decoupling.</w:t>
      </w:r>
    </w:p>
    <w:p>
      <w:r>
        <w:t>• AI Recommendation: 2. Milestone Event Annotations</w:t>
        <w:br/>
        <w:t xml:space="preserve">  Verdict: </w:t>
      </w:r>
      <w:r>
        <w:rPr>
          <w:b/>
          <w:color w:val="16A34A"/>
        </w:rPr>
        <w:t>[ACCEPTED]</w:t>
      </w:r>
      <w:r>
        <w:br/>
        <w:t xml:space="preserve">  Team Justification: Adding vertical markers for vaccine rollouts and the Omicron emergence contextualizes the epidemiological inflection points.</w:t>
      </w:r>
    </w:p>
    <w:p>
      <w:r>
        <w:t>• AI Recommendation: 3. Switch to Logarithmic Y-Axis</w:t>
        <w:br/>
        <w:t xml:space="preserve">  Verdict: </w:t>
      </w:r>
      <w:r>
        <w:rPr>
          <w:b/>
          <w:color w:val="DC2626"/>
        </w:rPr>
        <w:t>[REJECTED]</w:t>
      </w:r>
      <w:r>
        <w:br/>
        <w:t xml:space="preserve">  Team Justification: Log scales compress visual extremes and mislead non-technical viewers regarding absolute human loss. Dual linear axes preserve proportional magnitude without mathematical distortion.</w:t>
      </w:r>
    </w:p>
    <w:p>
      <w:r>
        <w:t>• AI Recommendation: 4. Explicit '(7-Day Smoothed)' Legend Label</w:t>
        <w:br/>
        <w:t xml:space="preserve">  Verdict: </w:t>
      </w:r>
      <w:r>
        <w:rPr>
          <w:b/>
          <w:color w:val="16A34A"/>
        </w:rPr>
        <w:t>[ACCEPTED]</w:t>
      </w:r>
      <w:r>
        <w:br/>
        <w:t xml:space="preserve">  Team Justification: Prevents confusing data smoothing with biological fluctuations caused by weekend reporting lags.</w:t>
      </w:r>
    </w:p>
    <w:p>
      <w:pPr>
        <w:pStyle w:val="Heading1"/>
      </w:pPr>
      <w:r>
        <w:t>9. Part 6 – 2-Minutes Data Story Presentation Script</w:t>
      </w:r>
    </w:p>
    <w:p>
      <w:r>
        <w:t>Spoken presentation script for the LA-2 Gallery Walk (Strictly 2 Minutes Speaking Time):</w:t>
        <w:br/>
        <w:br/>
        <w:t>"Good morning respected evaluators and peers. We are Group 2: Aashi Kohad, Himanshu Yadav, Nishant Giri, and Shreyash Karemore. Today we present our COVID-19 Global Data Explorer.</w:t>
        <w:br/>
        <w:br/>
        <w:t>1. What did we discover?</w:t>
        <w:br/>
        <w:t>Across 300,000 observations, we discovered that late-stage pandemic waves fundamentally decoupled: early waves were deadly across all infections, but the 2022 Omicron wave generated 4x more cases with proportionally far fewer deaths. Furthermore, demographic age alone did not dictate death rates—public health behavior in Japan saved thousands. Lastly, global vaccine coverage split into a stark bimodal distribution.</w:t>
        <w:br/>
        <w:br/>
        <w:t>2. Why does it matter?</w:t>
        <w:br/>
        <w:t>Tabular spreadsheets hide these insights. Without dual-axis charts, the lifesaving impact of vaccines is invisible. Without histograms, global vaccine inequality is obscured by misleading global averages. Visualizing these dynamics proves that interventions work, but reveals that global access remains deeply fractured along economic boundaries.</w:t>
        <w:br/>
        <w:br/>
        <w:t>3. What action should be taken?</w:t>
        <w:br/>
        <w:t>We propose three evidence-based actions: First, shift from vaccine donation pledges to funding local regional mRNA manufacturing in underserved nations. Second, pre-schedule hospital staffing and booster campaigns aligned to the November–January winter mortality surge. Third, establish mandatory WHO standardized reporting standards for real-time surveillance. Thank you."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