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05D1" w14:textId="77777777" w:rsidR="006E78CD" w:rsidRDefault="006E78CD"/>
    <w:p w14:paraId="1AD4DC19" w14:textId="77777777" w:rsidR="006E78CD" w:rsidRDefault="006E78CD"/>
    <w:p w14:paraId="730C7542" w14:textId="77777777" w:rsidR="006E78CD" w:rsidRDefault="006E78CD"/>
    <w:p w14:paraId="3FFB5E70" w14:textId="77777777" w:rsidR="006E78CD" w:rsidRDefault="006E78CD"/>
    <w:p w14:paraId="2962B319" w14:textId="77777777" w:rsidR="006E78CD" w:rsidRDefault="006E78CD"/>
    <w:p w14:paraId="4A7D99B4" w14:textId="77777777" w:rsidR="006E78CD" w:rsidRDefault="00000000">
      <w:pPr>
        <w:jc w:val="center"/>
      </w:pPr>
      <w:r>
        <w:rPr>
          <w:b/>
          <w:color w:val="1B3A5C"/>
          <w:sz w:val="52"/>
        </w:rPr>
        <w:t>COVID-19 GLOBAL DATA EXPLORER</w:t>
      </w:r>
    </w:p>
    <w:p w14:paraId="4F7E5D24" w14:textId="77777777" w:rsidR="006E78CD" w:rsidRDefault="00000000">
      <w:pPr>
        <w:spacing w:after="400"/>
        <w:jc w:val="center"/>
      </w:pPr>
      <w:r>
        <w:rPr>
          <w:b/>
          <w:color w:val="4472C4"/>
          <w:sz w:val="32"/>
        </w:rPr>
        <w:t>Data Visualization Techniques | Group 2</w:t>
      </w:r>
    </w:p>
    <w:p w14:paraId="3DC8043F" w14:textId="77777777" w:rsidR="006E78CD" w:rsidRDefault="00000000">
      <w:pPr>
        <w:spacing w:after="600"/>
        <w:jc w:val="center"/>
      </w:pPr>
      <w:r>
        <w:rPr>
          <w:sz w:val="26"/>
        </w:rPr>
        <w:t>Public Health Data Visualization Project</w:t>
      </w:r>
    </w:p>
    <w:tbl>
      <w:tblPr>
        <w:tblW w:w="0" w:type="auto"/>
        <w:jc w:val="center"/>
        <w:tblLook w:val="04A0" w:firstRow="1" w:lastRow="0" w:firstColumn="1" w:lastColumn="0" w:noHBand="0" w:noVBand="1"/>
      </w:tblPr>
      <w:tblGrid>
        <w:gridCol w:w="4320"/>
        <w:gridCol w:w="4320"/>
      </w:tblGrid>
      <w:tr w:rsidR="006E78CD" w14:paraId="3A5AA141" w14:textId="77777777">
        <w:trPr>
          <w:jc w:val="center"/>
        </w:trPr>
        <w:tc>
          <w:tcPr>
            <w:tcW w:w="4320" w:type="dxa"/>
            <w:shd w:val="clear" w:color="auto" w:fill="1B3A5C"/>
          </w:tcPr>
          <w:p w14:paraId="3D57BA61" w14:textId="77777777" w:rsidR="006E78CD" w:rsidRDefault="00000000">
            <w:pPr>
              <w:spacing w:before="40" w:after="40"/>
            </w:pPr>
            <w:r>
              <w:rPr>
                <w:b/>
                <w:color w:val="FFFFFF"/>
                <w:sz w:val="20"/>
              </w:rPr>
              <w:t>Roll No.</w:t>
            </w:r>
          </w:p>
        </w:tc>
        <w:tc>
          <w:tcPr>
            <w:tcW w:w="4320" w:type="dxa"/>
            <w:shd w:val="clear" w:color="auto" w:fill="1B3A5C"/>
          </w:tcPr>
          <w:p w14:paraId="6995FEBE" w14:textId="77777777" w:rsidR="006E78CD" w:rsidRDefault="00000000">
            <w:pPr>
              <w:spacing w:before="40" w:after="40"/>
            </w:pPr>
            <w:r>
              <w:rPr>
                <w:b/>
                <w:color w:val="FFFFFF"/>
                <w:sz w:val="20"/>
              </w:rPr>
              <w:t>Student Name</w:t>
            </w:r>
          </w:p>
        </w:tc>
      </w:tr>
      <w:tr w:rsidR="006E78CD" w14:paraId="0CE8F6A1" w14:textId="77777777">
        <w:trPr>
          <w:jc w:val="center"/>
        </w:trPr>
        <w:tc>
          <w:tcPr>
            <w:tcW w:w="4320" w:type="dxa"/>
          </w:tcPr>
          <w:p w14:paraId="41E91979" w14:textId="77777777" w:rsidR="006E78CD" w:rsidRDefault="00000000">
            <w:pPr>
              <w:spacing w:before="40" w:after="40"/>
            </w:pPr>
            <w:r>
              <w:rPr>
                <w:sz w:val="20"/>
              </w:rPr>
              <w:t>02</w:t>
            </w:r>
          </w:p>
        </w:tc>
        <w:tc>
          <w:tcPr>
            <w:tcW w:w="4320" w:type="dxa"/>
          </w:tcPr>
          <w:p w14:paraId="26830F26" w14:textId="77777777" w:rsidR="006E78CD" w:rsidRDefault="00000000">
            <w:pPr>
              <w:spacing w:before="40" w:after="40"/>
            </w:pPr>
            <w:r>
              <w:rPr>
                <w:sz w:val="20"/>
              </w:rPr>
              <w:t>Aashi Kohad</w:t>
            </w:r>
          </w:p>
        </w:tc>
      </w:tr>
      <w:tr w:rsidR="006E78CD" w14:paraId="5AC49720" w14:textId="77777777">
        <w:trPr>
          <w:jc w:val="center"/>
        </w:trPr>
        <w:tc>
          <w:tcPr>
            <w:tcW w:w="4320" w:type="dxa"/>
          </w:tcPr>
          <w:p w14:paraId="604A3F73" w14:textId="77777777" w:rsidR="006E78CD" w:rsidRDefault="00000000">
            <w:pPr>
              <w:spacing w:before="40" w:after="40"/>
            </w:pPr>
            <w:r>
              <w:rPr>
                <w:sz w:val="20"/>
              </w:rPr>
              <w:t>20</w:t>
            </w:r>
          </w:p>
        </w:tc>
        <w:tc>
          <w:tcPr>
            <w:tcW w:w="4320" w:type="dxa"/>
          </w:tcPr>
          <w:p w14:paraId="1B710B20" w14:textId="77777777" w:rsidR="006E78CD" w:rsidRDefault="00000000">
            <w:pPr>
              <w:spacing w:before="40" w:after="40"/>
            </w:pPr>
            <w:r>
              <w:rPr>
                <w:sz w:val="20"/>
              </w:rPr>
              <w:t>Himanshu Yadav</w:t>
            </w:r>
          </w:p>
        </w:tc>
      </w:tr>
      <w:tr w:rsidR="006E78CD" w14:paraId="1386A5D6" w14:textId="77777777">
        <w:trPr>
          <w:jc w:val="center"/>
        </w:trPr>
        <w:tc>
          <w:tcPr>
            <w:tcW w:w="4320" w:type="dxa"/>
          </w:tcPr>
          <w:p w14:paraId="42E691EC" w14:textId="77777777" w:rsidR="006E78CD" w:rsidRDefault="00000000">
            <w:pPr>
              <w:spacing w:before="40" w:after="40"/>
            </w:pPr>
            <w:r>
              <w:rPr>
                <w:sz w:val="20"/>
              </w:rPr>
              <w:t>37</w:t>
            </w:r>
          </w:p>
        </w:tc>
        <w:tc>
          <w:tcPr>
            <w:tcW w:w="4320" w:type="dxa"/>
          </w:tcPr>
          <w:p w14:paraId="2278E8C6" w14:textId="77777777" w:rsidR="006E78CD" w:rsidRDefault="00000000">
            <w:pPr>
              <w:spacing w:before="40" w:after="40"/>
            </w:pPr>
            <w:r>
              <w:rPr>
                <w:sz w:val="20"/>
              </w:rPr>
              <w:t>Nishant Giri</w:t>
            </w:r>
          </w:p>
        </w:tc>
      </w:tr>
      <w:tr w:rsidR="006E78CD" w14:paraId="000D2C61" w14:textId="77777777">
        <w:trPr>
          <w:jc w:val="center"/>
        </w:trPr>
        <w:tc>
          <w:tcPr>
            <w:tcW w:w="4320" w:type="dxa"/>
          </w:tcPr>
          <w:p w14:paraId="2F94B52C" w14:textId="77777777" w:rsidR="006E78CD" w:rsidRDefault="00000000">
            <w:pPr>
              <w:spacing w:before="40" w:after="40"/>
            </w:pPr>
            <w:r>
              <w:rPr>
                <w:sz w:val="20"/>
              </w:rPr>
              <w:t>55</w:t>
            </w:r>
          </w:p>
        </w:tc>
        <w:tc>
          <w:tcPr>
            <w:tcW w:w="4320" w:type="dxa"/>
          </w:tcPr>
          <w:p w14:paraId="76F715D3" w14:textId="77777777" w:rsidR="006E78CD" w:rsidRDefault="00000000">
            <w:pPr>
              <w:spacing w:before="40" w:after="40"/>
            </w:pPr>
            <w:r>
              <w:rPr>
                <w:sz w:val="20"/>
              </w:rPr>
              <w:t>Shreyash Karemore</w:t>
            </w:r>
          </w:p>
        </w:tc>
      </w:tr>
    </w:tbl>
    <w:p w14:paraId="146C27EF" w14:textId="77777777" w:rsidR="006E78CD" w:rsidRDefault="006E78CD">
      <w:pPr>
        <w:spacing w:after="400"/>
      </w:pPr>
    </w:p>
    <w:p w14:paraId="1444B320" w14:textId="77777777" w:rsidR="006E78CD" w:rsidRDefault="00000000">
      <w:pPr>
        <w:jc w:val="center"/>
      </w:pPr>
      <w:r>
        <w:t>Submission: Wednesday, 14 October 2026</w:t>
      </w:r>
    </w:p>
    <w:p w14:paraId="2A9895B5" w14:textId="77777777" w:rsidR="006E78CD" w:rsidRDefault="00000000">
      <w:pPr>
        <w:jc w:val="center"/>
      </w:pPr>
      <w:r>
        <w:t>LA-2 Presentation: Thursday, 15 October 2026</w:t>
      </w:r>
    </w:p>
    <w:p w14:paraId="3AB40230" w14:textId="77777777" w:rsidR="006E78CD" w:rsidRDefault="00000000">
      <w:pPr>
        <w:jc w:val="center"/>
      </w:pPr>
      <w:r>
        <w:t>Speaking Time: 2 Minutes</w:t>
      </w:r>
    </w:p>
    <w:p w14:paraId="26C4AD00" w14:textId="77777777" w:rsidR="006E78CD" w:rsidRDefault="00000000">
      <w:r>
        <w:br w:type="page"/>
      </w:r>
    </w:p>
    <w:p w14:paraId="622DB05D" w14:textId="77777777" w:rsidR="006E78CD" w:rsidRDefault="00000000">
      <w:pPr>
        <w:pStyle w:val="Heading1"/>
      </w:pPr>
      <w:r>
        <w:lastRenderedPageBreak/>
        <w:t>Table of Contents</w:t>
      </w:r>
    </w:p>
    <w:p w14:paraId="0DD3D80C" w14:textId="77777777" w:rsidR="006E78CD" w:rsidRDefault="00000000">
      <w:pPr>
        <w:spacing w:after="80"/>
      </w:pPr>
      <w:r>
        <w:t>1. Project Overview</w:t>
      </w:r>
    </w:p>
    <w:p w14:paraId="13140C4B" w14:textId="77777777" w:rsidR="006E78CD" w:rsidRDefault="00000000">
      <w:pPr>
        <w:spacing w:after="80"/>
      </w:pPr>
      <w:r>
        <w:t>2. Dataset Discovery Summary</w:t>
      </w:r>
    </w:p>
    <w:p w14:paraId="03285B1D" w14:textId="77777777" w:rsidR="006E78CD" w:rsidRDefault="00000000">
      <w:pPr>
        <w:spacing w:after="80"/>
      </w:pPr>
      <w:r>
        <w:t>3. Five Analytical Questions &amp; Visualization Justification</w:t>
      </w:r>
    </w:p>
    <w:p w14:paraId="3E3C0E0C" w14:textId="77777777" w:rsidR="006E78CD" w:rsidRDefault="00000000">
      <w:pPr>
        <w:spacing w:after="80"/>
      </w:pPr>
      <w:r>
        <w:t>4. Interactive Dashboard Description</w:t>
      </w:r>
    </w:p>
    <w:p w14:paraId="20F3CA24" w14:textId="77777777" w:rsidR="006E78CD" w:rsidRDefault="00000000">
      <w:pPr>
        <w:spacing w:after="80"/>
      </w:pPr>
      <w:r>
        <w:t>5. Five Major Findings</w:t>
      </w:r>
    </w:p>
    <w:p w14:paraId="439E8126" w14:textId="77777777" w:rsidR="006E78CD" w:rsidRDefault="00000000">
      <w:pPr>
        <w:spacing w:after="80"/>
      </w:pPr>
      <w:r>
        <w:t>6. Three Actionable Recommendations</w:t>
      </w:r>
    </w:p>
    <w:p w14:paraId="32CD5FE1" w14:textId="77777777" w:rsidR="006E78CD" w:rsidRDefault="00000000">
      <w:pPr>
        <w:spacing w:after="80"/>
      </w:pPr>
      <w:r>
        <w:t>7. Wrong Visualization Challenge</w:t>
      </w:r>
    </w:p>
    <w:p w14:paraId="0BE402BF" w14:textId="77777777" w:rsidR="006E78CD" w:rsidRDefault="00000000">
      <w:pPr>
        <w:spacing w:after="80"/>
      </w:pPr>
      <w:r>
        <w:t>8. AI Critique &amp; Team Justification</w:t>
      </w:r>
    </w:p>
    <w:p w14:paraId="454A2238" w14:textId="77777777" w:rsidR="006E78CD" w:rsidRDefault="00000000">
      <w:pPr>
        <w:spacing w:after="80"/>
      </w:pPr>
      <w:r>
        <w:t>9. Two-Minute Data Story</w:t>
      </w:r>
    </w:p>
    <w:p w14:paraId="480F8719" w14:textId="77777777" w:rsidR="006E78CD" w:rsidRDefault="00000000">
      <w:pPr>
        <w:spacing w:after="80"/>
      </w:pPr>
      <w:r>
        <w:t>10. Technical Implementation &amp; Deployment</w:t>
      </w:r>
    </w:p>
    <w:p w14:paraId="16BEB23C" w14:textId="77777777" w:rsidR="006E78CD" w:rsidRDefault="00000000">
      <w:pPr>
        <w:spacing w:after="80"/>
      </w:pPr>
      <w:r>
        <w:t>11. Interpretation &amp; Limitations</w:t>
      </w:r>
    </w:p>
    <w:p w14:paraId="2CC86DB5" w14:textId="77777777" w:rsidR="006E78CD" w:rsidRDefault="00000000">
      <w:pPr>
        <w:spacing w:after="80"/>
      </w:pPr>
      <w:r>
        <w:t>12. References</w:t>
      </w:r>
    </w:p>
    <w:p w14:paraId="20257E4A" w14:textId="77777777" w:rsidR="006E78CD" w:rsidRDefault="00000000">
      <w:r>
        <w:br w:type="page"/>
      </w:r>
    </w:p>
    <w:p w14:paraId="596AA5F0" w14:textId="77777777" w:rsidR="006E78CD" w:rsidRDefault="00000000">
      <w:pPr>
        <w:pStyle w:val="Heading1"/>
      </w:pPr>
      <w:r>
        <w:lastRenderedPageBreak/>
        <w:t>1. Project Overview</w:t>
      </w:r>
    </w:p>
    <w:p w14:paraId="6B6CC5D8" w14:textId="77777777" w:rsidR="006E78CD" w:rsidRDefault="00000000">
      <w:r>
        <w:t>This project explores historical COVID-19 patterns across countries using an interactive Streamlit dashboard. Users can select countries, dates and indicators, view trends, compare the latest available observations and export a filtered dataset. An additional data dictionary explains fields and source metadata.</w:t>
      </w:r>
    </w:p>
    <w:p w14:paraId="46EEF19E" w14:textId="77777777" w:rsidR="006E78CD" w:rsidRDefault="00000000">
      <w:r>
        <w:t>The primary objective is to make historical COVID-19 patterns easier to compare across countries by transforming raw data into meaningful visualizations that reveal trends, anomalies, and actionable insights for public health decision-making.</w:t>
      </w:r>
    </w:p>
    <w:p w14:paraId="57B827DE" w14:textId="77777777" w:rsidR="006E78CD" w:rsidRDefault="00000000">
      <w:r>
        <w:rPr>
          <w:b/>
        </w:rPr>
        <w:t xml:space="preserve">Scope: </w:t>
      </w:r>
      <w:r>
        <w:t>The dashboard covers cumulative and daily case/death trends, vaccination progress, cross-country comparison, and data dictionary exploration. It is a historical analysis tool (data through 19 August 2024) and is not intended for real-time monitoring.</w:t>
      </w:r>
    </w:p>
    <w:p w14:paraId="4EDE57F3" w14:textId="77777777" w:rsidR="006E78CD" w:rsidRDefault="00000000">
      <w:pPr>
        <w:pStyle w:val="Heading1"/>
      </w:pPr>
      <w:r>
        <w:t>2. Dataset Discovery Summary</w:t>
      </w:r>
    </w:p>
    <w:p w14:paraId="42E0D91F" w14:textId="77777777" w:rsidR="006E78CD" w:rsidRDefault="00000000">
      <w:pPr>
        <w:pStyle w:val="Heading2"/>
      </w:pPr>
      <w:r>
        <w:t>2.1 Dataset Source</w:t>
      </w:r>
    </w:p>
    <w:p w14:paraId="46F65DEB" w14:textId="77777777" w:rsidR="006E78CD" w:rsidRDefault="00000000">
      <w:r>
        <w:t>The primary dataset is the Our World in Data (OWID) COVID-19 historical observation CSV, downloaded from: https://covid.ourworldindata.org/data/owid-covid-data.csv</w:t>
      </w:r>
    </w:p>
    <w:p w14:paraId="747DCA2C" w14:textId="77777777" w:rsidR="006E78CD" w:rsidRDefault="00000000">
      <w:r>
        <w:t>The supplied codebook file (owid-covid-codebook.csv) contains variable names, source information, categories and descriptions. It serves as a metadata reference.</w:t>
      </w:r>
    </w:p>
    <w:p w14:paraId="18C1F6F8" w14:textId="77777777" w:rsidR="006E78CD" w:rsidRDefault="00000000">
      <w:pPr>
        <w:pStyle w:val="Heading2"/>
      </w:pPr>
      <w:r>
        <w:t>2.2 Records and Attributes</w:t>
      </w:r>
    </w:p>
    <w:p w14:paraId="642C3AAB" w14:textId="77777777" w:rsidR="006E78CD" w:rsidRDefault="00000000">
      <w:pPr>
        <w:pStyle w:val="ListBullet"/>
      </w:pPr>
      <w:r>
        <w:rPr>
          <w:b/>
        </w:rPr>
        <w:t xml:space="preserve">Records: </w:t>
      </w:r>
      <w:r>
        <w:t>Approximately 300,000+ rows (one row per country per day, spanning Jan 2020 – Aug 2024).</w:t>
      </w:r>
    </w:p>
    <w:p w14:paraId="0FD3A344" w14:textId="77777777" w:rsidR="006E78CD" w:rsidRDefault="00000000">
      <w:pPr>
        <w:pStyle w:val="ListBullet"/>
      </w:pPr>
      <w:r>
        <w:rPr>
          <w:b/>
        </w:rPr>
        <w:t xml:space="preserve">Attributes: </w:t>
      </w:r>
      <w:r>
        <w:t>67 columns covering epidemiological, demographic, economic and health-system indicators.</w:t>
      </w:r>
    </w:p>
    <w:p w14:paraId="452B25D2" w14:textId="77777777" w:rsidR="006E78CD" w:rsidRDefault="00000000">
      <w:pPr>
        <w:pStyle w:val="ListBullet"/>
      </w:pPr>
      <w:r>
        <w:rPr>
          <w:b/>
        </w:rPr>
        <w:t xml:space="preserve">Geographical Variables: </w:t>
      </w:r>
      <w:r>
        <w:t>iso_code, continent, location (country name).</w:t>
      </w:r>
    </w:p>
    <w:p w14:paraId="2356B305" w14:textId="77777777" w:rsidR="006E78CD" w:rsidRDefault="00000000">
      <w:pPr>
        <w:pStyle w:val="ListBullet"/>
      </w:pPr>
      <w:r>
        <w:rPr>
          <w:b/>
        </w:rPr>
        <w:t xml:space="preserve">Temporal Variables: </w:t>
      </w:r>
      <w:r>
        <w:t>date (daily granularity).</w:t>
      </w:r>
    </w:p>
    <w:p w14:paraId="501E9677" w14:textId="77777777" w:rsidR="006E78CD" w:rsidRDefault="00000000">
      <w:pPr>
        <w:pStyle w:val="Heading2"/>
      </w:pPr>
      <w:r>
        <w:t>2.3 Numerical vs. Categorical Variables</w:t>
      </w:r>
    </w:p>
    <w:tbl>
      <w:tblPr>
        <w:tblStyle w:val="LightGrid-Accent1"/>
        <w:tblW w:w="0" w:type="auto"/>
        <w:jc w:val="center"/>
        <w:tblLook w:val="04A0" w:firstRow="1" w:lastRow="0" w:firstColumn="1" w:lastColumn="0" w:noHBand="0" w:noVBand="1"/>
      </w:tblPr>
      <w:tblGrid>
        <w:gridCol w:w="4320"/>
        <w:gridCol w:w="4320"/>
      </w:tblGrid>
      <w:tr w:rsidR="006E78CD" w14:paraId="5E37034E" w14:textId="77777777" w:rsidTr="006E78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B3A5C"/>
          </w:tcPr>
          <w:p w14:paraId="407F304B" w14:textId="77777777" w:rsidR="006E78CD" w:rsidRDefault="00000000">
            <w:pPr>
              <w:spacing w:before="40" w:after="40"/>
            </w:pPr>
            <w:r>
              <w:rPr>
                <w:color w:val="FFFFFF"/>
                <w:sz w:val="20"/>
              </w:rPr>
              <w:t>Category</w:t>
            </w:r>
          </w:p>
        </w:tc>
        <w:tc>
          <w:tcPr>
            <w:tcW w:w="4320" w:type="dxa"/>
            <w:shd w:val="clear" w:color="auto" w:fill="1B3A5C"/>
          </w:tcPr>
          <w:p w14:paraId="6A6C77A6" w14:textId="77777777" w:rsidR="006E78CD"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Examples</w:t>
            </w:r>
          </w:p>
        </w:tc>
      </w:tr>
      <w:tr w:rsidR="006E78CD" w14:paraId="559B23CB" w14:textId="77777777" w:rsidTr="006E78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86A5AB" w14:textId="77777777" w:rsidR="006E78CD" w:rsidRDefault="00000000">
            <w:pPr>
              <w:spacing w:before="40" w:after="40"/>
            </w:pPr>
            <w:r>
              <w:rPr>
                <w:sz w:val="20"/>
              </w:rPr>
              <w:t>Numerical (continuous/discrete)</w:t>
            </w:r>
          </w:p>
        </w:tc>
        <w:tc>
          <w:tcPr>
            <w:tcW w:w="4320" w:type="dxa"/>
          </w:tcPr>
          <w:p w14:paraId="6B8E8542" w14:textId="77777777" w:rsidR="006E78CD"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total_cases, new_cases, new_cases_smoothed, total_deaths, new_deaths, total_vaccinations, people_fully_vaccinated, icu_patients, hosp_patients, reproduction_rate, median_age, gdp_per_capita, population, population_density, life_expectancy, total_deaths_per_million, people_fully_vaccinated_per_hundred</w:t>
            </w:r>
          </w:p>
        </w:tc>
      </w:tr>
      <w:tr w:rsidR="006E78CD" w14:paraId="31C8F059" w14:textId="77777777" w:rsidTr="006E78C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B91576" w14:textId="77777777" w:rsidR="006E78CD" w:rsidRDefault="00000000">
            <w:pPr>
              <w:spacing w:before="40" w:after="40"/>
            </w:pPr>
            <w:r>
              <w:rPr>
                <w:sz w:val="20"/>
              </w:rPr>
              <w:t>Categorical / Identifier</w:t>
            </w:r>
          </w:p>
        </w:tc>
        <w:tc>
          <w:tcPr>
            <w:tcW w:w="4320" w:type="dxa"/>
          </w:tcPr>
          <w:p w14:paraId="46792D3A" w14:textId="77777777" w:rsidR="006E78CD"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iso_code, continent, location, tests_units</w:t>
            </w:r>
          </w:p>
        </w:tc>
      </w:tr>
    </w:tbl>
    <w:p w14:paraId="04B95DDA" w14:textId="77777777" w:rsidR="006E78CD" w:rsidRDefault="00000000">
      <w:pPr>
        <w:pStyle w:val="Heading2"/>
      </w:pPr>
      <w:r>
        <w:lastRenderedPageBreak/>
        <w:t>2.4 Missing Values, Duplicates and Outliers</w:t>
      </w:r>
    </w:p>
    <w:p w14:paraId="56522DAA" w14:textId="77777777" w:rsidR="006E78CD" w:rsidRDefault="00000000">
      <w:pPr>
        <w:pStyle w:val="ListBullet"/>
      </w:pPr>
      <w:r>
        <w:t>Missing Values: Substantial missingness exists in vaccination columns (reporting began mid-2021), ICU/hospitalization fields (not reported by many countries), and testing data. The dashboard retains NaN values and filters them contextually.</w:t>
      </w:r>
    </w:p>
    <w:p w14:paraId="29AEB8D0" w14:textId="77777777" w:rsidR="006E78CD" w:rsidRDefault="00000000">
      <w:pPr>
        <w:pStyle w:val="ListBullet"/>
      </w:pPr>
      <w:r>
        <w:t>Duplicates: No true duplicates expected (unique key: iso_code + date). OWID aggregate rows (e.g., OWID_WRL, OWID_AFR) are excluded from country-level charts to avoid double-counting.</w:t>
      </w:r>
    </w:p>
    <w:p w14:paraId="2EF4C62D" w14:textId="77777777" w:rsidR="006E78CD" w:rsidRDefault="00000000">
      <w:pPr>
        <w:pStyle w:val="ListBullet"/>
      </w:pPr>
      <w:r>
        <w:t>Outliers: Some countries show sudden spikes due to backlog reporting (e.g., Turkey, China revisions). These are not removed but noted as reporting artefacts.</w:t>
      </w:r>
    </w:p>
    <w:p w14:paraId="7F63722D" w14:textId="77777777" w:rsidR="006E78CD" w:rsidRDefault="00000000">
      <w:pPr>
        <w:pStyle w:val="Heading2"/>
      </w:pPr>
      <w:r>
        <w:t>2.5 Potential Relationships and Patterns</w:t>
      </w:r>
    </w:p>
    <w:p w14:paraId="252033A4" w14:textId="77777777" w:rsidR="006E78CD" w:rsidRDefault="00000000">
      <w:pPr>
        <w:pStyle w:val="ListBullet"/>
      </w:pPr>
      <w:r>
        <w:t>Cases and deaths show lagged correlation: death peaks typically follow case peaks by 1–3 weeks.</w:t>
      </w:r>
    </w:p>
    <w:p w14:paraId="5F69E7D4" w14:textId="77777777" w:rsidR="006E78CD" w:rsidRDefault="00000000">
      <w:pPr>
        <w:pStyle w:val="ListBullet"/>
      </w:pPr>
      <w:r>
        <w:t>Higher median age tends to correlate with higher deaths per million, but healthcare capacity and policy mediate this.</w:t>
      </w:r>
    </w:p>
    <w:p w14:paraId="7CEF9444" w14:textId="77777777" w:rsidR="006E78CD" w:rsidRDefault="00000000">
      <w:pPr>
        <w:pStyle w:val="ListBullet"/>
      </w:pPr>
      <w:r>
        <w:t>Vaccination rollout timelines vary dramatically by continent and income level.</w:t>
      </w:r>
    </w:p>
    <w:p w14:paraId="0E17F642" w14:textId="77777777" w:rsidR="006E78CD" w:rsidRDefault="00000000">
      <w:pPr>
        <w:pStyle w:val="ListBullet"/>
      </w:pPr>
      <w:r>
        <w:t>Seasonal patterns are visible in temperate-climate countries (winter surges).</w:t>
      </w:r>
    </w:p>
    <w:p w14:paraId="484EF7B3" w14:textId="77777777" w:rsidR="006E78CD" w:rsidRDefault="00000000">
      <w:pPr>
        <w:pStyle w:val="ListBullet"/>
      </w:pPr>
      <w:r>
        <w:t>Countries with higher GDP per capita generally achieved faster vaccination coverage.</w:t>
      </w:r>
    </w:p>
    <w:p w14:paraId="188170EF" w14:textId="77777777" w:rsidR="006E78CD" w:rsidRDefault="00000000">
      <w:r>
        <w:br w:type="page"/>
      </w:r>
    </w:p>
    <w:p w14:paraId="38D651AC" w14:textId="77777777" w:rsidR="006E78CD" w:rsidRDefault="00000000">
      <w:pPr>
        <w:pStyle w:val="Heading1"/>
      </w:pPr>
      <w:r>
        <w:lastRenderedPageBreak/>
        <w:t>3. Five Analytical Questions &amp; Visualization Justification</w:t>
      </w:r>
    </w:p>
    <w:p w14:paraId="11080CF4" w14:textId="77777777" w:rsidR="006E78CD" w:rsidRDefault="00000000">
      <w:r>
        <w:t>The following table presents five meaningful analytical questions, the variables required, the proposed visualization technique, and a justification for why each visualization is the most appropriate choice.</w:t>
      </w:r>
    </w:p>
    <w:tbl>
      <w:tblPr>
        <w:tblStyle w:val="LightGrid-Accent1"/>
        <w:tblW w:w="0" w:type="auto"/>
        <w:jc w:val="center"/>
        <w:tblLook w:val="04A0" w:firstRow="1" w:lastRow="0" w:firstColumn="1" w:lastColumn="0" w:noHBand="0" w:noVBand="1"/>
      </w:tblPr>
      <w:tblGrid>
        <w:gridCol w:w="1860"/>
        <w:gridCol w:w="3366"/>
        <w:gridCol w:w="1807"/>
        <w:gridCol w:w="1823"/>
      </w:tblGrid>
      <w:tr w:rsidR="006E78CD" w14:paraId="4303F050" w14:textId="77777777" w:rsidTr="006E78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B3A5C"/>
          </w:tcPr>
          <w:p w14:paraId="7CE59B78" w14:textId="77777777" w:rsidR="006E78CD" w:rsidRDefault="00000000">
            <w:pPr>
              <w:spacing w:before="40" w:after="40"/>
            </w:pPr>
            <w:r>
              <w:rPr>
                <w:color w:val="FFFFFF"/>
                <w:sz w:val="20"/>
              </w:rPr>
              <w:t>Analytical Question</w:t>
            </w:r>
          </w:p>
        </w:tc>
        <w:tc>
          <w:tcPr>
            <w:tcW w:w="2160" w:type="dxa"/>
            <w:shd w:val="clear" w:color="auto" w:fill="1B3A5C"/>
          </w:tcPr>
          <w:p w14:paraId="0F8A3897" w14:textId="77777777" w:rsidR="006E78CD"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Variables Required</w:t>
            </w:r>
          </w:p>
        </w:tc>
        <w:tc>
          <w:tcPr>
            <w:tcW w:w="2160" w:type="dxa"/>
            <w:shd w:val="clear" w:color="auto" w:fill="1B3A5C"/>
          </w:tcPr>
          <w:p w14:paraId="44A9C535" w14:textId="77777777" w:rsidR="006E78CD"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Proposed Visualization</w:t>
            </w:r>
          </w:p>
        </w:tc>
        <w:tc>
          <w:tcPr>
            <w:tcW w:w="2160" w:type="dxa"/>
            <w:shd w:val="clear" w:color="auto" w:fill="1B3A5C"/>
          </w:tcPr>
          <w:p w14:paraId="3FFF5F9D" w14:textId="77777777" w:rsidR="006E78CD"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Why Is This Visualization Appropriate?</w:t>
            </w:r>
          </w:p>
        </w:tc>
      </w:tr>
      <w:tr w:rsidR="006E78CD" w14:paraId="77DDCDD9" w14:textId="77777777" w:rsidTr="006E78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270495" w14:textId="77777777" w:rsidR="006E78CD" w:rsidRDefault="00000000">
            <w:pPr>
              <w:spacing w:before="40" w:after="40"/>
            </w:pPr>
            <w:r>
              <w:rPr>
                <w:sz w:val="20"/>
              </w:rPr>
              <w:t>Q1: Did global cases and deaths rise and fall together, or did later waves have far more cases but proportionally fewer deaths?</w:t>
            </w:r>
          </w:p>
        </w:tc>
        <w:tc>
          <w:tcPr>
            <w:tcW w:w="2160" w:type="dxa"/>
          </w:tcPr>
          <w:p w14:paraId="38E7819A" w14:textId="77777777" w:rsidR="006E78CD"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date, new_cases_smoothed, new_deaths_smoothed (World)</w:t>
            </w:r>
          </w:p>
        </w:tc>
        <w:tc>
          <w:tcPr>
            <w:tcW w:w="2160" w:type="dxa"/>
          </w:tcPr>
          <w:p w14:paraId="2463B0A3" w14:textId="77777777" w:rsidR="006E78CD"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Two stacked line charts sharing the same time axis</w:t>
            </w:r>
          </w:p>
        </w:tc>
        <w:tc>
          <w:tcPr>
            <w:tcW w:w="2160" w:type="dxa"/>
          </w:tcPr>
          <w:p w14:paraId="1F7C1FD4" w14:textId="77777777" w:rsidR="006E78CD"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Reading 1,000+ rows of numbers won't show how the peaks differ in height. The gap between the two lines is only visible in the chart.</w:t>
            </w:r>
          </w:p>
        </w:tc>
      </w:tr>
      <w:tr w:rsidR="006E78CD" w14:paraId="662168EF" w14:textId="77777777" w:rsidTr="006E78C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2EE2C3" w14:textId="77777777" w:rsidR="006E78CD" w:rsidRDefault="00000000">
            <w:pPr>
              <w:spacing w:before="40" w:after="40"/>
            </w:pPr>
            <w:r>
              <w:rPr>
                <w:sz w:val="20"/>
              </w:rPr>
              <w:t>Q2: Does a higher median age always mean more deaths, or do some countries break the pattern?</w:t>
            </w:r>
          </w:p>
        </w:tc>
        <w:tc>
          <w:tcPr>
            <w:tcW w:w="2160" w:type="dxa"/>
          </w:tcPr>
          <w:p w14:paraId="08BE2018" w14:textId="77777777" w:rsidR="006E78CD"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median_age, total_deaths_per_million, continent</w:t>
            </w:r>
          </w:p>
        </w:tc>
        <w:tc>
          <w:tcPr>
            <w:tcW w:w="2160" w:type="dxa"/>
          </w:tcPr>
          <w:p w14:paraId="00E1F69D" w14:textId="77777777" w:rsidR="006E78CD"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Scatter plot (coloured by continent)</w:t>
            </w:r>
          </w:p>
        </w:tc>
        <w:tc>
          <w:tcPr>
            <w:tcW w:w="2160" w:type="dxa"/>
          </w:tcPr>
          <w:p w14:paraId="77BE99DB" w14:textId="77777777" w:rsidR="006E78CD"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The direction of the trend and the countries far from it (outliers) are only visible in a scatter. Spotting outliers among 200 table rows is very hard.</w:t>
            </w:r>
          </w:p>
        </w:tc>
      </w:tr>
      <w:tr w:rsidR="006E78CD" w14:paraId="7DA06ECA" w14:textId="77777777" w:rsidTr="006E78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C3804D" w14:textId="77777777" w:rsidR="006E78CD" w:rsidRDefault="00000000">
            <w:pPr>
              <w:spacing w:before="40" w:after="40"/>
            </w:pPr>
            <w:r>
              <w:rPr>
                <w:sz w:val="20"/>
              </w:rPr>
              <w:t>Q3: Is the difference in death rates larger between continents or within a single continent?</w:t>
            </w:r>
          </w:p>
        </w:tc>
        <w:tc>
          <w:tcPr>
            <w:tcW w:w="2160" w:type="dxa"/>
          </w:tcPr>
          <w:p w14:paraId="291DDDE5" w14:textId="77777777" w:rsidR="006E78CD"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continent, total_deaths_per_million</w:t>
            </w:r>
          </w:p>
        </w:tc>
        <w:tc>
          <w:tcPr>
            <w:tcW w:w="2160" w:type="dxa"/>
          </w:tcPr>
          <w:p w14:paraId="79D65E73" w14:textId="77777777" w:rsidR="006E78CD"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Box plot by continent</w:t>
            </w:r>
          </w:p>
        </w:tc>
        <w:tc>
          <w:tcPr>
            <w:tcW w:w="2160" w:type="dxa"/>
          </w:tcPr>
          <w:p w14:paraId="2FF24DD3" w14:textId="77777777" w:rsidR="006E78CD"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Box length and the dots show spread and outliers at a glance. Looking at averages alone hides the variation inside each continent.</w:t>
            </w:r>
          </w:p>
        </w:tc>
      </w:tr>
      <w:tr w:rsidR="006E78CD" w14:paraId="7818C66C" w14:textId="77777777" w:rsidTr="006E78C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C7451B" w14:textId="77777777" w:rsidR="006E78CD" w:rsidRDefault="00000000">
            <w:pPr>
              <w:spacing w:before="40" w:after="40"/>
            </w:pPr>
            <w:r>
              <w:rPr>
                <w:sz w:val="20"/>
              </w:rPr>
              <w:t>Q4: Is there a seasonal pattern, with some months repeatedly deadlier than others?</w:t>
            </w:r>
          </w:p>
        </w:tc>
        <w:tc>
          <w:tcPr>
            <w:tcW w:w="2160" w:type="dxa"/>
          </w:tcPr>
          <w:p w14:paraId="0DB2CAE5" w14:textId="77777777" w:rsidR="006E78CD"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year, month, new_deaths (World)</w:t>
            </w:r>
          </w:p>
        </w:tc>
        <w:tc>
          <w:tcPr>
            <w:tcW w:w="2160" w:type="dxa"/>
          </w:tcPr>
          <w:p w14:paraId="1F1E5B81" w14:textId="77777777" w:rsidR="006E78CD"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Heatmap (year × month)</w:t>
            </w:r>
          </w:p>
        </w:tc>
        <w:tc>
          <w:tcPr>
            <w:tcW w:w="2160" w:type="dxa"/>
          </w:tcPr>
          <w:p w14:paraId="6AA9330F" w14:textId="77777777" w:rsidR="006E78CD"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A repeating dark band shows the pattern. In a table of numbers, the pattern is easy to miss.</w:t>
            </w:r>
          </w:p>
        </w:tc>
      </w:tr>
      <w:tr w:rsidR="006E78CD" w14:paraId="54CA0918" w14:textId="77777777" w:rsidTr="006E78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8126BA" w14:textId="77777777" w:rsidR="006E78CD" w:rsidRDefault="00000000">
            <w:pPr>
              <w:spacing w:before="40" w:after="40"/>
            </w:pPr>
            <w:r>
              <w:rPr>
                <w:sz w:val="20"/>
              </w:rPr>
              <w:t>Q5: Are countries clustered around one level of vaccination coverage, or split into two separate groups?</w:t>
            </w:r>
          </w:p>
        </w:tc>
        <w:tc>
          <w:tcPr>
            <w:tcW w:w="2160" w:type="dxa"/>
          </w:tcPr>
          <w:p w14:paraId="1AB79367" w14:textId="77777777" w:rsidR="006E78CD"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people_fully_vaccinated_per_hundred (latest)</w:t>
            </w:r>
          </w:p>
        </w:tc>
        <w:tc>
          <w:tcPr>
            <w:tcW w:w="2160" w:type="dxa"/>
          </w:tcPr>
          <w:p w14:paraId="0F9E8421" w14:textId="77777777" w:rsidR="006E78CD"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Histogram</w:t>
            </w:r>
          </w:p>
        </w:tc>
        <w:tc>
          <w:tcPr>
            <w:tcW w:w="2160" w:type="dxa"/>
          </w:tcPr>
          <w:p w14:paraId="4F3F91D2" w14:textId="77777777" w:rsidR="006E78CD"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The shape of the distribution (one hump or two) is only visible in a histogram. An average gives one number and hides the two groups.</w:t>
            </w:r>
          </w:p>
        </w:tc>
      </w:tr>
    </w:tbl>
    <w:p w14:paraId="65CBB575" w14:textId="77777777" w:rsidR="006E78CD" w:rsidRDefault="00000000">
      <w:r>
        <w:br w:type="page"/>
      </w:r>
    </w:p>
    <w:p w14:paraId="52FD3E3E" w14:textId="77777777" w:rsidR="006E78CD" w:rsidRDefault="00000000">
      <w:pPr>
        <w:pStyle w:val="Heading1"/>
      </w:pPr>
      <w:r>
        <w:lastRenderedPageBreak/>
        <w:t>4. Interactive Dashboard Description</w:t>
      </w:r>
    </w:p>
    <w:p w14:paraId="5849AA36" w14:textId="77777777" w:rsidR="006E78CD" w:rsidRDefault="00000000">
      <w:pPr>
        <w:pStyle w:val="Heading2"/>
      </w:pPr>
      <w:r>
        <w:t>4.1 Dashboard Modules</w:t>
      </w:r>
    </w:p>
    <w:p w14:paraId="1D13C3B8" w14:textId="77777777" w:rsidR="006E78CD" w:rsidRDefault="00000000">
      <w:pPr>
        <w:pStyle w:val="ListBullet"/>
      </w:pPr>
      <w:r>
        <w:rPr>
          <w:b/>
        </w:rPr>
        <w:t xml:space="preserve">Trend Chart: </w:t>
      </w:r>
      <w:r>
        <w:t>Interactive time-series line chart with country selection and metric control (cumulative cases, daily new cases, cumulative deaths, daily new deaths, total vaccinations). Built with Plotly Express for hover tooltips, zoom and pan.</w:t>
      </w:r>
    </w:p>
    <w:p w14:paraId="1A48251D" w14:textId="77777777" w:rsidR="006E78CD" w:rsidRDefault="00000000">
      <w:pPr>
        <w:pStyle w:val="ListBullet"/>
      </w:pPr>
      <w:r>
        <w:rPr>
          <w:b/>
        </w:rPr>
        <w:t xml:space="preserve">Country Comparison: </w:t>
      </w:r>
      <w:r>
        <w:t>Horizontal bar chart showing the last non-missing measurement for each selected country within the chosen date range. Enables at-a-glance ranking.</w:t>
      </w:r>
    </w:p>
    <w:p w14:paraId="5CC49702" w14:textId="77777777" w:rsidR="006E78CD" w:rsidRDefault="00000000">
      <w:pPr>
        <w:pStyle w:val="ListBullet"/>
      </w:pPr>
      <w:r>
        <w:rPr>
          <w:b/>
        </w:rPr>
        <w:t xml:space="preserve">Filters &amp; KPI Strip: </w:t>
      </w:r>
      <w:r>
        <w:t>Country multi-select dropdown, metric selector, date range slider. KPI cards display: number of countries selected, last observation date, total data points in the current view.</w:t>
      </w:r>
    </w:p>
    <w:p w14:paraId="7CE220E2" w14:textId="77777777" w:rsidR="006E78CD" w:rsidRDefault="00000000">
      <w:pPr>
        <w:pStyle w:val="ListBullet"/>
      </w:pPr>
      <w:r>
        <w:rPr>
          <w:b/>
        </w:rPr>
        <w:t xml:space="preserve">Data Dictionary: </w:t>
      </w:r>
      <w:r>
        <w:t>Category and keyword search of the supplied OWID codebook CSV. Allows users to understand each variable's meaning, source and unit.</w:t>
      </w:r>
    </w:p>
    <w:p w14:paraId="0A14734B" w14:textId="77777777" w:rsidR="006E78CD" w:rsidRDefault="00000000">
      <w:pPr>
        <w:pStyle w:val="ListBullet"/>
      </w:pPr>
      <w:r>
        <w:rPr>
          <w:b/>
        </w:rPr>
        <w:t xml:space="preserve">Data Export &amp; Methodology: </w:t>
      </w:r>
      <w:r>
        <w:t>Downloadable filtered CSV for reproducibility, plus documented limitations and data processing notes.</w:t>
      </w:r>
    </w:p>
    <w:p w14:paraId="4D97BB05" w14:textId="77777777" w:rsidR="006E78CD" w:rsidRDefault="00000000">
      <w:pPr>
        <w:pStyle w:val="Heading2"/>
      </w:pPr>
      <w:r>
        <w:t>4.2 Technical Stack</w:t>
      </w:r>
    </w:p>
    <w:p w14:paraId="50EE8030" w14:textId="77777777" w:rsidR="006E78CD" w:rsidRDefault="00000000">
      <w:pPr>
        <w:pStyle w:val="ListBullet"/>
      </w:pPr>
      <w:r>
        <w:t>Framework: Streamlit (Python)</w:t>
      </w:r>
    </w:p>
    <w:p w14:paraId="68B89551" w14:textId="77777777" w:rsidR="006E78CD" w:rsidRDefault="00000000">
      <w:pPr>
        <w:pStyle w:val="ListBullet"/>
      </w:pPr>
      <w:r>
        <w:t>Data Transformation: pandas</w:t>
      </w:r>
    </w:p>
    <w:p w14:paraId="0C452323" w14:textId="77777777" w:rsidR="006E78CD" w:rsidRDefault="00000000">
      <w:pPr>
        <w:pStyle w:val="ListBullet"/>
      </w:pPr>
      <w:r>
        <w:t>Interactive Plotting: Plotly Express</w:t>
      </w:r>
    </w:p>
    <w:p w14:paraId="5361BFF8" w14:textId="77777777" w:rsidR="006E78CD" w:rsidRDefault="00000000">
      <w:pPr>
        <w:pStyle w:val="ListBullet"/>
      </w:pPr>
      <w:r>
        <w:t>Caching: Streamlit @st.cache_data for downloaded observations</w:t>
      </w:r>
    </w:p>
    <w:p w14:paraId="680E6728" w14:textId="77777777" w:rsidR="006E78CD" w:rsidRDefault="00000000">
      <w:pPr>
        <w:pStyle w:val="ListBullet"/>
      </w:pPr>
      <w:r>
        <w:t>Code Structure: app.py, requirements.txt, README.md, data/owid-covid-codebook.csv</w:t>
      </w:r>
    </w:p>
    <w:p w14:paraId="0B98501D" w14:textId="77777777" w:rsidR="006E78CD" w:rsidRDefault="00000000">
      <w:pPr>
        <w:pStyle w:val="Heading1"/>
      </w:pPr>
      <w:r>
        <w:t>5. Five Major Findings</w:t>
      </w:r>
    </w:p>
    <w:p w14:paraId="6D460F32" w14:textId="77777777" w:rsidR="006E78CD" w:rsidRDefault="00000000">
      <w:r>
        <w:rPr>
          <w:b/>
          <w:color w:val="1B3A5C"/>
        </w:rPr>
        <w:t>Finding 1: Decoupling of Cases and Deaths in Later Waves</w:t>
      </w:r>
    </w:p>
    <w:p w14:paraId="33C1E6E1" w14:textId="77777777" w:rsidR="006E78CD" w:rsidRDefault="00000000">
      <w:r>
        <w:t>While earlier pandemic waves (2020–early 2021) showed cases and deaths rising in tandem, later waves (Omicron era, 2022) displayed significantly higher case counts but proportionally far fewer deaths. This decoupling is attributed to widespread vaccination, natural immunity, and the milder Omicron variant.</w:t>
      </w:r>
    </w:p>
    <w:p w14:paraId="30C30701" w14:textId="77777777" w:rsidR="006E78CD" w:rsidRDefault="00000000">
      <w:r>
        <w:rPr>
          <w:b/>
          <w:color w:val="1B3A5C"/>
        </w:rPr>
        <w:t>Finding 2: Median Age Correlates with Deaths Per Million — But Not Universally</w:t>
      </w:r>
    </w:p>
    <w:p w14:paraId="44F06CDB" w14:textId="77777777" w:rsidR="006E78CD" w:rsidRDefault="00000000">
      <w:r>
        <w:t>Countries with higher median ages (e.g., Italy, Japan) generally show elevated deaths per million. However, notable outliers exist: Japan, despite its very high median age, achieved comparatively low death rates through early masking culture and public compliance. Conversely, some younger-population nations in South America experienced high death rates due to healthcare system strain.</w:t>
      </w:r>
    </w:p>
    <w:p w14:paraId="568CEFF0" w14:textId="77777777" w:rsidR="006E78CD" w:rsidRDefault="00000000">
      <w:r>
        <w:rPr>
          <w:b/>
          <w:color w:val="1B3A5C"/>
        </w:rPr>
        <w:t>Finding 3: Inter-Continental Variation Exceeds Intra-Continental Variation for Deaths</w:t>
      </w:r>
    </w:p>
    <w:p w14:paraId="77DDB6FB" w14:textId="77777777" w:rsidR="006E78CD" w:rsidRDefault="00000000">
      <w:r>
        <w:lastRenderedPageBreak/>
        <w:t>Box plots reveal that the spread of deaths per million is wider between continents (Europe and South America having the highest medians, Africa and Oceania the lowest) than within most individual continents, suggesting that continent-level factors (health infrastructure, demographic profile, climate) play a significant role.</w:t>
      </w:r>
    </w:p>
    <w:p w14:paraId="0FC1B180" w14:textId="77777777" w:rsidR="006E78CD" w:rsidRDefault="00000000">
      <w:r>
        <w:rPr>
          <w:b/>
          <w:color w:val="1B3A5C"/>
        </w:rPr>
        <w:t>Finding 4: Seasonal Mortality Patterns Are Evident in Temperate Regions</w:t>
      </w:r>
    </w:p>
    <w:p w14:paraId="14C327C9" w14:textId="77777777" w:rsidR="006E78CD" w:rsidRDefault="00000000">
      <w:r>
        <w:t>The year × month heatmap for global deaths shows darker bands during Northern Hemisphere winter months (December–February), repeating across 2020–2022. This aligns with respiratory-virus seasonality and indoor-gathering patterns.</w:t>
      </w:r>
    </w:p>
    <w:p w14:paraId="1DDA0AE9" w14:textId="77777777" w:rsidR="006E78CD" w:rsidRDefault="00000000">
      <w:r>
        <w:rPr>
          <w:b/>
          <w:color w:val="1B3A5C"/>
        </w:rPr>
        <w:t>Finding 5: Vaccination Coverage Shows a Bimodal Distribution</w:t>
      </w:r>
    </w:p>
    <w:p w14:paraId="50E14BA9" w14:textId="77777777" w:rsidR="006E78CD" w:rsidRDefault="00000000">
      <w:r>
        <w:t>The histogram of people_fully_vaccinated_per_hundred reveals two distinct clusters: a group of countries with coverage above 60–70% and another group below 30%. This bimodal pattern reflects the global inequity in vaccine access and rollout capacity.</w:t>
      </w:r>
    </w:p>
    <w:p w14:paraId="6E206304" w14:textId="77777777" w:rsidR="006E78CD" w:rsidRDefault="00000000">
      <w:r>
        <w:br w:type="page"/>
      </w:r>
    </w:p>
    <w:p w14:paraId="6B837B60" w14:textId="77777777" w:rsidR="006E78CD" w:rsidRDefault="00000000">
      <w:pPr>
        <w:pStyle w:val="Heading1"/>
      </w:pPr>
      <w:r>
        <w:lastRenderedPageBreak/>
        <w:t>6. Three Actionable Recommendations</w:t>
      </w:r>
    </w:p>
    <w:p w14:paraId="2E20F382" w14:textId="77777777" w:rsidR="006E78CD" w:rsidRDefault="00000000">
      <w:r>
        <w:rPr>
          <w:b/>
          <w:color w:val="1B3A5C"/>
        </w:rPr>
        <w:t>Recommendation 1: Invest in Equitable Vaccine Distribution</w:t>
      </w:r>
    </w:p>
    <w:p w14:paraId="412A8FC7" w14:textId="77777777" w:rsidR="006E78CD" w:rsidRDefault="00000000">
      <w:r>
        <w:t>The bimodal vaccination histogram demonstrates a stark divide between high- and low-coverage countries. International health organizations and governments should prioritize COVAX-style mechanisms and regional manufacturing capacity to close the coverage gap, reducing vulnerability in under-vaccinated populations.</w:t>
      </w:r>
    </w:p>
    <w:p w14:paraId="18DA9F0F" w14:textId="77777777" w:rsidR="006E78CD" w:rsidRDefault="00000000">
      <w:r>
        <w:rPr>
          <w:b/>
          <w:color w:val="1B3A5C"/>
        </w:rPr>
        <w:t>Recommendation 2: Strengthen Seasonal Preparedness in Healthcare Systems</w:t>
      </w:r>
    </w:p>
    <w:p w14:paraId="1614CD28" w14:textId="77777777" w:rsidR="006E78CD" w:rsidRDefault="00000000">
      <w:r>
        <w:t>The recurring winter-month mortality spikes indicate that healthcare surge capacity, antiviral stockpiles, and targeted booster campaigns should be aligned to the seasonal calendar — deploying boosters in autumn (pre-winter) and increasing hospital capacity during peak months.</w:t>
      </w:r>
    </w:p>
    <w:p w14:paraId="370F2EAE" w14:textId="77777777" w:rsidR="006E78CD" w:rsidRDefault="00000000">
      <w:r>
        <w:rPr>
          <w:b/>
          <w:color w:val="1B3A5C"/>
        </w:rPr>
        <w:t>Recommendation 3: Standardize and Improve Data Reporting</w:t>
      </w:r>
    </w:p>
    <w:p w14:paraId="5C7E970F" w14:textId="77777777" w:rsidR="006E78CD" w:rsidRDefault="00000000">
      <w:r>
        <w:t>Significant missingness in testing, hospitalization, and ICU data across many countries hinders comparative analysis. A unified global reporting framework with minimum mandatory indicators would improve real-time situational awareness and enable faster, evidence-based policy responses during future pandemics.</w:t>
      </w:r>
    </w:p>
    <w:p w14:paraId="7F761015" w14:textId="77777777" w:rsidR="006E78CD" w:rsidRDefault="00000000">
      <w:pPr>
        <w:pStyle w:val="Heading1"/>
      </w:pPr>
      <w:r>
        <w:t>7. Wrong Visualization Challenge</w:t>
      </w:r>
    </w:p>
    <w:p w14:paraId="6F53FC92" w14:textId="77777777" w:rsidR="006E78CD" w:rsidRDefault="00000000">
      <w:r>
        <w:rPr>
          <w:b/>
        </w:rPr>
        <w:t xml:space="preserve">Selected Question: </w:t>
      </w:r>
      <w:r>
        <w:t>Q5 — Are countries clustered around one level of vaccination coverage, or split into two separate groups (high and low)?</w:t>
      </w:r>
    </w:p>
    <w:p w14:paraId="040D727E" w14:textId="77777777" w:rsidR="006E78CD" w:rsidRDefault="00000000">
      <w:pPr>
        <w:pStyle w:val="Heading2"/>
      </w:pPr>
      <w:r>
        <w:t>7.1 Correct Visualization: Histogram</w:t>
      </w:r>
    </w:p>
    <w:p w14:paraId="12EDEC38" w14:textId="77777777" w:rsidR="006E78CD" w:rsidRDefault="00000000">
      <w:r>
        <w:t>A histogram of people_fully_vaccinated_per_hundred (latest value per country) is the correct choice. It bins countries by coverage percentage and displays the frequency in each bin. The shape of the distribution — whether unimodal (single hump) or bimodal (two humps) — is immediately visible. This directly answers whether countries cluster at one level or split into two groups.</w:t>
      </w:r>
    </w:p>
    <w:p w14:paraId="4C8BECC5" w14:textId="77777777" w:rsidR="006E78CD" w:rsidRDefault="00000000">
      <w:r>
        <w:rPr>
          <w:b/>
        </w:rPr>
        <w:t xml:space="preserve">Why it is appropriate: </w:t>
      </w:r>
      <w:r>
        <w:t>Histograms are designed to show the distribution shape of a single continuous variable. The number and position of peaks reveal clustering patterns that no other summary statistic (mean, median) can convey.</w:t>
      </w:r>
    </w:p>
    <w:p w14:paraId="2F0725E6" w14:textId="77777777" w:rsidR="006E78CD" w:rsidRDefault="00000000">
      <w:pPr>
        <w:pStyle w:val="Heading2"/>
      </w:pPr>
      <w:r>
        <w:t>7.2 Deliberately Inappropriate Visualization: Pie Chart</w:t>
      </w:r>
    </w:p>
    <w:p w14:paraId="4045A459" w14:textId="77777777" w:rsidR="006E78CD" w:rsidRDefault="00000000">
      <w:r>
        <w:t>A pie chart that divides countries into arbitrary categories (e.g., '&lt;25%', '25–50%', '50–75%', '&gt;75%') and shows the proportion in each slice.</w:t>
      </w:r>
    </w:p>
    <w:p w14:paraId="4ABEC239" w14:textId="77777777" w:rsidR="006E78CD" w:rsidRDefault="00000000">
      <w:r>
        <w:rPr>
          <w:b/>
        </w:rPr>
        <w:t xml:space="preserve">Why it is inappropriate/misleading: </w:t>
      </w:r>
      <w:r>
        <w:t xml:space="preserve">A pie chart forces continuous data into discrete categories, destroying the shape of the distribution. The analyst must choose bin boundaries before seeing the data, which imposes a structure that may not exist. If the two clusters straddle a boundary </w:t>
      </w:r>
      <w:r>
        <w:lastRenderedPageBreak/>
        <w:t>(e.g., peaks at 20% and 70%), the pie chart will merge parts of each cluster into one slice, making the bimodal pattern invisible. Pie charts also make it difficult to compare slice sizes when they are similar, and they cannot show the density or concentration of values within each category.</w:t>
      </w:r>
    </w:p>
    <w:p w14:paraId="132DE106" w14:textId="77777777" w:rsidR="006E78CD" w:rsidRDefault="00000000">
      <w:r>
        <w:rPr>
          <w:b/>
        </w:rPr>
        <w:t xml:space="preserve">How the wrong visualization affects interpretation: </w:t>
      </w:r>
      <w:r>
        <w:t>A viewer might conclude that vaccination coverage is 'fairly spread' across quartiles, missing the critical insight that the world is split into two distinct groups — the vaccinated and the under-vaccinated. This could lead to complacency in policy design, as the two-group reality (which demands targeted intervention for the low-coverage cluster) is hidden.</w:t>
      </w:r>
    </w:p>
    <w:p w14:paraId="621E4E43" w14:textId="77777777" w:rsidR="006E78CD" w:rsidRDefault="00000000">
      <w:r>
        <w:br w:type="page"/>
      </w:r>
    </w:p>
    <w:p w14:paraId="3FAD4B30" w14:textId="77777777" w:rsidR="006E78CD" w:rsidRDefault="00000000">
      <w:pPr>
        <w:pStyle w:val="Heading1"/>
      </w:pPr>
      <w:r>
        <w:lastRenderedPageBreak/>
        <w:t>8. AI Critique &amp; Team Justification</w:t>
      </w:r>
    </w:p>
    <w:p w14:paraId="762A4B06" w14:textId="77777777" w:rsidR="006E78CD" w:rsidRDefault="00000000">
      <w:pPr>
        <w:pStyle w:val="Heading2"/>
      </w:pPr>
      <w:r>
        <w:t>8.1 Visualization Critiqued</w:t>
      </w:r>
    </w:p>
    <w:p w14:paraId="4F8D162C" w14:textId="77777777" w:rsidR="006E78CD" w:rsidRDefault="00000000">
      <w:r>
        <w:t>We asked a Generative AI (Google Gemini) to critique our Q1 visualization: the dual line chart of new_cases_smoothed and new_deaths_smoothed over time for the world.</w:t>
      </w:r>
    </w:p>
    <w:p w14:paraId="72986C86" w14:textId="77777777" w:rsidR="006E78CD" w:rsidRDefault="00000000">
      <w:pPr>
        <w:pStyle w:val="Heading2"/>
      </w:pPr>
      <w:r>
        <w:t>8.2 AI Recommendation</w:t>
      </w:r>
    </w:p>
    <w:p w14:paraId="5C884903" w14:textId="77777777" w:rsidR="006E78CD" w:rsidRDefault="00000000">
      <w:r>
        <w:t>The AI suggested the following improvements:</w:t>
      </w:r>
    </w:p>
    <w:p w14:paraId="7365ED80" w14:textId="77777777" w:rsidR="006E78CD" w:rsidRDefault="00000000">
      <w:pPr>
        <w:pStyle w:val="ListBullet"/>
      </w:pPr>
      <w:r>
        <w:t>Use a dual-axis (secondary y-axis) chart instead of stacking, because cases and deaths differ by orders of magnitude and stacking compresses the deaths line to near-zero.</w:t>
      </w:r>
    </w:p>
    <w:p w14:paraId="2855398B" w14:textId="77777777" w:rsidR="006E78CD" w:rsidRDefault="00000000">
      <w:pPr>
        <w:pStyle w:val="ListBullet"/>
      </w:pPr>
      <w:r>
        <w:t>Add annotations or vertical reference lines for key events (e.g., WHO pandemic declaration, vaccine authorization dates, Omicron emergence) to give context to the peaks.</w:t>
      </w:r>
    </w:p>
    <w:p w14:paraId="688D4EA7" w14:textId="77777777" w:rsidR="006E78CD" w:rsidRDefault="00000000">
      <w:pPr>
        <w:pStyle w:val="ListBullet"/>
      </w:pPr>
      <w:r>
        <w:t>Consider using a log scale on the y-axis to make smaller waves comparable to larger ones.</w:t>
      </w:r>
    </w:p>
    <w:p w14:paraId="100F4F9C" w14:textId="77777777" w:rsidR="006E78CD" w:rsidRDefault="00000000">
      <w:pPr>
        <w:pStyle w:val="ListBullet"/>
      </w:pPr>
      <w:r>
        <w:t>Include a 7-day rolling average legend label to clarify that smoothed values are plotted.</w:t>
      </w:r>
    </w:p>
    <w:p w14:paraId="366DDF93" w14:textId="77777777" w:rsidR="006E78CD" w:rsidRDefault="00000000">
      <w:pPr>
        <w:pStyle w:val="Heading2"/>
      </w:pPr>
      <w:r>
        <w:t>8.3 Team Decision</w:t>
      </w:r>
    </w:p>
    <w:tbl>
      <w:tblPr>
        <w:tblStyle w:val="LightGrid-Accent1"/>
        <w:tblW w:w="0" w:type="auto"/>
        <w:jc w:val="center"/>
        <w:tblLook w:val="04A0" w:firstRow="1" w:lastRow="0" w:firstColumn="1" w:lastColumn="0" w:noHBand="0" w:noVBand="1"/>
      </w:tblPr>
      <w:tblGrid>
        <w:gridCol w:w="2880"/>
        <w:gridCol w:w="2880"/>
        <w:gridCol w:w="2880"/>
      </w:tblGrid>
      <w:tr w:rsidR="006E78CD" w14:paraId="33A67104" w14:textId="77777777" w:rsidTr="006E78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B3A5C"/>
          </w:tcPr>
          <w:p w14:paraId="3026E451" w14:textId="77777777" w:rsidR="006E78CD" w:rsidRDefault="00000000">
            <w:pPr>
              <w:spacing w:before="40" w:after="40"/>
            </w:pPr>
            <w:r>
              <w:rPr>
                <w:color w:val="FFFFFF"/>
                <w:sz w:val="20"/>
              </w:rPr>
              <w:t>AI Suggestion</w:t>
            </w:r>
          </w:p>
        </w:tc>
        <w:tc>
          <w:tcPr>
            <w:tcW w:w="2880" w:type="dxa"/>
            <w:shd w:val="clear" w:color="auto" w:fill="1B3A5C"/>
          </w:tcPr>
          <w:p w14:paraId="5F11D010" w14:textId="77777777" w:rsidR="006E78CD"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Decision</w:t>
            </w:r>
          </w:p>
        </w:tc>
        <w:tc>
          <w:tcPr>
            <w:tcW w:w="2880" w:type="dxa"/>
            <w:shd w:val="clear" w:color="auto" w:fill="1B3A5C"/>
          </w:tcPr>
          <w:p w14:paraId="4967F172" w14:textId="77777777" w:rsidR="006E78CD"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Team Justification</w:t>
            </w:r>
          </w:p>
        </w:tc>
      </w:tr>
      <w:tr w:rsidR="006E78CD" w14:paraId="259FB56B" w14:textId="77777777" w:rsidTr="006E78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4A6EB0" w14:textId="77777777" w:rsidR="006E78CD" w:rsidRDefault="00000000">
            <w:pPr>
              <w:spacing w:before="40" w:after="40"/>
            </w:pPr>
            <w:r>
              <w:rPr>
                <w:sz w:val="20"/>
              </w:rPr>
              <w:t>Dual-axis chart:</w:t>
            </w:r>
          </w:p>
        </w:tc>
        <w:tc>
          <w:tcPr>
            <w:tcW w:w="2880" w:type="dxa"/>
          </w:tcPr>
          <w:p w14:paraId="29850D50" w14:textId="77777777" w:rsidR="006E78CD" w:rsidRDefault="00000000">
            <w:pPr>
              <w:spacing w:before="40" w:after="40"/>
              <w:cnfStyle w:val="000000100000" w:firstRow="0" w:lastRow="0" w:firstColumn="0" w:lastColumn="0" w:oddVBand="0" w:evenVBand="0" w:oddHBand="1" w:evenHBand="0" w:firstRowFirstColumn="0" w:firstRowLastColumn="0" w:lastRowFirstColumn="0" w:lastRowLastColumn="0"/>
            </w:pPr>
            <w:r>
              <w:rPr>
                <w:b/>
                <w:color w:val="27AE60"/>
                <w:sz w:val="20"/>
              </w:rPr>
              <w:t>ACCEPTED</w:t>
            </w:r>
          </w:p>
        </w:tc>
        <w:tc>
          <w:tcPr>
            <w:tcW w:w="2880" w:type="dxa"/>
          </w:tcPr>
          <w:p w14:paraId="705C7274" w14:textId="77777777" w:rsidR="006E78CD"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The magnitude difference between cases (millions) and deaths (thousands) does compress the deaths line when plotted on the same axis. A secondary y-axis preserves the shape of both curves and makes the decoupling in later waves far more visible.</w:t>
            </w:r>
          </w:p>
        </w:tc>
      </w:tr>
      <w:tr w:rsidR="006E78CD" w14:paraId="310C6BD5" w14:textId="77777777" w:rsidTr="006E78C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FF8549" w14:textId="77777777" w:rsidR="006E78CD" w:rsidRDefault="00000000">
            <w:pPr>
              <w:spacing w:before="40" w:after="40"/>
            </w:pPr>
            <w:r>
              <w:rPr>
                <w:sz w:val="20"/>
              </w:rPr>
              <w:t>Event annotations:</w:t>
            </w:r>
          </w:p>
        </w:tc>
        <w:tc>
          <w:tcPr>
            <w:tcW w:w="2880" w:type="dxa"/>
          </w:tcPr>
          <w:p w14:paraId="37A9434C" w14:textId="77777777" w:rsidR="006E78CD" w:rsidRDefault="00000000">
            <w:pPr>
              <w:spacing w:before="40" w:after="40"/>
              <w:cnfStyle w:val="000000010000" w:firstRow="0" w:lastRow="0" w:firstColumn="0" w:lastColumn="0" w:oddVBand="0" w:evenVBand="0" w:oddHBand="0" w:evenHBand="1" w:firstRowFirstColumn="0" w:firstRowLastColumn="0" w:lastRowFirstColumn="0" w:lastRowLastColumn="0"/>
            </w:pPr>
            <w:r>
              <w:rPr>
                <w:b/>
                <w:color w:val="27AE60"/>
                <w:sz w:val="20"/>
              </w:rPr>
              <w:t>ACCEPTED</w:t>
            </w:r>
          </w:p>
        </w:tc>
        <w:tc>
          <w:tcPr>
            <w:tcW w:w="2880" w:type="dxa"/>
          </w:tcPr>
          <w:p w14:paraId="73878529" w14:textId="77777777" w:rsidR="006E78CD"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Adding vertical lines for key events (vaccine rollout start, Omicron wave) provides essential context and strengthens the narrative without cluttering the chart.</w:t>
            </w:r>
          </w:p>
        </w:tc>
      </w:tr>
      <w:tr w:rsidR="006E78CD" w14:paraId="512A26F6" w14:textId="77777777" w:rsidTr="006E78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91A09F" w14:textId="77777777" w:rsidR="006E78CD" w:rsidRDefault="00000000">
            <w:pPr>
              <w:spacing w:before="40" w:after="40"/>
            </w:pPr>
            <w:r>
              <w:rPr>
                <w:sz w:val="20"/>
              </w:rPr>
              <w:t>Log scale:</w:t>
            </w:r>
          </w:p>
        </w:tc>
        <w:tc>
          <w:tcPr>
            <w:tcW w:w="2880" w:type="dxa"/>
          </w:tcPr>
          <w:p w14:paraId="21CBD03A" w14:textId="77777777" w:rsidR="006E78CD" w:rsidRDefault="00000000">
            <w:pPr>
              <w:spacing w:before="40" w:after="40"/>
              <w:cnfStyle w:val="000000100000" w:firstRow="0" w:lastRow="0" w:firstColumn="0" w:lastColumn="0" w:oddVBand="0" w:evenVBand="0" w:oddHBand="1" w:evenHBand="0" w:firstRowFirstColumn="0" w:firstRowLastColumn="0" w:lastRowFirstColumn="0" w:lastRowLastColumn="0"/>
            </w:pPr>
            <w:r>
              <w:rPr>
                <w:b/>
                <w:color w:val="E74C3C"/>
                <w:sz w:val="20"/>
              </w:rPr>
              <w:t>REJECTED</w:t>
            </w:r>
          </w:p>
        </w:tc>
        <w:tc>
          <w:tcPr>
            <w:tcW w:w="2880" w:type="dxa"/>
          </w:tcPr>
          <w:p w14:paraId="22FFFA18" w14:textId="77777777" w:rsidR="006E78CD"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While a log scale equalizes small and large waves, it distorts the perceived severity of peaks. Our audience (public health students) benefits more from a linear scale that honestly represents magnitude. The dual-axis approach already addresses the scale problem.</w:t>
            </w:r>
          </w:p>
        </w:tc>
      </w:tr>
      <w:tr w:rsidR="006E78CD" w14:paraId="6C9F81B0" w14:textId="77777777" w:rsidTr="006E78C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2586B4" w14:textId="77777777" w:rsidR="006E78CD" w:rsidRDefault="00000000">
            <w:pPr>
              <w:spacing w:before="40" w:after="40"/>
            </w:pPr>
            <w:r>
              <w:rPr>
                <w:sz w:val="20"/>
              </w:rPr>
              <w:t>Legend clarification:</w:t>
            </w:r>
          </w:p>
        </w:tc>
        <w:tc>
          <w:tcPr>
            <w:tcW w:w="2880" w:type="dxa"/>
          </w:tcPr>
          <w:p w14:paraId="0FAD9158" w14:textId="77777777" w:rsidR="006E78CD" w:rsidRDefault="00000000">
            <w:pPr>
              <w:spacing w:before="40" w:after="40"/>
              <w:cnfStyle w:val="000000010000" w:firstRow="0" w:lastRow="0" w:firstColumn="0" w:lastColumn="0" w:oddVBand="0" w:evenVBand="0" w:oddHBand="0" w:evenHBand="1" w:firstRowFirstColumn="0" w:firstRowLastColumn="0" w:lastRowFirstColumn="0" w:lastRowLastColumn="0"/>
            </w:pPr>
            <w:r>
              <w:rPr>
                <w:b/>
                <w:color w:val="27AE60"/>
                <w:sz w:val="20"/>
              </w:rPr>
              <w:t>ACCEPTED</w:t>
            </w:r>
          </w:p>
        </w:tc>
        <w:tc>
          <w:tcPr>
            <w:tcW w:w="2880" w:type="dxa"/>
          </w:tcPr>
          <w:p w14:paraId="10AD8A4E" w14:textId="77777777" w:rsidR="006E78CD"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A minor but worthwhile improvement. We added '(7-day smoothed)' to the legend labels for clarity.</w:t>
            </w:r>
          </w:p>
        </w:tc>
      </w:tr>
    </w:tbl>
    <w:p w14:paraId="3E3F3559" w14:textId="77777777" w:rsidR="006E78CD" w:rsidRDefault="00000000">
      <w:pPr>
        <w:pStyle w:val="Heading1"/>
      </w:pPr>
      <w:r>
        <w:lastRenderedPageBreak/>
        <w:t>9. Two-Minute Data Story</w:t>
      </w:r>
    </w:p>
    <w:p w14:paraId="19EE6D47" w14:textId="77777777" w:rsidR="006E78CD" w:rsidRDefault="00000000">
      <w:pPr>
        <w:pStyle w:val="Heading2"/>
      </w:pPr>
      <w:r>
        <w:t>What Did We Discover?</w:t>
      </w:r>
    </w:p>
    <w:p w14:paraId="6AE2FD61" w14:textId="77777777" w:rsidR="006E78CD" w:rsidRDefault="00000000">
      <w:r>
        <w:t>COVID-19 did not affect the world uniformly. Our dashboard reveals that while early waves killed in proportion to infections, later waves — fuelled by Omicron — produced record case counts with far fewer deaths. We found that older countries suffered more, but not always: policy and healthcare mattered immensely. The global vaccination story is not a single narrative — it's two stories, one of countries that vaccinated quickly and one of countries that were left behind.</w:t>
      </w:r>
    </w:p>
    <w:p w14:paraId="211F621C" w14:textId="77777777" w:rsidR="006E78CD" w:rsidRDefault="00000000">
      <w:pPr>
        <w:pStyle w:val="Heading2"/>
      </w:pPr>
      <w:r>
        <w:t>Why Does It Matter?</w:t>
      </w:r>
    </w:p>
    <w:p w14:paraId="4C0386FD" w14:textId="77777777" w:rsidR="006E78CD" w:rsidRDefault="00000000">
      <w:r>
        <w:t>Understanding these patterns is essential for pandemic preparedness. The decoupling of cases and deaths shows that vaccines work. The bimodal vaccination gap shows that equity remains unresolved. The seasonal patterns tell us when to prepare. Without visualizing this data, decision-makers are flying blind.</w:t>
      </w:r>
    </w:p>
    <w:p w14:paraId="3E5E884E" w14:textId="77777777" w:rsidR="006E78CD" w:rsidRDefault="00000000">
      <w:pPr>
        <w:pStyle w:val="Heading2"/>
      </w:pPr>
      <w:r>
        <w:t>What Action Should Be Taken?</w:t>
      </w:r>
    </w:p>
    <w:p w14:paraId="4B9FDD7F" w14:textId="77777777" w:rsidR="006E78CD" w:rsidRDefault="00000000">
      <w:r>
        <w:t>Three actions: (1) Close the vaccination gap through targeted distribution programs. (2) Prepare healthcare systems seasonally, deploying boosters before winter and increasing hospital capacity during known peak months. (3) Standardize global data reporting so that the next pandemic starts with better information infrastructure.</w:t>
      </w:r>
    </w:p>
    <w:p w14:paraId="4F011DB6" w14:textId="77777777" w:rsidR="006E78CD" w:rsidRDefault="00000000">
      <w:r>
        <w:br w:type="page"/>
      </w:r>
    </w:p>
    <w:p w14:paraId="78DDC161" w14:textId="77777777" w:rsidR="006E78CD" w:rsidRDefault="00000000">
      <w:pPr>
        <w:pStyle w:val="Heading1"/>
      </w:pPr>
      <w:r>
        <w:lastRenderedPageBreak/>
        <w:t>10. Technical Implementation &amp; Deployment</w:t>
      </w:r>
    </w:p>
    <w:p w14:paraId="6E50A683" w14:textId="77777777" w:rsidR="006E78CD" w:rsidRDefault="00000000">
      <w:pPr>
        <w:pStyle w:val="Heading2"/>
      </w:pPr>
      <w:r>
        <w:t>10.1 File Structure</w:t>
      </w:r>
    </w:p>
    <w:p w14:paraId="2710EE98" w14:textId="77777777" w:rsidR="006E78CD" w:rsidRDefault="00000000">
      <w:pPr>
        <w:pStyle w:val="ListBullet"/>
      </w:pPr>
      <w:r>
        <w:t>app.py — Main Streamlit application</w:t>
      </w:r>
    </w:p>
    <w:p w14:paraId="4F9E1290" w14:textId="77777777" w:rsidR="006E78CD" w:rsidRDefault="00000000">
      <w:pPr>
        <w:pStyle w:val="ListBullet"/>
      </w:pPr>
      <w:r>
        <w:t>requirements.txt — Python dependencies (streamlit, pandas, plotly)</w:t>
      </w:r>
    </w:p>
    <w:p w14:paraId="7E3AF3E1" w14:textId="77777777" w:rsidR="006E78CD" w:rsidRDefault="00000000">
      <w:pPr>
        <w:pStyle w:val="ListBullet"/>
      </w:pPr>
      <w:r>
        <w:t>README.md — Setup and usage instructions</w:t>
      </w:r>
    </w:p>
    <w:p w14:paraId="36AAE936" w14:textId="77777777" w:rsidR="006E78CD" w:rsidRDefault="00000000">
      <w:pPr>
        <w:pStyle w:val="ListBullet"/>
      </w:pPr>
      <w:r>
        <w:t>data/owid-covid-codebook.csv — Variable definitions and metadata</w:t>
      </w:r>
    </w:p>
    <w:p w14:paraId="55C19ACD" w14:textId="77777777" w:rsidR="006E78CD" w:rsidRDefault="00000000">
      <w:pPr>
        <w:pStyle w:val="Heading2"/>
      </w:pPr>
      <w:r>
        <w:t>10.2 Deployment Steps</w:t>
      </w:r>
    </w:p>
    <w:p w14:paraId="7F5C90AC" w14:textId="77777777" w:rsidR="006E78CD" w:rsidRDefault="00000000">
      <w:r>
        <w:t>1. Extract Group2_COVID_Dashboard.zip and upload its contents to a GitHub repository.</w:t>
      </w:r>
    </w:p>
    <w:p w14:paraId="1D270D66" w14:textId="77777777" w:rsidR="006E78CD" w:rsidRDefault="00000000">
      <w:r>
        <w:t>2. Open https://share.streamlit.io, select 'New app', choose the repository, branch and app.py as the entry point.</w:t>
      </w:r>
    </w:p>
    <w:p w14:paraId="7E39BFB8" w14:textId="77777777" w:rsidR="006E78CD" w:rsidRDefault="00000000">
      <w:r>
        <w:t>3. Deploy; an internet connection is needed for the initial download of the OWID historical observation CSV.</w:t>
      </w:r>
    </w:p>
    <w:p w14:paraId="087CE27E" w14:textId="77777777" w:rsidR="006E78CD" w:rsidRDefault="00000000">
      <w:r>
        <w:t>4. Demonstrate: choose India, United States and Brazil; select 'Cumulative cases'; inspect the line chart; switch to 'Daily new deaths' and review the comparison tab.</w:t>
      </w:r>
    </w:p>
    <w:p w14:paraId="3A09BDF0" w14:textId="77777777" w:rsidR="006E78CD" w:rsidRDefault="00000000">
      <w:r>
        <w:t>5. Select 'Data dictionary' to demonstrate that the submitted codebook can be explored even without observation data.</w:t>
      </w:r>
    </w:p>
    <w:p w14:paraId="22C86293" w14:textId="77777777" w:rsidR="006E78CD" w:rsidRDefault="00000000">
      <w:pPr>
        <w:pStyle w:val="Heading1"/>
      </w:pPr>
      <w:r>
        <w:t>11. Interpretation &amp; Limitations</w:t>
      </w:r>
    </w:p>
    <w:p w14:paraId="7C7A78B1" w14:textId="77777777" w:rsidR="006E78CD" w:rsidRDefault="00000000">
      <w:pPr>
        <w:pStyle w:val="ListBullet"/>
      </w:pPr>
      <w:r>
        <w:t>Charts are descriptive and must not be used to infer that one policy caused a particular outcome.</w:t>
      </w:r>
    </w:p>
    <w:p w14:paraId="01750F99" w14:textId="77777777" w:rsidR="006E78CD" w:rsidRDefault="00000000">
      <w:pPr>
        <w:pStyle w:val="ListBullet"/>
      </w:pPr>
      <w:r>
        <w:t>Country-level reporting and testing coverage vary; some reporting is revised or missing.</w:t>
      </w:r>
    </w:p>
    <w:p w14:paraId="02E40646" w14:textId="77777777" w:rsidR="006E78CD" w:rsidRDefault="00000000">
      <w:pPr>
        <w:pStyle w:val="ListBullet"/>
      </w:pPr>
      <w:r>
        <w:t>Absolute totals are affected by population size; per-capita metrics are preferred for comparison.</w:t>
      </w:r>
    </w:p>
    <w:p w14:paraId="00D16CEC" w14:textId="77777777" w:rsidR="006E78CD" w:rsidRDefault="00000000">
      <w:pPr>
        <w:pStyle w:val="ListBullet"/>
      </w:pPr>
      <w:r>
        <w:t>The comparison chart uses each country's latest non-missing date, which may differ across countries.</w:t>
      </w:r>
    </w:p>
    <w:p w14:paraId="7D4C4F44" w14:textId="77777777" w:rsidR="006E78CD" w:rsidRDefault="00000000">
      <w:pPr>
        <w:pStyle w:val="ListBullet"/>
      </w:pPr>
      <w:r>
        <w:t>The OWID repository's historical dataset stopped updating on 19 August 2024; the dashboard is historical, not real-time.</w:t>
      </w:r>
    </w:p>
    <w:p w14:paraId="7389D7BC" w14:textId="77777777" w:rsidR="006E78CD" w:rsidRDefault="00000000">
      <w:pPr>
        <w:pStyle w:val="Heading1"/>
      </w:pPr>
      <w:r>
        <w:t>12. References</w:t>
      </w:r>
    </w:p>
    <w:p w14:paraId="0A26428F" w14:textId="77777777" w:rsidR="006E78CD" w:rsidRDefault="00000000">
      <w:pPr>
        <w:pStyle w:val="ListBullet"/>
      </w:pPr>
      <w:r>
        <w:t>Our World in Data — COVID-19 Dataset: https://github.com/owid/covid-19-data</w:t>
      </w:r>
    </w:p>
    <w:p w14:paraId="78D413C7" w14:textId="77777777" w:rsidR="006E78CD" w:rsidRDefault="00000000">
      <w:pPr>
        <w:pStyle w:val="ListBullet"/>
      </w:pPr>
      <w:r>
        <w:t>OWID Observations CSV: https://covid.ourworldindata.org/data/owid-covid-data.csv</w:t>
      </w:r>
    </w:p>
    <w:p w14:paraId="7B07C375" w14:textId="77777777" w:rsidR="006E78CD" w:rsidRDefault="00000000">
      <w:pPr>
        <w:pStyle w:val="ListBullet"/>
      </w:pPr>
      <w:r>
        <w:t>Streamlit Documentation: https://docs.streamlit.io</w:t>
      </w:r>
    </w:p>
    <w:p w14:paraId="73E25D9B" w14:textId="77777777" w:rsidR="006E78CD" w:rsidRDefault="00000000">
      <w:pPr>
        <w:pStyle w:val="ListBullet"/>
      </w:pPr>
      <w:r>
        <w:t>Plotly Express Documentation: https://plotly.com/python/plotly-express/</w:t>
      </w:r>
    </w:p>
    <w:p w14:paraId="647E0638" w14:textId="02F0F46D" w:rsidR="006E78CD" w:rsidRDefault="00000000" w:rsidP="00C004FB">
      <w:pPr>
        <w:pStyle w:val="ListBullet"/>
      </w:pPr>
      <w:r>
        <w:t>World Health Organization — COVID-19 Dashboard: https://covid19.who.int</w:t>
      </w:r>
    </w:p>
    <w:sectPr w:rsidR="006E78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389285">
    <w:abstractNumId w:val="8"/>
  </w:num>
  <w:num w:numId="2" w16cid:durableId="1170020484">
    <w:abstractNumId w:val="6"/>
  </w:num>
  <w:num w:numId="3" w16cid:durableId="1753046545">
    <w:abstractNumId w:val="5"/>
  </w:num>
  <w:num w:numId="4" w16cid:durableId="1070156582">
    <w:abstractNumId w:val="4"/>
  </w:num>
  <w:num w:numId="5" w16cid:durableId="1118724506">
    <w:abstractNumId w:val="7"/>
  </w:num>
  <w:num w:numId="6" w16cid:durableId="119225557">
    <w:abstractNumId w:val="3"/>
  </w:num>
  <w:num w:numId="7" w16cid:durableId="300892387">
    <w:abstractNumId w:val="2"/>
  </w:num>
  <w:num w:numId="8" w16cid:durableId="1056784202">
    <w:abstractNumId w:val="1"/>
  </w:num>
  <w:num w:numId="9" w16cid:durableId="785006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78CD"/>
    <w:rsid w:val="00AA1D8D"/>
    <w:rsid w:val="00AF7635"/>
    <w:rsid w:val="00B47730"/>
    <w:rsid w:val="00C004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931E4C-9C0D-4ADA-8EFD-47B5DE525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2500</Words>
  <Characters>14252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 GIRI</cp:lastModifiedBy>
  <cp:revision>2</cp:revision>
  <dcterms:created xsi:type="dcterms:W3CDTF">2013-12-23T23:15:00Z</dcterms:created>
  <dcterms:modified xsi:type="dcterms:W3CDTF">2026-10-14T07:22:00Z</dcterms:modified>
  <cp:category/>
</cp:coreProperties>
</file>