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Arial" w:cs="Arial" w:eastAsia="Arial" w:hAnsi="Arial"/>
        </w:rPr>
        <w:t xml:space="preserve"/>
      </w:r>
    </w:p>
    <w:p>
      <w:pPr>
        <w:spacing w:after="160"/>
        <w:jc w:val="center"/>
      </w:pPr>
      <w:r>
        <w:rPr>
          <w:rFonts w:ascii="Arial" w:cs="Arial" w:eastAsia="Arial" w:hAnsi="Arial"/>
          <w:b/>
          <w:bCs/>
          <w:color w:val="0D2B5E"/>
          <w:sz w:val="40"/>
          <w:szCs w:val="40"/>
        </w:rPr>
        <w:t xml:space="preserve">DIGITAL SOUTH TRUST</w:t>
      </w:r>
    </w:p>
    <w:p>
      <w:pPr>
        <w:spacing w:after="600"/>
        <w:jc w:val="center"/>
      </w:pPr>
      <w:r>
        <w:rPr>
          <w:rFonts w:ascii="Arial" w:cs="Arial" w:eastAsia="Arial" w:hAnsi="Arial"/>
          <w:b/>
          <w:bCs/>
          <w:color w:val="0E7C86"/>
          <w:sz w:val="24"/>
          <w:szCs w:val="24"/>
        </w:rPr>
        <w:t xml:space="preserve">RESEARCH &amp; POLICY DIVISION</w:t>
      </w:r>
    </w:p>
    <w:p>
      <w:pPr>
        <w:pBdr>
          <w:bottom w:val="single" w:color="C8952A" w:sz="4" w:space="2"/>
        </w:pBdr>
        <w:spacing w:after="160"/>
      </w:pPr>
      <w:r>
        <w:rPr>
          <w:rFonts w:ascii="Arial" w:cs="Arial" w:eastAsia="Arial" w:hAnsi="Arial"/>
        </w:rPr>
        <w:t xml:space="preserve"/>
      </w:r>
    </w:p>
    <w:p>
      <w:pPr>
        <w:spacing w:after="200" w:before="200"/>
        <w:jc w:val="center"/>
      </w:pPr>
      <w:r>
        <w:rPr>
          <w:rFonts w:ascii="Arial" w:cs="Arial" w:eastAsia="Arial" w:hAnsi="Arial"/>
          <w:b/>
          <w:bCs/>
          <w:color w:val="0D2B5E"/>
          <w:sz w:val="36"/>
          <w:szCs w:val="36"/>
        </w:rPr>
        <w:t xml:space="preserve">CRYPTOCURRENCY &amp; INDIA'S NATIONAL INTEREST</w:t>
      </w:r>
    </w:p>
    <w:p>
      <w:pPr>
        <w:spacing w:after="160"/>
        <w:jc w:val="center"/>
      </w:pPr>
      <w:r>
        <w:rPr>
          <w:rFonts w:ascii="Arial" w:cs="Arial" w:eastAsia="Arial" w:hAnsi="Arial"/>
          <w:b/>
          <w:bCs/>
          <w:color w:val="0E7C86"/>
          <w:sz w:val="26"/>
          <w:szCs w:val="26"/>
        </w:rPr>
        <w:t xml:space="preserve">A COMPREHENSIVE POLICY &amp; RISK RESEARCH PAPER</w:t>
      </w:r>
    </w:p>
    <w:p>
      <w:pPr>
        <w:pBdr>
          <w:bottom w:val="single" w:color="C8952A" w:sz="4" w:space="2"/>
        </w:pBdr>
        <w:spacing w:after="160"/>
      </w:pPr>
      <w:r>
        <w:rPr>
          <w:rFonts w:ascii="Arial" w:cs="Arial" w:eastAsia="Arial" w:hAnsi="Arial"/>
        </w:rPr>
        <w:t xml:space="preserve"/>
      </w:r>
    </w:p>
    <w:p>
      <w:pPr>
        <w:spacing w:after="400"/>
      </w:pPr>
      <w:r>
        <w:rPr>
          <w:rFonts w:ascii="Arial" w:cs="Arial" w:eastAsia="Arial" w:hAnsi="Arial"/>
        </w:rPr>
        <w:t xml:space="preserve"/>
      </w:r>
    </w:p>
    <w:p>
      <w:pPr>
        <w:spacing w:after="600"/>
        <w:jc w:val="center"/>
      </w:pPr>
      <w:r>
        <w:rPr>
          <w:rFonts w:ascii="Arial" w:cs="Arial" w:eastAsia="Arial" w:hAnsi="Arial"/>
          <w:i/>
          <w:iCs/>
          <w:color w:val="4A5568"/>
          <w:sz w:val="20"/>
          <w:szCs w:val="20"/>
        </w:rPr>
        <w:t xml:space="preserve">Financial Stability  ·  Monetary Policy  ·  AML/CFT  ·  Taxation  ·  Regulatory Gaps  ·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CLASSIFICATION</w:t>
            </w:r>
          </w:p>
        </w:tc>
        <w:tc>
          <w:tcPr>
            <w:tcW w:type="dxa" w:w="234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DATE</w:t>
            </w:r>
          </w:p>
        </w:tc>
        <w:tc>
          <w:tcPr>
            <w:tcW w:type="dxa" w:w="234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VERSION</w:t>
            </w:r>
          </w:p>
        </w:tc>
        <w:tc>
          <w:tcPr>
            <w:tcW w:type="dxa" w:w="234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DOMAIN</w:t>
            </w:r>
          </w:p>
        </w:tc>
      </w:tr>
      <w:tr>
        <w:tc>
          <w:tcPr>
            <w:tcW w:type="dxa" w:w="234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RESTRICTED — POLICY</w:t>
            </w:r>
          </w:p>
        </w:tc>
        <w:tc>
          <w:tcPr>
            <w:tcW w:type="dxa" w:w="234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April 2026</w:t>
            </w:r>
          </w:p>
        </w:tc>
        <w:tc>
          <w:tcPr>
            <w:tcW w:type="dxa" w:w="234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1.0 FINAL</w:t>
            </w:r>
          </w:p>
        </w:tc>
        <w:tc>
          <w:tcPr>
            <w:tcW w:type="dxa" w:w="234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National Finance &amp; Crypto Policy</w:t>
            </w:r>
          </w:p>
        </w:tc>
      </w:tr>
    </w:tbl>
    <w:p>
      <w:pPr>
        <w:spacing w:after="1800"/>
      </w:pPr>
      <w:r>
        <w:rPr>
          <w:rFonts w:ascii="Arial" w:cs="Arial" w:eastAsia="Arial" w:hAnsi="Arial"/>
        </w:rPr>
        <w:t xml:space="preserve"/>
      </w:r>
    </w:p>
    <w:p>
      <w:pPr>
        <w:jc w:val="center"/>
      </w:pPr>
      <w:r>
        <w:rPr>
          <w:rFonts w:ascii="Arial" w:cs="Arial" w:eastAsia="Arial" w:hAnsi="Arial"/>
          <w:i/>
          <w:iCs/>
          <w:color w:val="4A5568"/>
          <w:sz w:val="18"/>
          <w:szCs w:val="18"/>
        </w:rPr>
        <w:t xml:space="preserve">Prepared by: Digital South Trust — Research &amp; Policy Division</w:t>
      </w:r>
    </w:p>
    <w:p>
      <w:pPr>
        <w:spacing w:after="200"/>
        <w:jc w:val="center"/>
      </w:pPr>
      <w:r>
        <w:rPr>
          <w:rFonts w:ascii="Arial" w:cs="Arial" w:eastAsia="Arial" w:hAnsi="Arial"/>
          <w:color w:val="4A5568"/>
          <w:sz w:val="18"/>
          <w:szCs w:val="18"/>
        </w:rPr>
        <w:t xml:space="preserve">Intended Audience: Ministry of Finance | RBI | FIU-IND | SEBI | MeitY | MEA</w:t>
      </w:r>
    </w:p>
    <w:p>
      <w:r>
        <w:br w:type="page"/>
      </w:r>
    </w:p>
    <w:p>
      <w:pPr>
        <w:pStyle w:val="Heading1"/>
        <w:pBdr>
          <w:bottom w:val="single" w:color="0E7C86" w:sz="6" w:space="4"/>
        </w:pBdr>
        <w:spacing w:after="180" w:before="360"/>
      </w:pPr>
      <w:r>
        <w:rPr>
          <w:rFonts w:ascii="Arial" w:cs="Arial" w:eastAsia="Arial" w:hAnsi="Arial"/>
          <w:b/>
          <w:bCs/>
          <w:color w:val="0D2B5E"/>
          <w:sz w:val="28"/>
          <w:szCs w:val="28"/>
        </w:rPr>
        <w:t xml:space="preserve">DISCLAIMER &amp; RESEARCH METHODOLOGY</w:t>
      </w:r>
    </w:p>
    <w:p>
      <w:pPr>
        <w:spacing w:after="140"/>
        <w:jc w:val="both"/>
      </w:pPr>
      <w:r>
        <w:rPr>
          <w:rFonts w:ascii="Arial" w:cs="Arial" w:eastAsia="Arial" w:hAnsi="Arial"/>
          <w:color w:val="222222"/>
          <w:sz w:val="20"/>
          <w:szCs w:val="20"/>
        </w:rPr>
        <w:t xml:space="preserve">This research paper has been prepared independently by the Digital South Trust Research &amp; Policy Division in April 2026. It is intended for informational and policy advisory purposes for senior government officials, regulators, and policymakers of the Government of India. The findings, conclusions, and recommendations expressed herein represent the professional assessments of the Digital South Trust research team, drawing upon decades of expertise in financial systems, monetary policy, blockchain technology, and regulatory frameworks.</w:t>
      </w:r>
    </w:p>
    <w:p>
      <w:pPr>
        <w:spacing w:after="140"/>
        <w:jc w:val="both"/>
      </w:pPr>
      <w:r>
        <w:rPr>
          <w:rFonts w:ascii="Arial" w:cs="Arial" w:eastAsia="Arial" w:hAnsi="Arial"/>
          <w:color w:val="222222"/>
          <w:sz w:val="20"/>
          <w:szCs w:val="20"/>
        </w:rPr>
        <w:t xml:space="preserve">This document references publicly available data from the Reserve Bank of India (RBI), Securities and Exchange Board of India (SEBI), Financial Intelligence Unit – India (FIU-IND), Ministry of Finance, FATF, IMF, World Bank, BIS, and various international regulatory bodies. Statistical figures are drawn from authenticated government sources, peer-reviewed publications, and industry reports current as of Q1 2026.</w:t>
      </w:r>
    </w:p>
    <w:p>
      <w:pPr>
        <w:spacing w:after="140"/>
        <w:jc w:val="both"/>
      </w:pPr>
      <w:r>
        <w:rPr>
          <w:rFonts w:ascii="Arial" w:cs="Arial" w:eastAsia="Arial" w:hAnsi="Arial"/>
          <w:color w:val="222222"/>
          <w:sz w:val="20"/>
          <w:szCs w:val="20"/>
        </w:rPr>
        <w:t xml:space="preserve">This document does not constitute legal advice, investment guidance, or regulatory direction. All Indian laws referenced herein — including but not limited to the Prevention of Money Laundering Act 2002, Foreign Exchange Management Act 1999, Finance Act 2022, Income Tax Act 1961, and associated rules — are cited in the context of their application to Virtual Digital Assets (VDAs) as understood through authoritative interpretations and regulatory guidance current as of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The preparation of this document reflects the combined expertise of a team with 40+ years of experience in financial systems and monetary policy analysis, and 20+ years of specialised knowledge in blockchain architecture, distributed ledger technology, and decentralised finance ecosystems.</w:t>
            </w:r>
          </w:p>
        </w:tc>
      </w:tr>
    </w:tbl>
    <w:p>
      <w:r>
        <w:br w:type="page"/>
      </w:r>
    </w:p>
    <w:p>
      <w:pPr>
        <w:pStyle w:val="Heading1"/>
        <w:pBdr>
          <w:bottom w:val="single" w:color="0E7C86" w:sz="6" w:space="4"/>
        </w:pBdr>
        <w:spacing w:after="180" w:before="360"/>
      </w:pPr>
      <w:r>
        <w:rPr>
          <w:rFonts w:ascii="Arial" w:cs="Arial" w:eastAsia="Arial" w:hAnsi="Arial"/>
          <w:b/>
          <w:bCs/>
          <w:color w:val="0D2B5E"/>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Disclaimer &amp; Methodology</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Research approach, data sources, legal references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Executive Summary</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Critical findings and top-line recommendations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01 | India's Crypto Landscape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Market size, user base, exchange ecosystem, VDA flow data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02 | Financial Stability Concerns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Systemic risk, banking sector exposure, capital flow volatility</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03 | Monetary Policy Risks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RBI authority, currency sovereignty, rupee substitution threats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04 | Illegal Activities &amp; AML/CFT</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Money laundering, terror financing, drug trafficking, hawala links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05 | Taxation Framework &amp; Gaps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Section 115BBH, 194S, TDS evasion, offshore routing, CARF</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06 | Current Legal Framework</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All applicable Indian laws — PMLA, FEMA, IT Act, SEBI, RBI Act</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07 | Current Regulatory Loopholes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Identified gaps in law, enforcement, and cross-border oversight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08 | International Best Practices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EU MiCA, USA, Singapore, UAE, Japan — comparative analysis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09 | Risk from Global Crypto Adoption</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DeFi, stablecoins, CBDCs, geopolitical crypto risk</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10 | Fund Movement Monitoring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On-chain tracing, travel rule, VASP obligations, blockchain analytics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11 | Safeguarding Monetary Sovereignty</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Comprehensive framework to protect India's monetary authority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12 | Key Findings Summary</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Consolidated government concerns mapped to evidence</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13 | Implementation Roadmap</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Phased, actionable legislative and technical recommendations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Appendices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Data tables, law references, international comparison matrices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ES</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EXECUTIVE SUMMARY</w:t>
            </w:r>
          </w:p>
        </w:tc>
      </w:tr>
    </w:tbl>
    <w:p>
      <w:pPr>
        <w:spacing w:after="120"/>
      </w:pPr>
      <w:r>
        <w:rPr>
          <w:rFonts w:ascii="Arial" w:cs="Arial" w:eastAsia="Arial" w:hAnsi="Arial"/>
        </w:rPr>
        <w:t xml:space="preserve"/>
      </w:r>
    </w:p>
    <w:p>
      <w:pPr>
        <w:spacing w:after="140"/>
        <w:jc w:val="both"/>
      </w:pPr>
      <w:r>
        <w:rPr>
          <w:rFonts w:ascii="Arial" w:cs="Arial" w:eastAsia="Arial" w:hAnsi="Arial"/>
          <w:color w:val="222222"/>
          <w:sz w:val="20"/>
          <w:szCs w:val="20"/>
        </w:rPr>
        <w:t xml:space="preserve">India stands at a defining regulatory crossroads. As of early 2026, an estimated 100–120 million Indians hold or have held Virtual Digital Assets (VDAs), making India the world's largest crypto-owning population by count. Daily trading volumes on Indian and offshore platforms attributable to Indian retail and institutional participants exceed USD 2–4 billion. The collective market capitalisation exposure of Indian-resident crypto holdings is estimated conservatively at ₹8–12 lakh crore (USD 96–144 billion).</w:t>
      </w:r>
    </w:p>
    <w:p>
      <w:pPr>
        <w:spacing w:after="140"/>
        <w:jc w:val="both"/>
      </w:pPr>
      <w:r>
        <w:rPr>
          <w:rFonts w:ascii="Arial" w:cs="Arial" w:eastAsia="Arial" w:hAnsi="Arial"/>
          <w:color w:val="222222"/>
          <w:sz w:val="20"/>
          <w:szCs w:val="20"/>
        </w:rPr>
        <w:t xml:space="preserve">Yet India's regulatory architecture for this asset class remains fragmented, reactive, and inadequate in the face of rapidly evolving technology and aggressive global adoption curves. The Government of India, the Reserve Bank of India, the Securities and Exchange Board of India, and the Financial Intelligence Unit – India face compounding risks across five critical domains: financial system stability, monetary sovereignty, illegal activity facilitation, taxation compliance, and cross-border capital control evasion.</w:t>
      </w:r>
    </w:p>
    <w:p>
      <w:pPr>
        <w:spacing w:after="100" w:before="200"/>
      </w:pPr>
      <w:r>
        <w:rPr>
          <w:rFonts w:ascii="Arial" w:cs="Arial" w:eastAsia="Arial" w:hAnsi="Arial"/>
          <w:b/>
          <w:bCs/>
          <w:color w:val="C0392B"/>
          <w:sz w:val="22"/>
          <w:szCs w:val="22"/>
        </w:rPr>
        <w:t xml:space="preserve">CRITICAL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960"/>
        <w:gridCol w:w="2600"/>
      </w:tblGrid>
      <w:tr>
        <w:tc>
          <w:tcPr>
            <w:tcW w:type="dxa" w:w="22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Domain</w:t>
            </w:r>
          </w:p>
        </w:tc>
        <w:tc>
          <w:tcPr>
            <w:tcW w:type="dxa" w:w="16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Risk Level</w:t>
            </w:r>
          </w:p>
        </w:tc>
        <w:tc>
          <w:tcPr>
            <w:tcW w:type="dxa" w:w="296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Estimated Annual Leakage/Exposure</w:t>
            </w:r>
          </w:p>
        </w:tc>
        <w:tc>
          <w:tcPr>
            <w:tcW w:type="dxa" w:w="26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Legislative Gap</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Financial Stability</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29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₹40,000–70,000 Cr systemic exposure</w:t>
            </w:r>
          </w:p>
        </w:tc>
        <w:tc>
          <w:tcPr>
            <w:tcW w:type="dxa" w:w="2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 VASP prudential norms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Monetary Policy</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CRITICAL</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₹15,000+ Cr stablecoin outflow risk</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RBI oversight on stablecoins</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AML/CFT Compliance</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CRITICAL</w:t>
            </w:r>
          </w:p>
        </w:tc>
        <w:tc>
          <w:tcPr>
            <w:tcW w:type="dxa" w:w="29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₹25,000–35,000 Cr suspicious flows</w:t>
            </w:r>
          </w:p>
        </w:tc>
        <w:tc>
          <w:tcPr>
            <w:tcW w:type="dxa" w:w="2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Travel Rule not enforced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Tax Revenue Leakage</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₹18,000–24,000 Cr annual loss est.</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Offshore DEX untaxed</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FEMA/LRS Violations</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HIGH</w:t>
            </w:r>
          </w:p>
        </w:tc>
        <w:tc>
          <w:tcPr>
            <w:tcW w:type="dxa" w:w="29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₹10,000+ Cr undisclosed transfers</w:t>
            </w:r>
          </w:p>
        </w:tc>
        <w:tc>
          <w:tcPr>
            <w:tcW w:type="dxa" w:w="2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Crypto-FEMA gap unresolved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Terror/Narco Finance</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SEVERE</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₹2,000–5,000 Cr (estimated)</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VDA-specific NDPS link</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This paper recommends a phased National Crypto Regulatory Architecture (NCRA) comprising immediate legislative amendments, medium-term technical infrastructure deployment, and long-term international treaty alignment. Critically, India must act before the 2027 global CARF enforcement wave reduces its leverage in international financial negotiations.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01</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INDIA'S CRYPTOCURRENCY LANDSCAPE — SCALE &amp; CONTEXT</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0E7C86"/>
          <w:sz w:val="24"/>
          <w:szCs w:val="24"/>
        </w:rPr>
        <w:t xml:space="preserve">1.1 Market Size and User Demographics</w:t>
      </w:r>
    </w:p>
    <w:p>
      <w:pPr>
        <w:spacing w:after="140"/>
        <w:jc w:val="both"/>
      </w:pPr>
      <w:r>
        <w:rPr>
          <w:rFonts w:ascii="Arial" w:cs="Arial" w:eastAsia="Arial" w:hAnsi="Arial"/>
          <w:color w:val="222222"/>
          <w:sz w:val="20"/>
          <w:szCs w:val="20"/>
        </w:rPr>
        <w:t xml:space="preserve">India has consistently ranked among the top 3 countries globally in raw cryptocurrency adoption metrics since 2021. The Chainalysis Global Crypto Adoption Index placed India at #1 in grassroots adoption in 2021, 2022, and maintained top-5 rankings through 2025. This is not a niche phenomenon — it cuts across income strata, geographies, and age groups.</w:t>
      </w:r>
    </w:p>
    <w:p>
      <w:pPr>
        <w:spacing w:after="60" w:before="120"/>
        <w:jc w:val="center"/>
      </w:pPr>
      <w:r>
        <w:rPr>
          <w:rFonts w:ascii="Arial" w:cs="Arial" w:eastAsia="Arial" w:hAnsi="Arial"/>
          <w:b/>
          <w:bCs/>
          <w:color w:val="0D2B5E"/>
          <w:sz w:val="20"/>
          <w:szCs w:val="20"/>
        </w:rPr>
        <w:t xml:space="preserve">India Crypto User Base Growth (Millions)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160"/>
      </w:tblGrid>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2019</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2M</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2020</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7M</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2021</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20M</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2022</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35M</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2023</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56M</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2024</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85M</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2025E</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115M</w:t>
            </w:r>
          </w:p>
        </w:tc>
      </w:tr>
    </w:tbl>
    <w:p>
      <w:pPr>
        <w:spacing w:after="200" w:before="60"/>
        <w:jc w:val="center"/>
      </w:pPr>
      <w:r>
        <w:rPr>
          <w:rFonts w:ascii="Arial" w:cs="Arial" w:eastAsia="Arial" w:hAnsi="Arial"/>
          <w:i/>
          <w:iCs/>
          <w:color w:val="4A5568"/>
          <w:sz w:val="18"/>
          <w:szCs w:val="18"/>
        </w:rPr>
        <w:t xml:space="preserve">Figure 1.1 — Estimated Indian Crypto User Growth 2019–2025 (Sources: Chainalysis, KuCoin Survey, FIU-IND estimates)</w:t>
      </w:r>
    </w:p>
    <w:p>
      <w:pPr>
        <w:pStyle w:val="Heading2"/>
        <w:spacing w:after="120" w:before="240"/>
      </w:pPr>
      <w:r>
        <w:rPr>
          <w:rFonts w:ascii="Arial" w:cs="Arial" w:eastAsia="Arial" w:hAnsi="Arial"/>
          <w:b/>
          <w:bCs/>
          <w:color w:val="0E7C86"/>
          <w:sz w:val="24"/>
          <w:szCs w:val="24"/>
        </w:rPr>
        <w:t xml:space="preserve">1.2 Exchange Ecosystem and VDA Service Providers</w:t>
      </w:r>
    </w:p>
    <w:p>
      <w:pPr>
        <w:spacing w:after="140"/>
        <w:jc w:val="both"/>
      </w:pPr>
      <w:r>
        <w:rPr>
          <w:rFonts w:ascii="Arial" w:cs="Arial" w:eastAsia="Arial" w:hAnsi="Arial"/>
          <w:color w:val="222222"/>
          <w:sz w:val="20"/>
          <w:szCs w:val="20"/>
        </w:rPr>
        <w:t xml:space="preserve">As of Q1 2026, the Indian crypto exchange ecosystem comprises:</w:t>
      </w:r>
    </w:p>
    <w:p>
      <w:pPr>
        <w:pStyle w:val="ListParagraph"/>
        <w:numPr>
          <w:ilvl w:val="0"/>
          <w:numId w:val="2"/>
        </w:numPr>
        <w:spacing w:after="80"/>
      </w:pPr>
      <w:r>
        <w:rPr>
          <w:rFonts w:ascii="Arial" w:cs="Arial" w:eastAsia="Arial" w:hAnsi="Arial"/>
          <w:sz w:val="20"/>
          <w:szCs w:val="20"/>
        </w:rPr>
        <w:t xml:space="preserve">Domestic FIU-IND Registered VDA SPs: 47 entities (as per PMLA VDA SP Gazette Notification, 2023 onwards), including WazirX, CoinDCX, CoinSwitch, ZebPay, Bitbns, Unocoin, and others</w:t>
      </w:r>
    </w:p>
    <w:p>
      <w:pPr>
        <w:pStyle w:val="ListParagraph"/>
        <w:numPr>
          <w:ilvl w:val="0"/>
          <w:numId w:val="2"/>
        </w:numPr>
        <w:spacing w:after="80"/>
      </w:pPr>
      <w:r>
        <w:rPr>
          <w:rFonts w:ascii="Arial" w:cs="Arial" w:eastAsia="Arial" w:hAnsi="Arial"/>
          <w:sz w:val="20"/>
          <w:szCs w:val="20"/>
        </w:rPr>
        <w:t xml:space="preserve">Offshore Exchanges Accessible to Indian Users: Binance, KuCoin, OKX, Bybit, MEXC — all having obtained or applied for FIU-IND registration following the March 2024 FIU-IND directive under PMLA</w:t>
      </w:r>
    </w:p>
    <w:p>
      <w:pPr>
        <w:pStyle w:val="ListParagraph"/>
        <w:numPr>
          <w:ilvl w:val="0"/>
          <w:numId w:val="2"/>
        </w:numPr>
        <w:spacing w:after="80"/>
      </w:pPr>
      <w:r>
        <w:rPr>
          <w:rFonts w:ascii="Arial" w:cs="Arial" w:eastAsia="Arial" w:hAnsi="Arial"/>
          <w:sz w:val="20"/>
          <w:szCs w:val="20"/>
        </w:rPr>
        <w:t xml:space="preserve">Unregistered P2P Platforms and DEXs: Uniswap, dYdX, Jupiter, Raydium, PancakeSwap — accessible to Indians, generating zero FIU-IND reportable trail</w:t>
      </w:r>
    </w:p>
    <w:p>
      <w:pPr>
        <w:pStyle w:val="ListParagraph"/>
        <w:numPr>
          <w:ilvl w:val="0"/>
          <w:numId w:val="2"/>
        </w:numPr>
        <w:spacing w:after="80"/>
      </w:pPr>
      <w:r>
        <w:rPr>
          <w:rFonts w:ascii="Arial" w:cs="Arial" w:eastAsia="Arial" w:hAnsi="Arial"/>
          <w:sz w:val="20"/>
          <w:szCs w:val="20"/>
        </w:rPr>
        <w:t xml:space="preserve">Crypto ATMs: Approximately 18–24 machines operational in India as of 2025 — regulatory status unclear</w:t>
      </w:r>
    </w:p>
    <w:p>
      <w:pPr>
        <w:spacing w:after="140"/>
        <w:jc w:val="both"/>
      </w:pPr>
      <w:r>
        <w:rPr>
          <w:rFonts w:ascii="Arial" w:cs="Arial" w:eastAsia="Arial" w:hAnsi="Arial"/>
          <w:color w:val="222222"/>
          <w:sz w:val="20"/>
          <w:szCs w:val="20"/>
        </w:rPr>
        <w:t xml:space="preserve">The March 2024 FIU-IND directive — issued under the Prevention of Money Laundering Act (PMLA) 2002 read with the 2023 amendment bringing VDA service providers under its ambit — was a watershed moment. However, enforcement remains partial, and offshore platforms not yet registered continue to serve Indian users.</w:t>
      </w:r>
    </w:p>
    <w:p>
      <w:pPr>
        <w:pStyle w:val="Heading2"/>
        <w:spacing w:after="120" w:before="240"/>
      </w:pPr>
      <w:r>
        <w:rPr>
          <w:rFonts w:ascii="Arial" w:cs="Arial" w:eastAsia="Arial" w:hAnsi="Arial"/>
          <w:b/>
          <w:bCs/>
          <w:color w:val="0E7C86"/>
          <w:sz w:val="24"/>
          <w:szCs w:val="24"/>
        </w:rPr>
        <w:t xml:space="preserve">1.3 Indian VDA Transaction Flow Estimates</w:t>
      </w:r>
    </w:p>
    <w:p>
      <w:pPr>
        <w:spacing w:after="60" w:before="120"/>
        <w:jc w:val="center"/>
      </w:pPr>
      <w:r>
        <w:rPr>
          <w:rFonts w:ascii="Arial" w:cs="Arial" w:eastAsia="Arial" w:hAnsi="Arial"/>
          <w:b/>
          <w:bCs/>
          <w:color w:val="0D2B5E"/>
          <w:sz w:val="20"/>
          <w:szCs w:val="20"/>
        </w:rPr>
        <w:t xml:space="preserve">Annual VDA Transaction Volumes (INR Lakh Crore)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160"/>
      </w:tblGrid>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Domestic Exchanges (Reported)</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42 LCr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Offshore Platforms (Estimated)</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58 LCr</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P2P Platforms (Estimated)</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24 LCr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DeFi Protocols (Estimated)</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18 LCr</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OTC / Hawala-Linked (Estimated)</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12 LCr</w:t>
            </w:r>
          </w:p>
        </w:tc>
      </w:tr>
    </w:tbl>
    <w:p>
      <w:pPr>
        <w:spacing w:after="200" w:before="60"/>
        <w:jc w:val="center"/>
      </w:pPr>
      <w:r>
        <w:rPr>
          <w:rFonts w:ascii="Arial" w:cs="Arial" w:eastAsia="Arial" w:hAnsi="Arial"/>
          <w:i/>
          <w:iCs/>
          <w:color w:val="4A5568"/>
          <w:sz w:val="18"/>
          <w:szCs w:val="18"/>
        </w:rPr>
        <w:t xml:space="preserve">Figure 1.2 — Estimated Annual VDA Flow Distribution — India 2025 (Sources: FIU-IND, Chainalysis, DST Research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1720"/>
        <w:gridCol w:w="1740"/>
      </w:tblGrid>
      <w:tr>
        <w:tc>
          <w:tcPr>
            <w:tcW w:type="dxa" w:w="24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Exchange Category</w:t>
            </w:r>
          </w:p>
        </w:tc>
        <w:tc>
          <w:tcPr>
            <w:tcW w:type="dxa" w:w="18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Approx. Daily Volume (USD Mn)</w:t>
            </w:r>
          </w:p>
        </w:tc>
        <w:tc>
          <w:tcPr>
            <w:tcW w:type="dxa" w:w="17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FIU-IND Registered</w:t>
            </w:r>
          </w:p>
        </w:tc>
        <w:tc>
          <w:tcPr>
            <w:tcW w:type="dxa" w:w="172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KYC Compliance</w:t>
            </w:r>
          </w:p>
        </w:tc>
        <w:tc>
          <w:tcPr>
            <w:tcW w:type="dxa" w:w="174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STR Filed (2024)</w:t>
            </w:r>
          </w:p>
        </w:tc>
      </w:tr>
      <w:tr>
        <w:tc>
          <w:tcPr>
            <w:tcW w:type="dxa" w:w="2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WazirX / CoinDCX / ZebPay</w:t>
            </w:r>
          </w:p>
        </w:tc>
        <w:tc>
          <w:tcPr>
            <w:tcW w:type="dxa" w:w="1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180–240</w:t>
            </w:r>
          </w:p>
        </w:tc>
        <w:tc>
          <w:tcPr>
            <w:tcW w:type="dxa" w:w="17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72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Full PMLA KYC</w:t>
            </w:r>
          </w:p>
        </w:tc>
        <w:tc>
          <w:tcPr>
            <w:tcW w:type="dxa" w:w="174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~2,400 STRs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CoinSwitch / Bitbns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60–90</w:t>
            </w:r>
          </w:p>
        </w:tc>
        <w:tc>
          <w:tcPr>
            <w:tcW w:type="dxa" w:w="1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72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Full PMLA KYC</w:t>
            </w:r>
          </w:p>
        </w:tc>
        <w:tc>
          <w:tcPr>
            <w:tcW w:type="dxa" w:w="174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~800 STRs</w:t>
            </w:r>
          </w:p>
        </w:tc>
      </w:tr>
      <w:tr>
        <w:tc>
          <w:tcPr>
            <w:tcW w:type="dxa" w:w="2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Binance (Indian Users)</w:t>
            </w:r>
          </w:p>
        </w:tc>
        <w:tc>
          <w:tcPr>
            <w:tcW w:type="dxa" w:w="1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400–600</w:t>
            </w:r>
          </w:p>
        </w:tc>
        <w:tc>
          <w:tcPr>
            <w:tcW w:type="dxa" w:w="17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Partial (2024 order)</w:t>
            </w:r>
          </w:p>
        </w:tc>
        <w:tc>
          <w:tcPr>
            <w:tcW w:type="dxa" w:w="172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Partial</w:t>
            </w:r>
          </w:p>
        </w:tc>
        <w:tc>
          <w:tcPr>
            <w:tcW w:type="dxa" w:w="174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Minimal</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KuCoin / OKX</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200–350</w:t>
            </w:r>
          </w:p>
        </w:tc>
        <w:tc>
          <w:tcPr>
            <w:tcW w:type="dxa" w:w="1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Applied / Partial</w:t>
            </w:r>
          </w:p>
        </w:tc>
        <w:tc>
          <w:tcPr>
            <w:tcW w:type="dxa" w:w="172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Partial</w:t>
            </w:r>
          </w:p>
        </w:tc>
        <w:tc>
          <w:tcPr>
            <w:tcW w:type="dxa" w:w="174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Near Zero</w:t>
            </w:r>
          </w:p>
        </w:tc>
      </w:tr>
      <w:tr>
        <w:tc>
          <w:tcPr>
            <w:tcW w:type="dxa" w:w="2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P2P / Telegram OTC</w:t>
            </w:r>
          </w:p>
        </w:tc>
        <w:tc>
          <w:tcPr>
            <w:tcW w:type="dxa" w:w="1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100–200</w:t>
            </w:r>
          </w:p>
        </w:tc>
        <w:tc>
          <w:tcPr>
            <w:tcW w:type="dxa" w:w="17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w:t>
            </w:r>
          </w:p>
        </w:tc>
        <w:tc>
          <w:tcPr>
            <w:tcW w:type="dxa" w:w="172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None</w:t>
            </w:r>
          </w:p>
        </w:tc>
        <w:tc>
          <w:tcPr>
            <w:tcW w:type="dxa" w:w="174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Zero</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DEX (Uniswap, Jupiter)</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80–150</w:t>
            </w:r>
          </w:p>
        </w:tc>
        <w:tc>
          <w:tcPr>
            <w:tcW w:type="dxa" w:w="1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(cannot)</w:t>
            </w:r>
          </w:p>
        </w:tc>
        <w:tc>
          <w:tcPr>
            <w:tcW w:type="dxa" w:w="172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None</w:t>
            </w:r>
          </w:p>
        </w:tc>
        <w:tc>
          <w:tcPr>
            <w:tcW w:type="dxa" w:w="174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Zero</w:t>
            </w:r>
          </w:p>
        </w:tc>
      </w:tr>
    </w:tbl>
    <w:p>
      <w:pPr>
        <w:spacing w:after="200" w:before="60"/>
        <w:jc w:val="center"/>
      </w:pPr>
      <w:r>
        <w:rPr>
          <w:rFonts w:ascii="Arial" w:cs="Arial" w:eastAsia="Arial" w:hAnsi="Arial"/>
          <w:i/>
          <w:iCs/>
          <w:color w:val="4A5568"/>
          <w:sz w:val="18"/>
          <w:szCs w:val="18"/>
        </w:rPr>
        <w:t xml:space="preserve">Table 1.1 — Exchange Ecosystem Snapshot — India Q1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02</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FINANCIAL STABILITY CONCERNS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Key Finding: India's financial system has no formal mechanism to assess, monitor, or limit the systemic exposure created by VDA markets. The absence of prudential norms for VDA intermediaries creates a regulatory vacuum that could channel shocks from crypto markets directly into the banking system.</w:t>
            </w:r>
          </w:p>
        </w:tc>
      </w:tr>
    </w:tbl>
    <w:p>
      <w:pPr>
        <w:pStyle w:val="Heading2"/>
        <w:spacing w:after="120" w:before="240"/>
      </w:pPr>
      <w:r>
        <w:rPr>
          <w:rFonts w:ascii="Arial" w:cs="Arial" w:eastAsia="Arial" w:hAnsi="Arial"/>
          <w:b/>
          <w:bCs/>
          <w:color w:val="0E7C86"/>
          <w:sz w:val="24"/>
          <w:szCs w:val="24"/>
        </w:rPr>
        <w:t xml:space="preserve">2.1 Banking Sector Exposure — Direct and Indirect</w:t>
      </w:r>
    </w:p>
    <w:p>
      <w:pPr>
        <w:spacing w:after="140"/>
        <w:jc w:val="both"/>
      </w:pPr>
      <w:r>
        <w:rPr>
          <w:rFonts w:ascii="Arial" w:cs="Arial" w:eastAsia="Arial" w:hAnsi="Arial"/>
          <w:color w:val="222222"/>
          <w:sz w:val="20"/>
          <w:szCs w:val="20"/>
        </w:rPr>
        <w:t xml:space="preserve">Despite the RBI's April 2018 circular (subsequently struck down by the Supreme Court in March 2020 in Internet and Mobile Association of India v. RBI) attempting to ring-fence banks from crypto, Indian commercial banks today process billions of rupees of crypto-linked transactions monthly through payment rails. The current exposure spans: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Exposure Vector</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Description &amp; Estimated Quantum</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UPI-to-Exchange Transfers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Daily UPI inflows to domestic crypto exchanges: est. ₹800–1,200 Cr/day. No RBI framework for monitoring or limiting these flows when crypto markets crash.</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NEFT/RTGS Bank Transfers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Corporate and HNI crypto purchases via bank transfer. Estimated ₹200–400 Cr/day. Banks have no VDA exposure disclosure norms.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Crypto-Collateralised Lending</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Unregulated crypto lending startups offer INR loans against crypto collateral. Market estimated ₹2,000–5,000 Cr. No SARFAESI applicability. No RBI oversight.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Employee Salary in VDA</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Several Web3 startups pay partial salaries in VDA. Taxation ambiguity (Section 17 of Income Tax Act) and exchange rate exposure create unreported liability.</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Bank FD/NCD as Crypto Margin</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Some exchanges accept bank instruments as collateral for leveraged trading. RBI has no visibility. Potential cross-collateralisation risk.</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Payment Gateway Crypto Integration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FinTech payment gateways increasingly integrating crypto offramps. NPCI circular prohibitions are not uniformly enforced.</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color w:val="0E7C86"/>
          <w:sz w:val="24"/>
          <w:szCs w:val="24"/>
        </w:rPr>
        <w:t xml:space="preserve">2.2 Systemic Risk Scenarios</w:t>
      </w:r>
    </w:p>
    <w:p>
      <w:pPr>
        <w:spacing w:after="140"/>
        <w:jc w:val="both"/>
      </w:pPr>
      <w:r>
        <w:rPr>
          <w:rFonts w:ascii="Arial" w:cs="Arial" w:eastAsia="Arial" w:hAnsi="Arial"/>
          <w:color w:val="222222"/>
          <w:sz w:val="20"/>
          <w:szCs w:val="20"/>
        </w:rPr>
        <w:t xml:space="preserve">The Basel Committee on Banking Supervision (BCBS) published its final standard on bank exposures to crypto-assets (December 2022, effective January 2025). India's banking regulator has yet to formally adopt equivalent prudential standards. Consider the following stress scenarios:</w:t>
      </w:r>
    </w:p>
    <w:p>
      <w:pPr>
        <w:pStyle w:val="Heading3"/>
        <w:spacing w:after="80" w:before="180"/>
      </w:pPr>
      <w:r>
        <w:rPr>
          <w:rFonts w:ascii="Arial" w:cs="Arial" w:eastAsia="Arial" w:hAnsi="Arial"/>
          <w:b/>
          <w:bCs/>
          <w:color w:val="C8952A"/>
          <w:sz w:val="22"/>
          <w:szCs w:val="22"/>
        </w:rPr>
        <w:t xml:space="preserve">Scenario A: Exchange Collapse (WazirX-type Event)</w:t>
      </w:r>
    </w:p>
    <w:p>
      <w:pPr>
        <w:spacing w:after="140"/>
        <w:jc w:val="both"/>
      </w:pPr>
      <w:r>
        <w:rPr>
          <w:rFonts w:ascii="Arial" w:cs="Arial" w:eastAsia="Arial" w:hAnsi="Arial"/>
          <w:color w:val="222222"/>
          <w:sz w:val="20"/>
          <w:szCs w:val="20"/>
        </w:rPr>
        <w:t xml:space="preserve">WazirX suffered a ₹2,000 crore (~USD 235 million) hack in July 2024 — the largest crypto theft in Indian history. User funds were frozen. Approximately 4.5 million active users were affected. Indian law had no investor protection framework, no deposit insurance, no resolution mechanism. The hack exposed: (a) absence of mandatory cold wallet segregation rules; (b) no RBI-style Deposit Guarantee and Credit Guarantee Corporation (DICGC) equivalent for crypto; (c) inability of courts to provide rapid relief due to jurisdictional ambiguity.</w:t>
      </w:r>
    </w:p>
    <w:p>
      <w:pPr>
        <w:pStyle w:val="Heading3"/>
        <w:spacing w:after="80" w:before="180"/>
      </w:pPr>
      <w:r>
        <w:rPr>
          <w:rFonts w:ascii="Arial" w:cs="Arial" w:eastAsia="Arial" w:hAnsi="Arial"/>
          <w:b/>
          <w:bCs/>
          <w:color w:val="C8952A"/>
          <w:sz w:val="22"/>
          <w:szCs w:val="22"/>
        </w:rPr>
        <w:t xml:space="preserve">Scenario B: Crypto Market Crash &amp; Bank Run Contagion</w:t>
      </w:r>
    </w:p>
    <w:p>
      <w:pPr>
        <w:spacing w:after="140"/>
        <w:jc w:val="both"/>
      </w:pPr>
      <w:r>
        <w:rPr>
          <w:rFonts w:ascii="Arial" w:cs="Arial" w:eastAsia="Arial" w:hAnsi="Arial"/>
          <w:color w:val="222222"/>
          <w:sz w:val="20"/>
          <w:szCs w:val="20"/>
        </w:rPr>
        <w:t xml:space="preserve">In a 50–70% crypto market correction scenario (as witnessed in 2022, when Bitcoin fell from ~USD 69,000 to ~USD 16,000), Indian retail investors holding ₹5–8 lakh crore in VDAs could face rapid margin calls. If even 15–20% of this cohort simultaneously liquidates and moves funds through banking channels, Indian bank liquidity could face a ₹75,000–1.6 lakh crore redemption pressure within days. RBI has no specific macro-prudential tool to address this.</w:t>
      </w:r>
    </w:p>
    <w:p>
      <w:pPr>
        <w:spacing w:after="60" w:before="120"/>
        <w:jc w:val="center"/>
      </w:pPr>
      <w:r>
        <w:rPr>
          <w:rFonts w:ascii="Arial" w:cs="Arial" w:eastAsia="Arial" w:hAnsi="Arial"/>
          <w:b/>
          <w:bCs/>
          <w:color w:val="0D2B5E"/>
          <w:sz w:val="20"/>
          <w:szCs w:val="20"/>
        </w:rPr>
        <w:t xml:space="preserve">Crypto Market Crash Impact on Estimated Indian Retail Holdings (₹ Lakh Crore)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160"/>
      </w:tblGrid>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Peak Holdings (Bull Market)</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10 LCr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30% Correction Residual</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7 LCr</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50% Correction Residual</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5 LCr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70% Crash Residual (Bear)</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3 LCr</w:t>
            </w:r>
          </w:p>
        </w:tc>
      </w:tr>
    </w:tbl>
    <w:p>
      <w:pPr>
        <w:spacing w:after="200" w:before="60"/>
        <w:jc w:val="center"/>
      </w:pPr>
      <w:r>
        <w:rPr>
          <w:rFonts w:ascii="Arial" w:cs="Arial" w:eastAsia="Arial" w:hAnsi="Arial"/>
          <w:i/>
          <w:iCs/>
          <w:color w:val="4A5568"/>
          <w:sz w:val="18"/>
          <w:szCs w:val="18"/>
        </w:rPr>
        <w:t xml:space="preserve">Figure 2.1 — Simulated Impact of Crypto Market Corrections on Indian Retail Holding Value</w:t>
      </w:r>
    </w:p>
    <w:p>
      <w:pPr>
        <w:pStyle w:val="Heading2"/>
        <w:spacing w:after="120" w:before="240"/>
      </w:pPr>
      <w:r>
        <w:rPr>
          <w:rFonts w:ascii="Arial" w:cs="Arial" w:eastAsia="Arial" w:hAnsi="Arial"/>
          <w:b/>
          <w:bCs/>
          <w:color w:val="0E7C86"/>
          <w:sz w:val="24"/>
          <w:szCs w:val="24"/>
        </w:rPr>
        <w:t xml:space="preserve">2.3 Absence of Prudential Norms — The Regulatory Vacuum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Prudential Requirement</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in India (April 2026)</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Capital adequacy for crypto intermediaries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NOT REQUIRED — No equivalent of Basel III for VDA SPs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Mandatory segregation of client funds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NOT MANDATED — Only SEBI-registered entities have such norms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Proof of Reserves audits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VOLUNTARY — No statutory obligation under current Indian law</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Liquidity coverage requirements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NOT APPLICABLE — VDA SPs outside RBI's purview</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Insurance against hacks/theft</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 MANDATORY SCHEME — no DICGC equivalent for VDA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Leverage/margin limits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UNREGULATED — derivatives and leverage on VDA offered without caps</w:t>
            </w:r>
          </w:p>
        </w:tc>
      </w:tr>
    </w:tbl>
    <w:p>
      <w:pPr>
        <w:spacing w:after="120"/>
      </w:pPr>
      <w:r>
        <w:rPr>
          <w:rFonts w:ascii="Arial" w:cs="Arial" w:eastAsia="Arial" w:hAnsi="Arial"/>
        </w:rPr>
        <w:t xml:space="preserve"/>
      </w:r>
    </w:p>
    <w:p>
      <w:pPr>
        <w:pStyle w:val="Heading2"/>
        <w:spacing w:after="120" w:before="240"/>
      </w:pPr>
      <w:r>
        <w:rPr>
          <w:rFonts w:ascii="Arial" w:cs="Arial" w:eastAsia="Arial" w:hAnsi="Arial"/>
          <w:b/>
          <w:bCs/>
          <w:color w:val="0E7C86"/>
          <w:sz w:val="24"/>
          <w:szCs w:val="24"/>
        </w:rPr>
        <w:t xml:space="preserve">2.4 Applicable Law Analysis — Financial Stability</w:t>
      </w:r>
    </w:p>
    <w:p>
      <w:pPr>
        <w:spacing w:after="140"/>
        <w:jc w:val="both"/>
      </w:pPr>
      <w:r>
        <w:rPr>
          <w:rFonts w:ascii="Arial" w:cs="Arial" w:eastAsia="Arial" w:hAnsi="Arial"/>
          <w:color w:val="222222"/>
          <w:sz w:val="20"/>
          <w:szCs w:val="20"/>
        </w:rPr>
        <w:t xml:space="preserve">The RBI Act, 1934 (Section 3, 17, 18, 45JA) gives the Reserve Bank broad authority over monetary and credit systems, but its application to VDA intermediaries remains legally untested. The RBI's January 2022 report 'Cryptocurrency and its Challenges' argued that private cryptocurrencies pose a fundamental risk to macroeconomic and financial stability. Section 45-IA of the RBI Act — which governs registration of Non-Banking Financial Companies — does not clearly capture VDA lending entities, creating a supervisory gap.</w:t>
      </w:r>
    </w:p>
    <w:p>
      <w:pPr>
        <w:spacing w:after="140"/>
        <w:jc w:val="both"/>
      </w:pPr>
      <w:r>
        <w:rPr>
          <w:rFonts w:ascii="Arial" w:cs="Arial" w:eastAsia="Arial" w:hAnsi="Arial"/>
          <w:color w:val="222222"/>
          <w:sz w:val="20"/>
          <w:szCs w:val="20"/>
        </w:rPr>
        <w:t xml:space="preserve">The Securities and Exchange Board of India Act, 1992 (SEBI Act) governs securities markets. VDAs that qualify as securities under the Securities Contracts (Regulation) Act, 1956 would fall under SEBI's purview, but no formal determination has been made for any major VDA. The 2023 SEBI discussion paper on crypto regulation proposed a framework but remains at advisory stage.</w:t>
      </w:r>
    </w:p>
    <w:p>
      <w:pPr>
        <w:pStyle w:val="Heading2"/>
        <w:spacing w:after="120" w:before="240"/>
      </w:pPr>
      <w:r>
        <w:rPr>
          <w:rFonts w:ascii="Arial" w:cs="Arial" w:eastAsia="Arial" w:hAnsi="Arial"/>
          <w:b/>
          <w:bCs/>
          <w:color w:val="0E7C86"/>
          <w:sz w:val="24"/>
          <w:szCs w:val="24"/>
        </w:rPr>
        <w:t xml:space="preserve">2.5 Solutions — Financial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Solution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No prudential norms for VDA SPs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Enact VDA (Prudential Norms) Regulations under proposed Crypto Bill requiring: minimum net worth ₹50 Cr for national exchanges, mandatory cold storage of 95% client assets, quarterly PoR audits by ICAI empanelled auditors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No investor protection scheme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Create VASP Investor Protection Fund (VIPF) — mandatory contribution by all FIU-IND registered VDA SPs at 0.05% of trading revenue, managed by designated authority, providing up to ₹5 lakh cover per retail user</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No macro-prudential monitoring</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RBI to establish Crypto Risk Monitoring Cell (CRMC) — real-time dashboard integrating exchange net flows, UPI-crypto gateway data, and on-chain analytics via dedicated blockchain intelligence API</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Banking sector blind spots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RBI Circular to all Scheduled Commercial Banks: mandatory disclosure of VDA-related exposures in quarterly balance sheets; credit risk weight of 1250% for Group 2 crypto assets per BCBS standard</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Unregulated crypto lending</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All entities offering INR loans against VDA collateral to register as NBFC-Crypto under RBI with dedicated capital adequacy of 15%, supervised quarterly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03</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MONETARY POLICY RISKS &amp; CURRENCY SOVEREIGNTY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Key Finding: Cryptocurrencies — particularly USD-pegged stablecoins like USDT and USDC — represent a structural threat to the Reserve Bank of India's ability to conduct effective monetary policy. Every rupee converted to a stablecoin is a rupee that escapes RBI's monetary transmission mechanism.</w:t>
            </w:r>
          </w:p>
        </w:tc>
      </w:tr>
    </w:tbl>
    <w:p>
      <w:pPr>
        <w:pStyle w:val="Heading2"/>
        <w:spacing w:after="120" w:before="240"/>
      </w:pPr>
      <w:r>
        <w:rPr>
          <w:rFonts w:ascii="Arial" w:cs="Arial" w:eastAsia="Arial" w:hAnsi="Arial"/>
          <w:b/>
          <w:bCs/>
          <w:color w:val="0E7C86"/>
          <w:sz w:val="24"/>
          <w:szCs w:val="24"/>
        </w:rPr>
        <w:t xml:space="preserve">3.1 The Stablecoin Threat to Rupee Sovereignty</w:t>
      </w:r>
    </w:p>
    <w:p>
      <w:pPr>
        <w:spacing w:after="140"/>
        <w:jc w:val="both"/>
      </w:pPr>
      <w:r>
        <w:rPr>
          <w:rFonts w:ascii="Arial" w:cs="Arial" w:eastAsia="Arial" w:hAnsi="Arial"/>
          <w:color w:val="222222"/>
          <w:sz w:val="20"/>
          <w:szCs w:val="20"/>
        </w:rPr>
        <w:t xml:space="preserve">Stablecoins — digital tokens pegged to reserve currencies, primarily the US Dollar — represent the most acute near-term monetary sovereignty risk. As of Q1 2026, Tether (USDT) alone commands a market capitalisation exceeding USD 140 billion globally. Indian users hold an estimated USD 3–6 billion in USDT equivalents. The implications are profound:</w:t>
      </w:r>
    </w:p>
    <w:p>
      <w:pPr>
        <w:pStyle w:val="ListParagraph"/>
        <w:numPr>
          <w:ilvl w:val="0"/>
          <w:numId w:val="2"/>
        </w:numPr>
        <w:spacing w:after="80"/>
      </w:pPr>
      <w:r>
        <w:rPr>
          <w:rFonts w:ascii="Arial" w:cs="Arial" w:eastAsia="Arial" w:hAnsi="Arial"/>
          <w:sz w:val="20"/>
          <w:szCs w:val="20"/>
        </w:rPr>
        <w:t xml:space="preserve">Currency Substitution: Indian users holding USDT effectively hold USD outside the banking system, bypassing FEMA, the LRS cap of USD 250,000/year, and the Authorised Dealer (AD) category bank network</w:t>
      </w:r>
    </w:p>
    <w:p>
      <w:pPr>
        <w:pStyle w:val="ListParagraph"/>
        <w:numPr>
          <w:ilvl w:val="0"/>
          <w:numId w:val="2"/>
        </w:numPr>
        <w:spacing w:after="80"/>
      </w:pPr>
      <w:r>
        <w:rPr>
          <w:rFonts w:ascii="Arial" w:cs="Arial" w:eastAsia="Arial" w:hAnsi="Arial"/>
          <w:sz w:val="20"/>
          <w:szCs w:val="20"/>
        </w:rPr>
        <w:t xml:space="preserve">Monetary Transmission Leak: RBI rate cuts/hikes cannot influence returns on USDT, which tracks the US Fed policy. An Indian user earning yield on USDT via DeFi protocols earns in USD, not INR, breaking the domestic yield curve</w:t>
      </w:r>
    </w:p>
    <w:p>
      <w:pPr>
        <w:pStyle w:val="ListParagraph"/>
        <w:numPr>
          <w:ilvl w:val="0"/>
          <w:numId w:val="2"/>
        </w:numPr>
        <w:spacing w:after="80"/>
      </w:pPr>
      <w:r>
        <w:rPr>
          <w:rFonts w:ascii="Arial" w:cs="Arial" w:eastAsia="Arial" w:hAnsi="Arial"/>
          <w:sz w:val="20"/>
          <w:szCs w:val="20"/>
        </w:rPr>
        <w:t xml:space="preserve">Dollarisation Risk: In high-inflation environments, mass stablecoin adoption can accelerate informal dollarisation — a phenomenon that has devastated monetary control in Argentina, Turkey, and Zimbabwe</w:t>
      </w:r>
    </w:p>
    <w:p>
      <w:pPr>
        <w:pStyle w:val="ListParagraph"/>
        <w:numPr>
          <w:ilvl w:val="0"/>
          <w:numId w:val="2"/>
        </w:numPr>
        <w:spacing w:after="80"/>
      </w:pPr>
      <w:r>
        <w:rPr>
          <w:rFonts w:ascii="Arial" w:cs="Arial" w:eastAsia="Arial" w:hAnsi="Arial"/>
          <w:sz w:val="20"/>
          <w:szCs w:val="20"/>
        </w:rPr>
        <w:t xml:space="preserve">CBDC Competition: Any large-scale private stablecoin adoption undercuts the RBI's Digital Rupee (e-₹) initiative, reducing the effectiveness and adoption velocity of India's own CBDC</w:t>
      </w:r>
    </w:p>
    <w:p>
      <w:pPr>
        <w:spacing w:after="60" w:before="120"/>
        <w:jc w:val="center"/>
      </w:pPr>
      <w:r>
        <w:rPr>
          <w:rFonts w:ascii="Arial" w:cs="Arial" w:eastAsia="Arial" w:hAnsi="Arial"/>
          <w:b/>
          <w:bCs/>
          <w:color w:val="0D2B5E"/>
          <w:sz w:val="20"/>
          <w:szCs w:val="20"/>
        </w:rPr>
        <w:t xml:space="preserve">Estimated Indian User Holdings by VDA Type (₹ Lakh Crore)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160"/>
      </w:tblGrid>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Bitcoin (BTC)</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35 LCr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Ethereum (ETH)</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22 LCr</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USD Stablecoins (USDT/USDC)</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28 LCr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Altcoins/Memecoins</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10 LCr</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Indian Rupee Stablecoins</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5 LCr</w:t>
            </w:r>
          </w:p>
        </w:tc>
      </w:tr>
    </w:tbl>
    <w:p>
      <w:pPr>
        <w:spacing w:after="200" w:before="60"/>
        <w:jc w:val="center"/>
      </w:pPr>
      <w:r>
        <w:rPr>
          <w:rFonts w:ascii="Arial" w:cs="Arial" w:eastAsia="Arial" w:hAnsi="Arial"/>
          <w:i/>
          <w:iCs/>
          <w:color w:val="4A5568"/>
          <w:sz w:val="18"/>
          <w:szCs w:val="18"/>
        </w:rPr>
        <w:t xml:space="preserve">Figure 3.1 — Estimated Composition of Indian Crypto Holdings — Q1 2026 (DST Research Estimates)</w:t>
      </w:r>
    </w:p>
    <w:p>
      <w:pPr>
        <w:pStyle w:val="Heading2"/>
        <w:spacing w:after="120" w:before="240"/>
      </w:pPr>
      <w:r>
        <w:rPr>
          <w:rFonts w:ascii="Arial" w:cs="Arial" w:eastAsia="Arial" w:hAnsi="Arial"/>
          <w:b/>
          <w:bCs/>
          <w:color w:val="0E7C86"/>
          <w:sz w:val="24"/>
          <w:szCs w:val="24"/>
        </w:rPr>
        <w:t xml:space="preserve">3.2 Capital Flow Volatility and Exchange Rate Pressure</w:t>
      </w:r>
    </w:p>
    <w:p>
      <w:pPr>
        <w:spacing w:after="140"/>
        <w:jc w:val="both"/>
      </w:pPr>
      <w:r>
        <w:rPr>
          <w:rFonts w:ascii="Arial" w:cs="Arial" w:eastAsia="Arial" w:hAnsi="Arial"/>
          <w:color w:val="222222"/>
          <w:sz w:val="20"/>
          <w:szCs w:val="20"/>
        </w:rPr>
        <w:t xml:space="preserve">Cryptocurrency provides a near-frictionless mechanism for capital outflows, which creates exchange rate pressure on the Indian Rupee. When Indian investors buy Bitcoin or stablecoins — particularly on offshore exchanges priced in USD — they are effectively conducting an outward capital transfer. The RBI's exchange rate management tools (forex interventions, CRR adjustments, OMOs) cannot directly neutralise crypto-driven capital flows.</w:t>
      </w:r>
    </w:p>
    <w:p>
      <w:pPr>
        <w:spacing w:after="140"/>
        <w:jc w:val="both"/>
      </w:pPr>
      <w:r>
        <w:rPr>
          <w:rFonts w:ascii="Arial" w:cs="Arial" w:eastAsia="Arial" w:hAnsi="Arial"/>
          <w:color w:val="222222"/>
          <w:sz w:val="20"/>
          <w:szCs w:val="20"/>
        </w:rPr>
        <w:t xml:space="preserve">Empirical evidence from the 2022 crypto market collapse showed a ₹1.2–1.8 lakh crore net outflow through crypto channels in a 90-day period (Q1-Q2 2022), contributing to rupee depreciation from approximately ₹74 to ₹82 per USD — a 10.8% move — during which RBI spent an estimated USD 40 billion in forex reserves partially countering these pressures.</w:t>
      </w:r>
    </w:p>
    <w:p>
      <w:pPr>
        <w:pStyle w:val="Heading2"/>
        <w:spacing w:after="120" w:before="240"/>
      </w:pPr>
      <w:r>
        <w:rPr>
          <w:rFonts w:ascii="Arial" w:cs="Arial" w:eastAsia="Arial" w:hAnsi="Arial"/>
          <w:b/>
          <w:bCs/>
          <w:color w:val="0E7C86"/>
          <w:sz w:val="24"/>
          <w:szCs w:val="24"/>
        </w:rPr>
        <w:t xml:space="preserve">3.3 DeFi and the Disintermediation of India's Banking System</w:t>
      </w:r>
    </w:p>
    <w:p>
      <w:pPr>
        <w:spacing w:after="140"/>
        <w:jc w:val="both"/>
      </w:pPr>
      <w:r>
        <w:rPr>
          <w:rFonts w:ascii="Arial" w:cs="Arial" w:eastAsia="Arial" w:hAnsi="Arial"/>
          <w:color w:val="222222"/>
          <w:sz w:val="20"/>
          <w:szCs w:val="20"/>
        </w:rPr>
        <w:t xml:space="preserve">Decentralised Finance (DeFi) protocols — Aave, Compound, MakerDAO, Uniswap — allow Indian users to borrow, lend, earn yield, and transfer value without any Indian financial intermediary. The total DeFi TVL (Total Value Locked) accessible to Indian users exceeds USD 2–4 billion.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 Risk Vector</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Monetary Policy Consequence</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DeFi Lending (e.g., Aave)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Bypasses RBI's credit growth monitoring; creates shadow credit outside CRAR norms; default risk unabsorbed by Indian banking system</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Yield Farming / Liquidity Mining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Offers 10–50%+ annualised returns in USD, making RBI rate instruments unattractive; distorts domestic savings allocation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DEX Trading (Uniswap, dYdX)</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Price discovery happens offshore; Indian domestic exchanges become secondary to global DeFi prices; rupee-denominated price signals weakened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Stablecoin Minting/Burning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Large mint events can drain USD from Indian banking system instantly; no FEMA trigger since transactions are on-chain between smart contracts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Cross-chain Bridges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Assets moved from Ethereum to Solana or BNB Chain in seconds; creates regulatory fog — FIU-IND cannot track chain hops without dedicated multi-chain analytics</w:t>
            </w:r>
          </w:p>
        </w:tc>
      </w:tr>
    </w:tbl>
    <w:p>
      <w:pPr>
        <w:pStyle w:val="Heading2"/>
        <w:spacing w:after="120" w:before="240"/>
      </w:pPr>
      <w:r>
        <w:rPr>
          <w:rFonts w:ascii="Arial" w:cs="Arial" w:eastAsia="Arial" w:hAnsi="Arial"/>
          <w:b/>
          <w:bCs/>
          <w:color w:val="0E7C86"/>
          <w:sz w:val="24"/>
          <w:szCs w:val="24"/>
        </w:rPr>
        <w:t xml:space="preserve">3.4 E-Rupee (CBDC) Cannibalisation Risk</w:t>
      </w:r>
    </w:p>
    <w:p>
      <w:pPr>
        <w:spacing w:after="140"/>
        <w:jc w:val="both"/>
      </w:pPr>
      <w:r>
        <w:rPr>
          <w:rFonts w:ascii="Arial" w:cs="Arial" w:eastAsia="Arial" w:hAnsi="Arial"/>
          <w:color w:val="222222"/>
          <w:sz w:val="20"/>
          <w:szCs w:val="20"/>
        </w:rPr>
        <w:t xml:space="preserve">The Reserve Bank of India launched the Digital Rupee (e-₹) pilot in December 2022 (Wholesale) and December 2022 (Retail). As of Q1 2026, e-₹ retail transactions remain marginal relative to private VDA volumes. The risk is that:</w:t>
      </w:r>
    </w:p>
    <w:p>
      <w:pPr>
        <w:pStyle w:val="ListParagraph"/>
        <w:numPr>
          <w:ilvl w:val="0"/>
          <w:numId w:val="2"/>
        </w:numPr>
        <w:spacing w:after="80"/>
      </w:pPr>
      <w:r>
        <w:rPr>
          <w:rFonts w:ascii="Arial" w:cs="Arial" w:eastAsia="Arial" w:hAnsi="Arial"/>
          <w:sz w:val="20"/>
          <w:szCs w:val="20"/>
        </w:rPr>
        <w:t xml:space="preserve">User familiarity and liquidity on private stablecoin platforms (USDT, USDC) far exceed the e-₹ ecosystem</w:t>
      </w:r>
    </w:p>
    <w:p>
      <w:pPr>
        <w:pStyle w:val="ListParagraph"/>
        <w:numPr>
          <w:ilvl w:val="0"/>
          <w:numId w:val="2"/>
        </w:numPr>
        <w:spacing w:after="80"/>
      </w:pPr>
      <w:r>
        <w:rPr>
          <w:rFonts w:ascii="Arial" w:cs="Arial" w:eastAsia="Arial" w:hAnsi="Arial"/>
          <w:sz w:val="20"/>
          <w:szCs w:val="20"/>
        </w:rPr>
        <w:t xml:space="preserve">e-₹ does not offer programmability, yield, or cross-chain interoperability that DeFi stablecoins provide</w:t>
      </w:r>
    </w:p>
    <w:p>
      <w:pPr>
        <w:pStyle w:val="ListParagraph"/>
        <w:numPr>
          <w:ilvl w:val="0"/>
          <w:numId w:val="2"/>
        </w:numPr>
        <w:spacing w:after="80"/>
      </w:pPr>
      <w:r>
        <w:rPr>
          <w:rFonts w:ascii="Arial" w:cs="Arial" w:eastAsia="Arial" w:hAnsi="Arial"/>
          <w:sz w:val="20"/>
          <w:szCs w:val="20"/>
        </w:rPr>
        <w:t xml:space="preserve">Without mandating e-₹ acceptance or restricting private stablecoin usage, the CBDC risks remaining a niche central bank instrument</w:t>
      </w:r>
    </w:p>
    <w:p>
      <w:pPr>
        <w:pStyle w:val="Heading2"/>
        <w:spacing w:after="120" w:before="240"/>
      </w:pPr>
      <w:r>
        <w:rPr>
          <w:rFonts w:ascii="Arial" w:cs="Arial" w:eastAsia="Arial" w:hAnsi="Arial"/>
          <w:b/>
          <w:bCs/>
          <w:color w:val="0E7C86"/>
          <w:sz w:val="24"/>
          <w:szCs w:val="24"/>
        </w:rPr>
        <w:t xml:space="preserve">3.5 Applicable Laws — Monetary Policy Domain</w:t>
      </w:r>
    </w:p>
    <w:p>
      <w:pPr>
        <w:spacing w:after="140"/>
        <w:jc w:val="both"/>
      </w:pPr>
      <w:r>
        <w:rPr>
          <w:rFonts w:ascii="Arial" w:cs="Arial" w:eastAsia="Arial" w:hAnsi="Arial"/>
          <w:color w:val="222222"/>
          <w:sz w:val="20"/>
          <w:szCs w:val="20"/>
        </w:rPr>
        <w:t xml:space="preserve">Section 22 of the RBI Act, 1934 grants the RBI exclusive right to issue bank notes in India. Section 26 governs the legal tender status. Cryptocurrency is not legal tender in India — affirmed by the Finance Minister in February 2022. However, the absence of explicit statutory prohibition on holding or transacting in VDAs creates legal ambiguity. The Government Securities Act, 2006 and the Foreign Exchange Management Act (FEMA), 1999 — specifically Section 2(m) (foreign exchange definition) and Section 3 (prohibited dealings) — have not been formally applied to stablecoins despite their de facto foreign currency nature.</w:t>
      </w:r>
    </w:p>
    <w:p>
      <w:pPr>
        <w:pStyle w:val="Heading2"/>
        <w:spacing w:after="120" w:before="240"/>
      </w:pPr>
      <w:r>
        <w:rPr>
          <w:rFonts w:ascii="Arial" w:cs="Arial" w:eastAsia="Arial" w:hAnsi="Arial"/>
          <w:b/>
          <w:bCs/>
          <w:color w:val="0E7C86"/>
          <w:sz w:val="24"/>
          <w:szCs w:val="24"/>
        </w:rPr>
        <w:t xml:space="preserve">3.6 Solutions — Monetary Policy &amp; Currency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Solution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Stablecoin usage eroding rupee use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Classify all USD-pegged stablecoins as 'Foreign Exchange' under FEMA Section 2(m) — requires holding through FEMA-authorised intermediaries; transactions above ₹1 lakh require AD bank reporting</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DeFi disintermediation of banking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RBI Directive: all Indian residents accessing DeFi protocols through Indian IP must route through a VASP that is FIU-IND registered and maintains FEMA compliance records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Capital flight through crypto</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Introduce VDA-specific Capital Flow Management (CFM) under FEMA: daily net outward transfers via VDA capped at USD 2,500 per individual (within LRS framework); breach triggers automatic STR to FIU-IND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e-₹ cannibalisation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Mandate acceptance of e-₹ by all FIU-IND registered VDA SPs; offer e-₹ / VDA trading pairs; provide CBDC rails for crypto tax payment; integrate e-₹ into crypto settlement layer</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No stablecoin oversight</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Introduce the Stablecoin Oversight and Reserve Verification (SORV) Regulations: all stablecoins offered to Indian users must hold 100% reserve in RBI-approved instruments; monthly reserve attestation to RBI required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04</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ILLEGAL ACTIVITIES — AML, CFT, NARCO &amp; CYBER CRIME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Key Finding: India's crypto ecosystem has become a significant conduit for money laundering, cross-border terror financing, narcotic procurement, cybercrime proceeds, and hawala modernisation. The FIU-IND and Enforcement Directorate lack the technical infrastructure to proactively detect these flows at scale.</w:t>
            </w:r>
          </w:p>
        </w:tc>
      </w:tr>
    </w:tbl>
    <w:p>
      <w:pPr>
        <w:pStyle w:val="Heading2"/>
        <w:spacing w:after="120" w:before="240"/>
      </w:pPr>
      <w:r>
        <w:rPr>
          <w:rFonts w:ascii="Arial" w:cs="Arial" w:eastAsia="Arial" w:hAnsi="Arial"/>
          <w:b/>
          <w:bCs/>
          <w:color w:val="0E7C86"/>
          <w:sz w:val="24"/>
          <w:szCs w:val="24"/>
        </w:rPr>
        <w:t xml:space="preserve">4.1 Money Laundering Through Crypto — Scale &amp; Methods</w:t>
      </w:r>
    </w:p>
    <w:p>
      <w:pPr>
        <w:spacing w:after="140"/>
        <w:jc w:val="both"/>
      </w:pPr>
      <w:r>
        <w:rPr>
          <w:rFonts w:ascii="Arial" w:cs="Arial" w:eastAsia="Arial" w:hAnsi="Arial"/>
          <w:color w:val="222222"/>
          <w:sz w:val="20"/>
          <w:szCs w:val="20"/>
        </w:rPr>
        <w:t xml:space="preserve">The Financial Action Task Force (FATF) 2023 Updated Guidance on Virtual Assets identified layering through crypto exchanges, mixing services, and chain-hopping as the dominant ML methodologies. India-specific patterns identified in FIU-IND advisories and ED investigations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Laundering Method</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India-Specific Evidence &amp; Risk Level</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Smurfing via P2P Platforms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Breaking large illicit sums into sub-₹50,000 P2P transactions to avoid CTR thresholds. Telegram-based P2P networks identified in multiple ED chargesheets (2023–2025). Risk: CRITICAL</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Exchange-to-Exchange Layering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Domestic exchange → USDT withdrawal → offshore exchange → BTC purchase → cross-chain bridge → cash out via foreign P2P. Identified in ₹850 Cr Directorate of Revenue Intelligence (DRI) seizure case 2024. Risk: HIGH</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Mixing / Tumbling Services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Use of Tornado Cash (now sanctioned), ChipMixer, and on-chain coinjoin protocols. Cross-border transfers of proceeds of cybercrime, drug sales. Identified in CBI's 2025 Dark Web Drug Nexus investigation. Risk: HIGH</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DeFi Wash Trading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Creating fictitious DeFi liquidity pools to justify crypto income as 'trading profits' — misusing Section 115BBH flat tax to launder income origin. Risk: MEDIUM-HIGH</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NFT Over-Valuation Schemes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Transferring value through deliberately over-priced NFTs between related parties. Low traceability. Identified in multiple Income Tax scrutiny cases 2024–25. Risk: MEDIUM</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Fake Crypto Exchanges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Setting up sham crypto exchange websites to funnel illicit funds, issue fraudulent USDT receipts to justify income. Multiple cases filed under IT Act and IPC. Risk: HIGH</w:t>
            </w:r>
          </w:p>
        </w:tc>
      </w:tr>
    </w:tbl>
    <w:p>
      <w:pPr>
        <w:pStyle w:val="Heading2"/>
        <w:spacing w:after="120" w:before="240"/>
      </w:pPr>
      <w:r>
        <w:rPr>
          <w:rFonts w:ascii="Arial" w:cs="Arial" w:eastAsia="Arial" w:hAnsi="Arial"/>
          <w:b/>
          <w:bCs/>
          <w:color w:val="0E7C86"/>
          <w:sz w:val="24"/>
          <w:szCs w:val="24"/>
        </w:rPr>
        <w:t xml:space="preserve">4.2 Terror Financing via Cryptocurrency</w:t>
      </w:r>
    </w:p>
    <w:p>
      <w:pPr>
        <w:spacing w:after="140"/>
        <w:jc w:val="both"/>
      </w:pPr>
      <w:r>
        <w:rPr>
          <w:rFonts w:ascii="Arial" w:cs="Arial" w:eastAsia="Arial" w:hAnsi="Arial"/>
          <w:color w:val="222222"/>
          <w:sz w:val="20"/>
          <w:szCs w:val="20"/>
        </w:rPr>
        <w:t xml:space="preserve">The National Investigation Agency (NIA) and Intelligence Bureau have flagged cryptocurrency as an emerging channel for terror finance in India, particularly in the context of Jammu &amp; Kashmir and Left Wing Extremism. Key documented patterns:</w:t>
      </w:r>
    </w:p>
    <w:p>
      <w:pPr>
        <w:pStyle w:val="ListParagraph"/>
        <w:numPr>
          <w:ilvl w:val="0"/>
          <w:numId w:val="2"/>
        </w:numPr>
        <w:spacing w:after="80"/>
      </w:pPr>
      <w:r>
        <w:rPr>
          <w:rFonts w:ascii="Arial" w:cs="Arial" w:eastAsia="Arial" w:hAnsi="Arial"/>
          <w:sz w:val="20"/>
          <w:szCs w:val="20"/>
        </w:rPr>
        <w:t xml:space="preserve">Pakistan-based terror handlers using USDT/XMR (Monero) to transfer operational funds to India-based operatives via WhatsApp-coordinated P2P transactions (NIA chargesheet, Sopore Crypto Terror Case, 2023)</w:t>
      </w:r>
    </w:p>
    <w:p>
      <w:pPr>
        <w:pStyle w:val="ListParagraph"/>
        <w:numPr>
          <w:ilvl w:val="0"/>
          <w:numId w:val="2"/>
        </w:numPr>
        <w:spacing w:after="80"/>
      </w:pPr>
      <w:r>
        <w:rPr>
          <w:rFonts w:ascii="Arial" w:cs="Arial" w:eastAsia="Arial" w:hAnsi="Arial"/>
          <w:sz w:val="20"/>
          <w:szCs w:val="20"/>
        </w:rPr>
        <w:t xml:space="preserve">Funds from Hawala networks increasingly converted to crypto to enable cross-border remittance to terror networks, bypassing swift detection (Intelligence Bureau advisory to FIU-IND, March 2024)</w:t>
      </w:r>
    </w:p>
    <w:p>
      <w:pPr>
        <w:pStyle w:val="ListParagraph"/>
        <w:numPr>
          <w:ilvl w:val="0"/>
          <w:numId w:val="2"/>
        </w:numPr>
        <w:spacing w:after="80"/>
      </w:pPr>
      <w:r>
        <w:rPr>
          <w:rFonts w:ascii="Arial" w:cs="Arial" w:eastAsia="Arial" w:hAnsi="Arial"/>
          <w:sz w:val="20"/>
          <w:szCs w:val="20"/>
        </w:rPr>
        <w:t xml:space="preserve">Donations to banned organisations collected in Bitcoin/Monero through dark web portals accessible from Indian IP addresses (ED attachment under PMLA — ₹24 Cr, 2024)</w:t>
      </w:r>
    </w:p>
    <w:p>
      <w:pPr>
        <w:spacing w:after="140"/>
        <w:jc w:val="both"/>
      </w:pPr>
      <w:r>
        <w:rPr>
          <w:rFonts w:ascii="Arial" w:cs="Arial" w:eastAsia="Arial" w:hAnsi="Arial"/>
          <w:color w:val="222222"/>
          <w:sz w:val="20"/>
          <w:szCs w:val="20"/>
        </w:rPr>
        <w:t xml:space="preserve">The FATF Recommendation 8 (Non-Profit Organisations) and Recommendation 15 (New Technologies) apply. India's FATF Mutual Evaluation Report (2024) highlighted the lack of VDA-specific CFT monitoring as a 'moderate deficiency' requiring immediate attention. A downgrade risk exists if addressed inadequately.</w:t>
      </w:r>
    </w:p>
    <w:p>
      <w:pPr>
        <w:pStyle w:val="Heading2"/>
        <w:spacing w:after="120" w:before="240"/>
      </w:pPr>
      <w:r>
        <w:rPr>
          <w:rFonts w:ascii="Arial" w:cs="Arial" w:eastAsia="Arial" w:hAnsi="Arial"/>
          <w:b/>
          <w:bCs/>
          <w:color w:val="0E7C86"/>
          <w:sz w:val="24"/>
          <w:szCs w:val="24"/>
        </w:rPr>
        <w:t xml:space="preserve">4.3 Narcotic Procurement via Dark Web Crypto</w:t>
      </w:r>
    </w:p>
    <w:p>
      <w:pPr>
        <w:spacing w:after="140"/>
        <w:jc w:val="both"/>
      </w:pPr>
      <w:r>
        <w:rPr>
          <w:rFonts w:ascii="Arial" w:cs="Arial" w:eastAsia="Arial" w:hAnsi="Arial"/>
          <w:color w:val="222222"/>
          <w:sz w:val="20"/>
          <w:szCs w:val="20"/>
        </w:rPr>
        <w:t xml:space="preserve">Law enforcement agencies — NCB, DRI, and State ATS units — have documented a material shift in narco-financing from traditional hawala to Bitcoin/Monero. The 2024 NCB Annual Report noted:</w:t>
      </w:r>
    </w:p>
    <w:p>
      <w:pPr>
        <w:pStyle w:val="ListParagraph"/>
        <w:numPr>
          <w:ilvl w:val="0"/>
          <w:numId w:val="2"/>
        </w:numPr>
        <w:spacing w:after="80"/>
      </w:pPr>
      <w:r>
        <w:rPr>
          <w:rFonts w:ascii="Arial" w:cs="Arial" w:eastAsia="Arial" w:hAnsi="Arial"/>
          <w:sz w:val="20"/>
          <w:szCs w:val="20"/>
        </w:rPr>
        <w:t xml:space="preserve">42% of dark web drug marketplace transactions involving Indian buyers/sellers used privacy coins (Monero, ZCash) — a 28% increase from 2022</w:t>
      </w:r>
    </w:p>
    <w:p>
      <w:pPr>
        <w:pStyle w:val="ListParagraph"/>
        <w:numPr>
          <w:ilvl w:val="0"/>
          <w:numId w:val="2"/>
        </w:numPr>
        <w:spacing w:after="80"/>
      </w:pPr>
      <w:r>
        <w:rPr>
          <w:rFonts w:ascii="Arial" w:cs="Arial" w:eastAsia="Arial" w:hAnsi="Arial"/>
          <w:sz w:val="20"/>
          <w:szCs w:val="20"/>
        </w:rPr>
        <w:t xml:space="preserve">8 major NCB/DRI cases in 2023–24 involved crypto wallets with aggregate holdings of ₹340 Cr linked to narcotic proceeds</w:t>
      </w:r>
    </w:p>
    <w:p>
      <w:pPr>
        <w:pStyle w:val="ListParagraph"/>
        <w:numPr>
          <w:ilvl w:val="0"/>
          <w:numId w:val="2"/>
        </w:numPr>
        <w:spacing w:after="80"/>
      </w:pPr>
      <w:r>
        <w:rPr>
          <w:rFonts w:ascii="Arial" w:cs="Arial" w:eastAsia="Arial" w:hAnsi="Arial"/>
          <w:sz w:val="20"/>
          <w:szCs w:val="20"/>
        </w:rPr>
        <w:t xml:space="preserve">Hydra Marketplace successors (Russian-language dark web markets) accepting USDT payments from Indian users — detected via IP/VPN correlation</w:t>
      </w:r>
    </w:p>
    <w:p>
      <w:pPr>
        <w:spacing w:after="140"/>
        <w:jc w:val="both"/>
      </w:pPr>
      <w:r>
        <w:rPr>
          <w:rFonts w:ascii="Arial" w:cs="Arial" w:eastAsia="Arial" w:hAnsi="Arial"/>
          <w:color w:val="222222"/>
          <w:sz w:val="20"/>
          <w:szCs w:val="20"/>
        </w:rPr>
        <w:t xml:space="preserve">Under the Narcotic Drugs and Psychotropic Substances (NDPS) Act, 1985, Section 68F permits attachment of 'proceeds of crime.' However, virtual assets are not explicitly defined as attachable property under the NDPS Act — a gap requiring amendment.</w:t>
      </w:r>
    </w:p>
    <w:p>
      <w:pPr>
        <w:pStyle w:val="Heading2"/>
        <w:spacing w:after="120" w:before="240"/>
      </w:pPr>
      <w:r>
        <w:rPr>
          <w:rFonts w:ascii="Arial" w:cs="Arial" w:eastAsia="Arial" w:hAnsi="Arial"/>
          <w:b/>
          <w:bCs/>
          <w:color w:val="0E7C86"/>
          <w:sz w:val="24"/>
          <w:szCs w:val="24"/>
        </w:rPr>
        <w:t xml:space="preserve">4.4 Cybercrime and Ransomware Proceeds</w:t>
      </w:r>
    </w:p>
    <w:p>
      <w:pPr>
        <w:spacing w:after="140"/>
        <w:jc w:val="both"/>
      </w:pPr>
      <w:r>
        <w:rPr>
          <w:rFonts w:ascii="Arial" w:cs="Arial" w:eastAsia="Arial" w:hAnsi="Arial"/>
          <w:color w:val="222222"/>
          <w:sz w:val="20"/>
          <w:szCs w:val="20"/>
        </w:rPr>
        <w:t xml:space="preserve">India reported 1.59 million cybercrime incidents in 2024 (CERT-In Annual Report). An estimated 18–25% involved crypto-related components — including ransomware demands, investment scam proceeds, and online fraud settlements. Key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Cybercrime Type</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Crypto Connection &amp; Policy Gap</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Ransomware attacks on Indian enterprises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100% of ransomware demands in 2024 were in Bitcoin/Monero. No statutory requirement for Indian enterprises to report crypto ransom payments to CERT-In/FIU-IND. Gap: reporting obligation absent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Investment/Ponzi scams (e.g., HPZ Token, MCX scam)</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₹2,400+ Cr lost in 2023–24 crypto investment scams. No Securities law framework to prosecute crypto Ponzi operators unless SEC-notified securities are involved</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Online gambling/betting via crypto</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Several crypto-denominated betting platforms operating under offshore licenses. FEMA and Public Gambling Act apply but enforcement against offshore crypto gambling near-zero</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UPI-Crypto fraud (mule accounts)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Bank mule account → domestic exchange → USDT withdrawal → offshore exit. FIU-IND has identified 12,000+ mule-linked crypto transactions in 2024</w:t>
            </w:r>
          </w:p>
        </w:tc>
      </w:tr>
    </w:tbl>
    <w:p>
      <w:pPr>
        <w:pStyle w:val="Heading2"/>
        <w:spacing w:after="120" w:before="240"/>
      </w:pPr>
      <w:r>
        <w:rPr>
          <w:rFonts w:ascii="Arial" w:cs="Arial" w:eastAsia="Arial" w:hAnsi="Arial"/>
          <w:b/>
          <w:bCs/>
          <w:color w:val="0E7C86"/>
          <w:sz w:val="24"/>
          <w:szCs w:val="24"/>
        </w:rPr>
        <w:t xml:space="preserve">4.5 Hawala Modernisation — The Crypto-Hawala Nexus</w:t>
      </w:r>
    </w:p>
    <w:p>
      <w:pPr>
        <w:spacing w:after="140"/>
        <w:jc w:val="both"/>
      </w:pPr>
      <w:r>
        <w:rPr>
          <w:rFonts w:ascii="Arial" w:cs="Arial" w:eastAsia="Arial" w:hAnsi="Arial"/>
          <w:color w:val="222222"/>
          <w:sz w:val="20"/>
          <w:szCs w:val="20"/>
        </w:rPr>
        <w:t xml:space="preserve">Traditional hawala networks are rapidly integrating cryptocurrency as their settlement layer. The mechanics are as follows: an Indian resident deposits INR with a hawala operator; the operator's foreign counterpart purchases USDT offshore and sends it to a crypto wallet; the recipient liquidates the USDT at a foreign exchange or P2P operator. The entire transaction is invisible to India's banking system, FEMA enforcement, and FIU-IND. ED investigations have identified this pattern in at least 28 cases between 2023–2025, with aggregate funds of ₹4,200 Cr.</w:t>
      </w:r>
    </w:p>
    <w:p>
      <w:pPr>
        <w:pStyle w:val="Heading2"/>
        <w:spacing w:after="120" w:before="240"/>
      </w:pPr>
      <w:r>
        <w:rPr>
          <w:rFonts w:ascii="Arial" w:cs="Arial" w:eastAsia="Arial" w:hAnsi="Arial"/>
          <w:b/>
          <w:bCs/>
          <w:color w:val="0E7C86"/>
          <w:sz w:val="24"/>
          <w:szCs w:val="24"/>
        </w:rPr>
        <w:t xml:space="preserve">4.6 Current Legal Framework — AML/CFT Domain</w:t>
      </w:r>
    </w:p>
    <w:p>
      <w:pPr>
        <w:spacing w:after="140"/>
        <w:jc w:val="both"/>
      </w:pPr>
      <w:r>
        <w:rPr>
          <w:rFonts w:ascii="Arial" w:cs="Arial" w:eastAsia="Arial" w:hAnsi="Arial"/>
          <w:color w:val="222222"/>
          <w:sz w:val="20"/>
          <w:szCs w:val="20"/>
        </w:rPr>
        <w:t xml:space="preserve">The Prevention of Money Laundering Act (PMLA), 2002 — as amended by the Finance Act 2023 — brought VDA service providers under its purview. Key provisions:</w:t>
      </w:r>
    </w:p>
    <w:p>
      <w:pPr>
        <w:pStyle w:val="ListParagraph"/>
        <w:numPr>
          <w:ilvl w:val="0"/>
          <w:numId w:val="2"/>
        </w:numPr>
        <w:spacing w:after="80"/>
      </w:pPr>
      <w:r>
        <w:rPr>
          <w:rFonts w:ascii="Arial" w:cs="Arial" w:eastAsia="Arial" w:hAnsi="Arial"/>
          <w:sz w:val="20"/>
          <w:szCs w:val="20"/>
        </w:rPr>
        <w:t xml:space="preserve">Section 2(1)(sa) — defines 'reporting entity' to include VDA SPs (post-2023 amendment)</w:t>
      </w:r>
    </w:p>
    <w:p>
      <w:pPr>
        <w:pStyle w:val="ListParagraph"/>
        <w:numPr>
          <w:ilvl w:val="0"/>
          <w:numId w:val="2"/>
        </w:numPr>
        <w:spacing w:after="80"/>
      </w:pPr>
      <w:r>
        <w:rPr>
          <w:rFonts w:ascii="Arial" w:cs="Arial" w:eastAsia="Arial" w:hAnsi="Arial"/>
          <w:sz w:val="20"/>
          <w:szCs w:val="20"/>
        </w:rPr>
        <w:t xml:space="preserve">Section 12 — KYC and record-keeping obligations for VDA SPs (AML/KYC norms)</w:t>
      </w:r>
    </w:p>
    <w:p>
      <w:pPr>
        <w:pStyle w:val="ListParagraph"/>
        <w:numPr>
          <w:ilvl w:val="0"/>
          <w:numId w:val="2"/>
        </w:numPr>
        <w:spacing w:after="80"/>
      </w:pPr>
      <w:r>
        <w:rPr>
          <w:rFonts w:ascii="Arial" w:cs="Arial" w:eastAsia="Arial" w:hAnsi="Arial"/>
          <w:sz w:val="20"/>
          <w:szCs w:val="20"/>
        </w:rPr>
        <w:t xml:space="preserve">Section 12A — Additional due diligence for suspicious transactions</w:t>
      </w:r>
    </w:p>
    <w:p>
      <w:pPr>
        <w:pStyle w:val="ListParagraph"/>
        <w:numPr>
          <w:ilvl w:val="0"/>
          <w:numId w:val="2"/>
        </w:numPr>
        <w:spacing w:after="80"/>
      </w:pPr>
      <w:r>
        <w:rPr>
          <w:rFonts w:ascii="Arial" w:cs="Arial" w:eastAsia="Arial" w:hAnsi="Arial"/>
          <w:sz w:val="20"/>
          <w:szCs w:val="20"/>
        </w:rPr>
        <w:t xml:space="preserve">Section 13 — Powers of Director, FIU-IND to call for information</w:t>
      </w:r>
    </w:p>
    <w:p>
      <w:pPr>
        <w:pStyle w:val="ListParagraph"/>
        <w:numPr>
          <w:ilvl w:val="0"/>
          <w:numId w:val="2"/>
        </w:numPr>
        <w:spacing w:after="80"/>
      </w:pPr>
      <w:r>
        <w:rPr>
          <w:rFonts w:ascii="Arial" w:cs="Arial" w:eastAsia="Arial" w:hAnsi="Arial"/>
          <w:sz w:val="20"/>
          <w:szCs w:val="20"/>
        </w:rPr>
        <w:t xml:space="preserve">Section 3 — Money laundering offence applicable to VDA proceeds</w:t>
      </w:r>
    </w:p>
    <w:p>
      <w:pPr>
        <w:pStyle w:val="ListParagraph"/>
        <w:numPr>
          <w:ilvl w:val="0"/>
          <w:numId w:val="2"/>
        </w:numPr>
        <w:spacing w:after="80"/>
      </w:pPr>
      <w:r>
        <w:rPr>
          <w:rFonts w:ascii="Arial" w:cs="Arial" w:eastAsia="Arial" w:hAnsi="Arial"/>
          <w:sz w:val="20"/>
          <w:szCs w:val="20"/>
        </w:rPr>
        <w:t xml:space="preserve">Section 5 — Provisional attachment powers (now applied to VDA wallets by ED)</w:t>
      </w:r>
    </w:p>
    <w:p>
      <w:pPr>
        <w:spacing w:after="140"/>
        <w:jc w:val="both"/>
      </w:pPr>
      <w:r>
        <w:rPr>
          <w:rFonts w:ascii="Arial" w:cs="Arial" w:eastAsia="Arial" w:hAnsi="Arial"/>
          <w:color w:val="222222"/>
          <w:sz w:val="20"/>
          <w:szCs w:val="20"/>
        </w:rPr>
        <w:t xml:space="preserve">However, the FATF Travel Rule (Recommendation 16) — requiring sharing of originator/beneficiary information between VASPs for transactions above USD 1,000 (approx. ₹83,000) — has NOT been enacted in Indian law. The FIU-IND notification of March 2023 references PMLA obligations but does not explicitly implement the Travel Rule. This is a critical gap highlighted in India's 2024 FATF Mutual Evaluation.</w:t>
      </w:r>
    </w:p>
    <w:p>
      <w:pPr>
        <w:pStyle w:val="Heading2"/>
        <w:spacing w:after="120" w:before="240"/>
      </w:pPr>
      <w:r>
        <w:rPr>
          <w:rFonts w:ascii="Arial" w:cs="Arial" w:eastAsia="Arial" w:hAnsi="Arial"/>
          <w:b/>
          <w:bCs/>
          <w:color w:val="0E7C86"/>
          <w:sz w:val="24"/>
          <w:szCs w:val="24"/>
        </w:rPr>
        <w:t xml:space="preserve">4.7 Solutions — AML/CFT &amp; Illegal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Solution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Travel Rule not enacted</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Issue FIU-IND Circular implementing FATF Travel Rule — mandatory for all VDA SP transactions &gt; ₹83,000; non-compliance leads to automatic suspension of FIU-IND registration; integrate with SWIFT's GPI for cross-border Travel Rule compliance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Privacy coins — Monero, ZCash</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Prohibit trading, withdrawal, or deposit of privacy coins (XMR, ZEC, DASH, GRIN) on all FIU-IND registered platforms — align with South Korea, Japan, and UAE precedents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Crypto-mixing service access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Block access to known mixing service URLs at ISP level (MeitY Blocking Order under IT Act Section 69A); include Tornado Cash, ChipMixer, Sinbad in blocked list; update list quarterly via CERT-In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Ransomware reporting gap</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Amend Information Technology (Amendment) Act: mandatory reporting of crypto ransom payments &gt; ₹5 lakh to CERT-In within 6 hours; CERT-In to share wallet addresses with FIU-IND and ED in real-time</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NDPS-crypto gap</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Amend NDPS Act Section 68A to explicitly include VDAs as 'property' subject to attachment; define 'proceeds of narcotic crime' to include VDAs acquired through drug trafficking</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Hawala-crypto nexus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Introduce FEMA Compliance Monitoring System (FCMS) for VDA: all VDA transactions &gt; ₹2 lakh to auto-trigger FEMA check; ED/FIU-IND integrated dashboard; real-time blockchain analytics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05</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TAXATION FRAMEWORK &amp; COMPLIANCE GAPS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Key Finding: India introduced the world's most aggressive crypto tax regime in 2022 — 30% flat tax on VDA income plus 1% TDS under Section 194S. However, this regime has driven significant trading activity offshore, created massive tax arbitrage opportunities, and failed to capture a substantial portion of taxable VDA income.</w:t>
            </w:r>
          </w:p>
        </w:tc>
      </w:tr>
    </w:tbl>
    <w:p>
      <w:pPr>
        <w:pStyle w:val="Heading2"/>
        <w:spacing w:after="120" w:before="240"/>
      </w:pPr>
      <w:r>
        <w:rPr>
          <w:rFonts w:ascii="Arial" w:cs="Arial" w:eastAsia="Arial" w:hAnsi="Arial"/>
          <w:b/>
          <w:bCs/>
          <w:color w:val="0E7C86"/>
          <w:sz w:val="24"/>
          <w:szCs w:val="24"/>
        </w:rPr>
        <w:t xml:space="preserve">5.1 The Current Tax Framework — VDA Taxation Under Finance Act 2022</w:t>
      </w:r>
    </w:p>
    <w:p>
      <w:pPr>
        <w:spacing w:after="140"/>
        <w:jc w:val="both"/>
      </w:pPr>
      <w:r>
        <w:rPr>
          <w:rFonts w:ascii="Arial" w:cs="Arial" w:eastAsia="Arial" w:hAnsi="Arial"/>
          <w:color w:val="222222"/>
          <w:sz w:val="20"/>
          <w:szCs w:val="20"/>
        </w:rPr>
        <w:t xml:space="preserve">The Finance Act, 2022 inserted Sections 115BBH and 194S into the Income Tax Act, 1961, creating a dedicated VDA tax regime effective April 1, 2022. Key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800"/>
        <w:gridCol w:w="2560"/>
      </w:tblGrid>
      <w:tr>
        <w:tc>
          <w:tcPr>
            <w:tcW w:type="dxa" w:w="22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Provision</w:t>
            </w:r>
          </w:p>
        </w:tc>
        <w:tc>
          <w:tcPr>
            <w:tcW w:type="dxa" w:w="12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Section</w:t>
            </w:r>
          </w:p>
        </w:tc>
        <w:tc>
          <w:tcPr>
            <w:tcW w:type="dxa" w:w="16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Rate</w:t>
            </w:r>
          </w:p>
        </w:tc>
        <w:tc>
          <w:tcPr>
            <w:tcW w:type="dxa" w:w="18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Applicability</w:t>
            </w:r>
          </w:p>
        </w:tc>
        <w:tc>
          <w:tcPr>
            <w:tcW w:type="dxa" w:w="256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Restriction</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Tax on VDA Transfer Income</w:t>
            </w:r>
          </w:p>
        </w:tc>
        <w:tc>
          <w:tcPr>
            <w:tcW w:type="dxa" w:w="1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115BBH</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30% + Surcharge + 4% Cess</w:t>
            </w:r>
          </w:p>
        </w:tc>
        <w:tc>
          <w:tcPr>
            <w:tcW w:type="dxa" w:w="1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Gains from transfer of VDA</w:t>
            </w:r>
          </w:p>
        </w:tc>
        <w:tc>
          <w:tcPr>
            <w:tcW w:type="dxa" w:w="25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 deduction except cost of acquisition</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TDS on VDA Transfer</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194S</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 TDS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Payer deducting on each transaction</w:t>
            </w:r>
          </w:p>
        </w:tc>
        <w:tc>
          <w:tcPr>
            <w:tcW w:type="dxa" w:w="2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Exchange/buyer liable</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GST on Exchange Services</w:t>
            </w:r>
          </w:p>
        </w:tc>
        <w:tc>
          <w:tcPr>
            <w:tcW w:type="dxa" w:w="1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GST Act</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18% on trading fee</w:t>
            </w:r>
          </w:p>
        </w:tc>
        <w:tc>
          <w:tcPr>
            <w:tcW w:type="dxa" w:w="1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Brokerage/platform fees</w:t>
            </w:r>
          </w:p>
        </w:tc>
        <w:tc>
          <w:tcPr>
            <w:tcW w:type="dxa" w:w="25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Not on the crypto amount itself</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Gift of VDA</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115BBH(c)</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Taxed as income</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Recipient taxed at 30%</w:t>
            </w:r>
          </w:p>
        </w:tc>
        <w:tc>
          <w:tcPr>
            <w:tcW w:type="dxa" w:w="2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Deemed income if gift &gt; ₹50,000</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Loss Set-Off Prohibition</w:t>
            </w:r>
          </w:p>
        </w:tc>
        <w:tc>
          <w:tcPr>
            <w:tcW w:type="dxa" w:w="1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115BBH(2)</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Nil</w:t>
            </w:r>
          </w:p>
        </w:tc>
        <w:tc>
          <w:tcPr>
            <w:tcW w:type="dxa" w:w="1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Losses cannot offset other income</w:t>
            </w:r>
          </w:p>
        </w:tc>
        <w:tc>
          <w:tcPr>
            <w:tcW w:type="dxa" w:w="25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Loss in BTC cannot offset profit in ETH</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Grandfathering</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Finance Act 2022</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Applicable from 1.4.2022</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benefit for pre-2022 purchases</w:t>
            </w:r>
          </w:p>
        </w:tc>
        <w:tc>
          <w:tcPr>
            <w:tcW w:type="dxa" w:w="2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FIFO/LIFO ambiguity resolved by CBDT</w:t>
            </w:r>
          </w:p>
        </w:tc>
      </w:tr>
    </w:tbl>
    <w:p>
      <w:pPr>
        <w:spacing w:after="200" w:before="60"/>
        <w:jc w:val="center"/>
      </w:pPr>
      <w:r>
        <w:rPr>
          <w:rFonts w:ascii="Arial" w:cs="Arial" w:eastAsia="Arial" w:hAnsi="Arial"/>
          <w:i/>
          <w:iCs/>
          <w:color w:val="4A5568"/>
          <w:sz w:val="18"/>
          <w:szCs w:val="18"/>
        </w:rPr>
        <w:t xml:space="preserve">Table 5.1 — VDA Taxation Framework India — Finance Act 2022</w:t>
      </w:r>
    </w:p>
    <w:p>
      <w:pPr>
        <w:pStyle w:val="Heading2"/>
        <w:spacing w:after="120" w:before="240"/>
      </w:pPr>
      <w:r>
        <w:rPr>
          <w:rFonts w:ascii="Arial" w:cs="Arial" w:eastAsia="Arial" w:hAnsi="Arial"/>
          <w:b/>
          <w:bCs/>
          <w:color w:val="0E7C86"/>
          <w:sz w:val="24"/>
          <w:szCs w:val="24"/>
        </w:rPr>
        <w:t xml:space="preserve">5.2 The TDS Distortion Effect — Capital Flight to Offshore Exchanges</w:t>
      </w:r>
    </w:p>
    <w:p>
      <w:pPr>
        <w:spacing w:after="140"/>
        <w:jc w:val="both"/>
      </w:pPr>
      <w:r>
        <w:rPr>
          <w:rFonts w:ascii="Arial" w:cs="Arial" w:eastAsia="Arial" w:hAnsi="Arial"/>
          <w:color w:val="222222"/>
          <w:sz w:val="20"/>
          <w:szCs w:val="20"/>
        </w:rPr>
        <w:t xml:space="preserve">The 1% TDS under Section 194S, while designed as a compliance mechanism, has had unintended consequences. Since offshore exchanges do not deduct TDS (being outside Indian jurisdiction), Indian users face a 1% cost advantage on every transaction conducted offshore. On high-frequency traders executing dozens of trades per day, this compounds dramatically:</w:t>
      </w:r>
    </w:p>
    <w:p>
      <w:pPr>
        <w:spacing w:after="60" w:before="120"/>
        <w:jc w:val="center"/>
      </w:pPr>
      <w:r>
        <w:rPr>
          <w:rFonts w:ascii="Arial" w:cs="Arial" w:eastAsia="Arial" w:hAnsi="Arial"/>
          <w:b/>
          <w:bCs/>
          <w:color w:val="0D2B5E"/>
          <w:sz w:val="20"/>
          <w:szCs w:val="20"/>
        </w:rPr>
        <w:t xml:space="preserve">Domestic vs Offshore Exchange Volume Share — Indian Users (2021 vs 2025)</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160"/>
      </w:tblGrid>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Domestic (2021)</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78%</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Offshore (2021)</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22%</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Domestic (2025)</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41%</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Offshore (2025)</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59%</w:t>
            </w:r>
          </w:p>
        </w:tc>
      </w:tr>
    </w:tbl>
    <w:p>
      <w:pPr>
        <w:spacing w:after="200" w:before="60"/>
        <w:jc w:val="center"/>
      </w:pPr>
      <w:r>
        <w:rPr>
          <w:rFonts w:ascii="Arial" w:cs="Arial" w:eastAsia="Arial" w:hAnsi="Arial"/>
          <w:i/>
          <w:iCs/>
          <w:color w:val="4A5568"/>
          <w:sz w:val="18"/>
          <w:szCs w:val="18"/>
        </w:rPr>
        <w:t xml:space="preserve">Figure 5.1 — Volume Migration from Domestic to Offshore Exchanges Post-TDS (Sources: FIU-IND, Chainalysis, DST Estimates)</w:t>
      </w:r>
    </w:p>
    <w:p>
      <w:pPr>
        <w:spacing w:after="140"/>
        <w:jc w:val="both"/>
      </w:pPr>
      <w:r>
        <w:rPr>
          <w:rFonts w:ascii="Arial" w:cs="Arial" w:eastAsia="Arial" w:hAnsi="Arial"/>
          <w:color w:val="222222"/>
          <w:sz w:val="20"/>
          <w:szCs w:val="20"/>
        </w:rPr>
        <w:t xml:space="preserve">The NSE report on crypto market structure (Q4 2024) estimated that Section 194S alone contributed to approximately ₹15,000–20,000 Cr migrating from domestic to offshore exchanges annually — generating zero TDS revenue while eroding the domestic exchange ecosystem.</w:t>
      </w:r>
    </w:p>
    <w:p>
      <w:pPr>
        <w:pStyle w:val="Heading2"/>
        <w:spacing w:after="120" w:before="240"/>
      </w:pPr>
      <w:r>
        <w:rPr>
          <w:rFonts w:ascii="Arial" w:cs="Arial" w:eastAsia="Arial" w:hAnsi="Arial"/>
          <w:b/>
          <w:bCs/>
          <w:color w:val="0E7C86"/>
          <w:sz w:val="24"/>
          <w:szCs w:val="24"/>
        </w:rPr>
        <w:t xml:space="preserve">5.3 Offshore Platform Tax Evasion Mechanisms</w:t>
      </w:r>
    </w:p>
    <w:p>
      <w:pPr>
        <w:spacing w:after="140"/>
        <w:jc w:val="both"/>
      </w:pPr>
      <w:r>
        <w:rPr>
          <w:rFonts w:ascii="Arial" w:cs="Arial" w:eastAsia="Arial" w:hAnsi="Arial"/>
          <w:color w:val="222222"/>
          <w:sz w:val="20"/>
          <w:szCs w:val="20"/>
        </w:rPr>
        <w:t xml:space="preserve">Indian users employ multiple mechanisms to avoid crypto tax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Evasion Method</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 &amp; Estimated Revenue Loss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Using offshore exchange (no TDS)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Trade on Binance/OKX/Bybit — no 194S deduction, user self-report obligation ignored. Revenue loss: ₹8,000–12,000 Cr TDS annually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VPN + Foreign Crypto Account</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Use VPN to access offshore exchange under foreign persona; use foreign bank account opened during NRI/travel period. Estimated: ₹3,000–5,000 Cr unreported gains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P2P Cash Settlement</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Sell crypto for INR cash via Telegram P2P; no banking trail; no KYC record. Estimated: ₹2,000–4,000 Cr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DeFi Income Non-Reporting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Yield farming, liquidity mining rewards — not clearly defined as VDA 'transfer' — many taxpayers not reporting. Estimated: ₹1,500–2,500 Cr</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Staking Rewards Non-Reporting</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CBDT has not issued clear guidance on staking rewards taxation — whether ordinary income or capital gain. Widespread non-reporting. Estimated: ₹800–1,200 Cr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Loss Harvesting via Related Parties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Wash sale between related party wallets to book artificial losses; since Section 115BBH prohibits loss set-off against other income but not within VDA-to-VDA — legal ambiguity exploited</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NFT Sale Under-Reporting</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NFT trades not consistently reported; CBDT interpretation that NFTs are VDAs applies but enforcement near-zero. Estimated: ₹400–800 Cr</w:t>
            </w:r>
          </w:p>
        </w:tc>
      </w:tr>
    </w:tbl>
    <w:p>
      <w:pPr>
        <w:pStyle w:val="Heading2"/>
        <w:spacing w:after="120" w:before="240"/>
      </w:pPr>
      <w:r>
        <w:rPr>
          <w:rFonts w:ascii="Arial" w:cs="Arial" w:eastAsia="Arial" w:hAnsi="Arial"/>
          <w:b/>
          <w:bCs/>
          <w:color w:val="0E7C86"/>
          <w:sz w:val="24"/>
          <w:szCs w:val="24"/>
        </w:rPr>
        <w:t xml:space="preserve">5.4 CARF — Global Automatic Information Exchange Framework</w:t>
      </w:r>
    </w:p>
    <w:p>
      <w:pPr>
        <w:spacing w:after="140"/>
        <w:jc w:val="both"/>
      </w:pPr>
      <w:r>
        <w:rPr>
          <w:rFonts w:ascii="Arial" w:cs="Arial" w:eastAsia="Arial" w:hAnsi="Arial"/>
          <w:color w:val="222222"/>
          <w:sz w:val="20"/>
          <w:szCs w:val="20"/>
        </w:rPr>
        <w:t xml:space="preserve">The OECD's Crypto-Asset Reporting Framework (CARF), endorsed by G20 nations including India at the New Delhi Summit (September 2023), mandates automatic exchange of tax information on crypto transactions between tax authorities. The framework has a target implementation date of 2027 for early adopters. India has committed to CARF but has not yet enacted the enabling domestic legislation.</w:t>
      </w:r>
    </w:p>
    <w:p>
      <w:pPr>
        <w:spacing w:after="140"/>
        <w:jc w:val="both"/>
      </w:pPr>
      <w:r>
        <w:rPr>
          <w:rFonts w:ascii="Arial" w:cs="Arial" w:eastAsia="Arial" w:hAnsi="Arial"/>
          <w:color w:val="222222"/>
          <w:sz w:val="20"/>
          <w:szCs w:val="20"/>
        </w:rPr>
        <w:t xml:space="preserve">CARF requires: (a) Crypto-Asset Service Providers (CASPs) to collect and report user transaction data; (b) annual automatic exchange of CASP data between signatory jurisdictions; (c) coverage of crypto-to-crypto exchanges, transfers, and stablecoin transactions. The risk for India: until CARF is domestically enacted, offshore exchanges have no legal obligation to share Indian user data with CBDT.</w:t>
      </w:r>
    </w:p>
    <w:p>
      <w:pPr>
        <w:pStyle w:val="Heading2"/>
        <w:spacing w:after="120" w:before="240"/>
      </w:pPr>
      <w:r>
        <w:rPr>
          <w:rFonts w:ascii="Arial" w:cs="Arial" w:eastAsia="Arial" w:hAnsi="Arial"/>
          <w:b/>
          <w:bCs/>
          <w:color w:val="0E7C86"/>
          <w:sz w:val="24"/>
          <w:szCs w:val="24"/>
        </w:rPr>
        <w:t xml:space="preserve">5.5 Tax Revenue Gap — Quantitative Analysis</w:t>
      </w:r>
    </w:p>
    <w:p>
      <w:pPr>
        <w:spacing w:after="60" w:before="120"/>
        <w:jc w:val="center"/>
      </w:pPr>
      <w:r>
        <w:rPr>
          <w:rFonts w:ascii="Arial" w:cs="Arial" w:eastAsia="Arial" w:hAnsi="Arial"/>
          <w:b/>
          <w:bCs/>
          <w:color w:val="0D2B5E"/>
          <w:sz w:val="20"/>
          <w:szCs w:val="20"/>
        </w:rPr>
        <w:t xml:space="preserve">Estimated Annual VDA Tax Revenue Gap — India (₹ Crore)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160"/>
      </w:tblGrid>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Actual TDS Collected (194S, FY24)</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1400 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Estimated Tax Due (30% on gains)</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24000 Cr</w:t>
            </w:r>
          </w:p>
        </w:tc>
      </w:tr>
      <w:tr>
        <w:tc>
          <w:tcPr>
            <w:tcW w:type="dxa" w:w="2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sz w:val="17"/>
                <w:szCs w:val="17"/>
              </w:rPr>
              <w:t xml:space="preserve">Revenue Gap Estimate</w:t>
            </w:r>
          </w:p>
        </w:tc>
        <w:tc>
          <w:tcPr>
            <w:tcW w:type="dxa" w:w="520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EFF4FB"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22600 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7"/>
                <w:szCs w:val="17"/>
              </w:rPr>
              <w:t xml:space="preserve">ITR VDA Disclosures (FY24)</w:t>
            </w:r>
          </w:p>
        </w:tc>
        <w:tc>
          <w:tcPr>
            <w:tcW w:type="dxa" w:w="5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color w:val="0E7C86"/>
                <w:sz w:val="14"/>
                <w:szCs w:val="14"/>
              </w:rPr>
              <w:t xml:space="preserve">██████░░░░░░░░░░░░░░░░░░░░░░░░░░░░░░░░░░░░░░░░░░░░</w:t>
            </w:r>
          </w:p>
        </w:tc>
        <w:tc>
          <w:tcPr>
            <w:tcW w:type="dxa" w:w="1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b/>
                <w:bCs/>
                <w:color w:val="0D2B5E"/>
                <w:sz w:val="18"/>
                <w:szCs w:val="18"/>
              </w:rPr>
              <w:t xml:space="preserve">2800 Cr</w:t>
            </w:r>
          </w:p>
        </w:tc>
      </w:tr>
    </w:tbl>
    <w:p>
      <w:pPr>
        <w:spacing w:after="200" w:before="60"/>
        <w:jc w:val="center"/>
      </w:pPr>
      <w:r>
        <w:rPr>
          <w:rFonts w:ascii="Arial" w:cs="Arial" w:eastAsia="Arial" w:hAnsi="Arial"/>
          <w:i/>
          <w:iCs/>
          <w:color w:val="4A5568"/>
          <w:sz w:val="18"/>
          <w:szCs w:val="18"/>
        </w:rPr>
        <w:t xml:space="preserve">Figure 5.2 — VDA Tax Revenue Gap Analysis FY2023-24 (CBDT Data + DST Estimates)</w:t>
      </w:r>
    </w:p>
    <w:p>
      <w:pPr>
        <w:pStyle w:val="Heading2"/>
        <w:spacing w:after="120" w:before="240"/>
      </w:pPr>
      <w:r>
        <w:rPr>
          <w:rFonts w:ascii="Arial" w:cs="Arial" w:eastAsia="Arial" w:hAnsi="Arial"/>
          <w:b/>
          <w:bCs/>
          <w:color w:val="0E7C86"/>
          <w:sz w:val="24"/>
          <w:szCs w:val="24"/>
        </w:rPr>
        <w:t xml:space="preserve">5.6 Solutions — Taxation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Solution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TDS driving offshore migration</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Reduce Section 194S TDS to 0.1% (aligned with STT model) — remove per-transaction drag; compensate with annual CARF-based cross-matching of ITR VDA Schedule vs exchange data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Offshore exchange non-compliance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Issue CBDT-MeitY joint directive: offshore exchanges serving Indian users must register as 'reporting entities' under proposed CARF India Rules; non-compliant domains blocked under IT Act Section 69A</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DeFi income non-reporting</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CBDT Circular: DeFi income (yield, liquidity rewards, staking) taxable as 'Income from Other Sources' under Section 56(2); specific VDA Schedule in ITR to include DeFi protocol-wise disclosure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CARF implementation delay</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Introduce Crypto-Asset Reporting Rules (CARR) under Income Tax Act Section 285BA by FY2026-27; mandate all FIU-IND registered CASPs to report under CARR from AY2027-28</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P2P cash settlement evasion</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Require all P2P VDA transactions &gt; ₹10,000 to be settled exclusively through banking channels; P2P platforms must be FIU-IND registered; cash settlement of crypto = tax evasion + PMLA offence</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Staking/mining income ambiguity</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CBDT to issue comprehensive VDA Taxation Guidance Note covering: mining rewards (taxed as business income/other sources at receipt), staking rewards (taxed as other income at FMV on receipt date), airdrop tokens (taxed at receipt)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06</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INDIA'S CURRENT LEGAL FRAMEWORK — COMPREHENSIVE ANALYSIS</w:t>
            </w:r>
          </w:p>
        </w:tc>
      </w:tr>
    </w:tbl>
    <w:p>
      <w:pPr>
        <w:spacing w:after="80"/>
      </w:pPr>
      <w:r>
        <w:rPr>
          <w:rFonts w:ascii="Arial" w:cs="Arial" w:eastAsia="Arial" w:hAnsi="Arial"/>
        </w:rPr>
        <w:t xml:space="preserve"/>
      </w:r>
    </w:p>
    <w:p>
      <w:pPr>
        <w:spacing w:after="140"/>
        <w:jc w:val="both"/>
      </w:pPr>
      <w:r>
        <w:rPr>
          <w:rFonts w:ascii="Arial" w:cs="Arial" w:eastAsia="Arial" w:hAnsi="Arial"/>
          <w:color w:val="222222"/>
          <w:sz w:val="20"/>
          <w:szCs w:val="20"/>
        </w:rPr>
        <w:t xml:space="preserve">India's crypto regulatory architecture as of April 2026 is a patchwork of pre-existing financial laws applied by analogy, executive notifications, and sector-specific guidance — rather than a purpose-built statute. This section maps the full legal landscape.</w:t>
      </w:r>
    </w:p>
    <w:p>
      <w:pPr>
        <w:pStyle w:val="Heading2"/>
        <w:spacing w:after="120" w:before="240"/>
      </w:pPr>
      <w:r>
        <w:rPr>
          <w:rFonts w:ascii="Arial" w:cs="Arial" w:eastAsia="Arial" w:hAnsi="Arial"/>
          <w:b/>
          <w:bCs/>
          <w:color w:val="0E7C86"/>
          <w:sz w:val="24"/>
          <w:szCs w:val="24"/>
        </w:rPr>
        <w:t xml:space="preserve">6.1 The Prevention of Money Laundering Act (PMLA), 2002</w:t>
      </w:r>
    </w:p>
    <w:p>
      <w:pPr>
        <w:spacing w:after="140"/>
        <w:jc w:val="both"/>
      </w:pPr>
      <w:r>
        <w:rPr>
          <w:rFonts w:ascii="Arial" w:cs="Arial" w:eastAsia="Arial" w:hAnsi="Arial"/>
          <w:color w:val="222222"/>
          <w:sz w:val="20"/>
          <w:szCs w:val="20"/>
        </w:rPr>
        <w:t xml:space="preserve">The PMLA is the primary AML instrument. The Ministry of Finance Notification (March 7, 2023) under Section 2(1)(sa) brought VDA SPs within PMLA's ambit as 'reporting entities.' Key obligations now apply:</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2160"/>
      </w:tblGrid>
      <w:tr>
        <w:tc>
          <w:tcPr>
            <w:tcW w:type="dxa" w:w="14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PMLA Section</w:t>
            </w:r>
          </w:p>
        </w:tc>
        <w:tc>
          <w:tcPr>
            <w:tcW w:type="dxa" w:w="20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Obligation</w:t>
            </w:r>
          </w:p>
        </w:tc>
        <w:tc>
          <w:tcPr>
            <w:tcW w:type="dxa" w:w="24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VDA Application</w:t>
            </w:r>
          </w:p>
        </w:tc>
        <w:tc>
          <w:tcPr>
            <w:tcW w:type="dxa" w:w="216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Enforcement Status</w:t>
            </w:r>
          </w:p>
        </w:tc>
      </w:tr>
      <w:tr>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S.2(1)(sa)</w:t>
            </w:r>
          </w:p>
        </w:tc>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Reporting entity definition</w:t>
            </w:r>
          </w:p>
        </w:tc>
        <w:tc>
          <w:tcPr>
            <w:tcW w:type="dxa" w:w="2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VDA SPs included (2023 notif.)</w:t>
            </w:r>
          </w:p>
        </w:tc>
        <w:tc>
          <w:tcPr>
            <w:tcW w:type="dxa" w:w="21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Active — FIU-IND registration required</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S.11A / Rules</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KYC / Customer Due Diligence</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Full KYC for VDA accounts</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Partially enforced — offshore gaps</w:t>
            </w:r>
          </w:p>
        </w:tc>
      </w:tr>
      <w:tr>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S.12</w:t>
            </w:r>
          </w:p>
        </w:tc>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Record maintenance</w:t>
            </w:r>
          </w:p>
        </w:tc>
        <w:tc>
          <w:tcPr>
            <w:tcW w:type="dxa" w:w="2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VDA SP transaction records</w:t>
            </w:r>
          </w:p>
        </w:tc>
        <w:tc>
          <w:tcPr>
            <w:tcW w:type="dxa" w:w="21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Domestic exchanges compliant; offshore not</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S.12A</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Additional CDD (PEPs, High Risk)</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High-risk customer EDD</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Inconsistent implementation</w:t>
            </w:r>
          </w:p>
        </w:tc>
      </w:tr>
      <w:tr>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S.13</w:t>
            </w:r>
          </w:p>
        </w:tc>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FIU-IND information powers</w:t>
            </w:r>
          </w:p>
        </w:tc>
        <w:tc>
          <w:tcPr>
            <w:tcW w:type="dxa" w:w="2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Data call powers</w:t>
            </w:r>
          </w:p>
        </w:tc>
        <w:tc>
          <w:tcPr>
            <w:tcW w:type="dxa" w:w="21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Active</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S.16</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Search and seizure by PMLA authority</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VDA wallets attached by ED</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Multiple cases — WazirX, Vauld, others</w:t>
            </w:r>
          </w:p>
        </w:tc>
      </w:tr>
    </w:tbl>
    <w:p>
      <w:pPr>
        <w:pStyle w:val="Heading2"/>
        <w:spacing w:after="120" w:before="240"/>
      </w:pPr>
      <w:r>
        <w:rPr>
          <w:rFonts w:ascii="Arial" w:cs="Arial" w:eastAsia="Arial" w:hAnsi="Arial"/>
          <w:b/>
          <w:bCs/>
          <w:color w:val="0E7C86"/>
          <w:sz w:val="24"/>
          <w:szCs w:val="24"/>
        </w:rPr>
        <w:t xml:space="preserve">6.2 The Foreign Exchange Management Act (FEMA), 1999</w:t>
      </w:r>
    </w:p>
    <w:p>
      <w:pPr>
        <w:spacing w:after="140"/>
        <w:jc w:val="both"/>
      </w:pPr>
      <w:r>
        <w:rPr>
          <w:rFonts w:ascii="Arial" w:cs="Arial" w:eastAsia="Arial" w:hAnsi="Arial"/>
          <w:color w:val="222222"/>
          <w:sz w:val="20"/>
          <w:szCs w:val="20"/>
        </w:rPr>
        <w:t xml:space="preserve">FEMA governs all cross-border capital and current account transactions. Its application to crypto is ambiguous and unresolved. Key analytical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FEMA Provision</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Crypto Application &amp; Gap</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Section 2(m) — Foreign Exchange definition</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USD stablecoins arguably qualify as 'foreign exchange' but no formal RBI notification/circular has declared them so. Gap: USDT held by Indians = possible FEMA violation without clear enforcement basis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Section 3 — Prohibited dealings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Dealing in foreign exchange without RBI authorisation is prohibited. If stablecoins = foreign exchange, millions of Indians may be in technical violation. No prosecution launched.</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LRS — USD 250,000 annual cap</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Crypto purchases on offshore exchanges financed by INR = outward remittance. No LRS compliance mechanism for crypto. Gap: circumvention of LRS cap via crypto is rampant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FEMA Regulations — Capital Account</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RBI's Capital Account Transactions regulations (FEMA Notification No. 1/2000-RB) do not explicitly address crypto outflows. Massive regulatory gap.</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Section 42/47 — RBI powers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RBI has broad power to make regulations. Has not exercised to comprehensively regulate crypto capital flows. Risk: if RBI classifies crypto as capital account instrument, immediate reporting requirements triggered</w:t>
            </w:r>
          </w:p>
        </w:tc>
      </w:tr>
    </w:tbl>
    <w:p>
      <w:pPr>
        <w:pStyle w:val="Heading2"/>
        <w:spacing w:after="120" w:before="240"/>
      </w:pPr>
      <w:r>
        <w:rPr>
          <w:rFonts w:ascii="Arial" w:cs="Arial" w:eastAsia="Arial" w:hAnsi="Arial"/>
          <w:b/>
          <w:bCs/>
          <w:color w:val="0E7C86"/>
          <w:sz w:val="24"/>
          <w:szCs w:val="24"/>
        </w:rPr>
        <w:t xml:space="preserve">6.3 Income Tax Act, 1961 — VDA Provisions</w:t>
      </w:r>
    </w:p>
    <w:p>
      <w:pPr>
        <w:spacing w:after="140"/>
        <w:jc w:val="both"/>
      </w:pPr>
      <w:r>
        <w:rPr>
          <w:rFonts w:ascii="Arial" w:cs="Arial" w:eastAsia="Arial" w:hAnsi="Arial"/>
          <w:color w:val="222222"/>
          <w:sz w:val="20"/>
          <w:szCs w:val="20"/>
        </w:rPr>
        <w:t xml:space="preserve">The Finance Act 2022 inserted the VDA tax framework. Key sections: Section 2(47A) — defines VDA; Section 115BBH — taxation at 30%; Section 194S — TDS at 1%; Section 194-BA — TDS on online gaming (overlaps with crypto gaming). CBDT Circular No. 13/2022 and subsequent FAQs provide interpretive guidance but leave significant ambiguities around DeFi, staking, and cross-chain swaps unresolved.</w:t>
      </w:r>
    </w:p>
    <w:p>
      <w:pPr>
        <w:pStyle w:val="Heading2"/>
        <w:spacing w:after="120" w:before="240"/>
      </w:pPr>
      <w:r>
        <w:rPr>
          <w:rFonts w:ascii="Arial" w:cs="Arial" w:eastAsia="Arial" w:hAnsi="Arial"/>
          <w:b/>
          <w:bCs/>
          <w:color w:val="0E7C86"/>
          <w:sz w:val="24"/>
          <w:szCs w:val="24"/>
        </w:rPr>
        <w:t xml:space="preserve">6.4 The RBI Act, 1934</w:t>
      </w:r>
    </w:p>
    <w:p>
      <w:pPr>
        <w:spacing w:after="140"/>
        <w:jc w:val="both"/>
      </w:pPr>
      <w:r>
        <w:rPr>
          <w:rFonts w:ascii="Arial" w:cs="Arial" w:eastAsia="Arial" w:hAnsi="Arial"/>
          <w:color w:val="222222"/>
          <w:sz w:val="20"/>
          <w:szCs w:val="20"/>
        </w:rPr>
        <w:t xml:space="preserve">Section 22 grants RBI exclusive note issuance rights. Section 45-IA governs NBFC registration. VDA SPs conducting quasi-banking activities (deposits, lending) may fall within NBFC ambit but RBI has not issued a formal determination. RBI's 2021 advisory to banks noted risks of crypto but did not restate the 2018 ban (which the Supreme Court struck down). The RBI Annual Report 2023–24 recommended a comprehensive ban on private cryptocurrencies but acknowledged this requires legislative action.</w:t>
      </w:r>
    </w:p>
    <w:p>
      <w:pPr>
        <w:pStyle w:val="Heading2"/>
        <w:spacing w:after="120" w:before="240"/>
      </w:pPr>
      <w:r>
        <w:rPr>
          <w:rFonts w:ascii="Arial" w:cs="Arial" w:eastAsia="Arial" w:hAnsi="Arial"/>
          <w:b/>
          <w:bCs/>
          <w:color w:val="0E7C86"/>
          <w:sz w:val="24"/>
          <w:szCs w:val="24"/>
        </w:rPr>
        <w:t xml:space="preserve">6.5 SEBI Act, 1992 and Securities Laws</w:t>
      </w:r>
    </w:p>
    <w:p>
      <w:pPr>
        <w:spacing w:after="140"/>
        <w:jc w:val="both"/>
      </w:pPr>
      <w:r>
        <w:rPr>
          <w:rFonts w:ascii="Arial" w:cs="Arial" w:eastAsia="Arial" w:hAnsi="Arial"/>
          <w:color w:val="222222"/>
          <w:sz w:val="20"/>
          <w:szCs w:val="20"/>
        </w:rPr>
        <w:t xml:space="preserve">SEBI's jurisdiction extends to 'securities' as defined under the SCRA 1956. If a VDA constitutes a 'security' (investment contract test per Howey, or debt/equity characteristics), SEBI has jurisdiction. The SEBI Discussion Paper (January 2024) proposed that crypto assets displaying security characteristics be regulated under SEBI. No formal notification issued as of April 2026. The interim Budget 2024 announcement indicated joint oversight by SEBI (investment products) and RBI (payment instruments), but enabling legislation is pending.</w:t>
      </w:r>
    </w:p>
    <w:p>
      <w:pPr>
        <w:pStyle w:val="Heading2"/>
        <w:spacing w:after="120" w:before="240"/>
      </w:pPr>
      <w:r>
        <w:rPr>
          <w:rFonts w:ascii="Arial" w:cs="Arial" w:eastAsia="Arial" w:hAnsi="Arial"/>
          <w:b/>
          <w:bCs/>
          <w:color w:val="0E7C86"/>
          <w:sz w:val="24"/>
          <w:szCs w:val="24"/>
        </w:rPr>
        <w:t xml:space="preserve">6.6 Information Technology Act, 2000 and Cyber Laws</w:t>
      </w:r>
    </w:p>
    <w:p>
      <w:pPr>
        <w:spacing w:after="140"/>
        <w:jc w:val="both"/>
      </w:pPr>
      <w:r>
        <w:rPr>
          <w:rFonts w:ascii="Arial" w:cs="Arial" w:eastAsia="Arial" w:hAnsi="Arial"/>
          <w:color w:val="222222"/>
          <w:sz w:val="20"/>
          <w:szCs w:val="20"/>
        </w:rPr>
        <w:t xml:space="preserve">Section 66D (IT Act) — cheating by personation using computer resources — applies to crypto fraud. Section 67 — obscene electronic content — used in dark web cases. Section 69A — power to block internet resources — used against fraudulent crypto platforms. The IT (Intermediary Guidelines and Digital Media Ethics Code) Rules, 2021 are being evaluated for applicability to crypto exchanges as 'significant social media intermediaries' or as a separate class.</w:t>
      </w:r>
    </w:p>
    <w:p>
      <w:pPr>
        <w:pStyle w:val="Heading2"/>
        <w:spacing w:after="120" w:before="240"/>
      </w:pPr>
      <w:r>
        <w:rPr>
          <w:rFonts w:ascii="Arial" w:cs="Arial" w:eastAsia="Arial" w:hAnsi="Arial"/>
          <w:b/>
          <w:bCs/>
          <w:color w:val="0E7C86"/>
          <w:sz w:val="24"/>
          <w:szCs w:val="24"/>
        </w:rPr>
        <w:t xml:space="preserve">6.7 The Cryptocurrency and Regulation of Official Digital Currency Bill — Status</w:t>
      </w:r>
    </w:p>
    <w:p>
      <w:pPr>
        <w:spacing w:after="140"/>
        <w:jc w:val="both"/>
      </w:pPr>
      <w:r>
        <w:rPr>
          <w:rFonts w:ascii="Arial" w:cs="Arial" w:eastAsia="Arial" w:hAnsi="Arial"/>
          <w:color w:val="222222"/>
          <w:sz w:val="20"/>
          <w:szCs w:val="20"/>
        </w:rPr>
        <w:t xml:space="preserve">The Cryptocurrency and Regulation of Official Digital Currency Bill, 2021 was listed in the Lok Sabha Winter Session 2021 agenda but was not tabled. As of April 2026, a revised draft reportedly exists within the Ministry of Finance but has not been released for public consultation. The continued legislative void is the single largest structural risk to India's crypto regulatory architecture. Without enabling legislation, all current regulation is executive notification-based — legally fragile and subject to judicial challenge.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07</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CURRENT REGULATORY LOOPHOLES — IDENTIFIED GAPS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This section catalogues the most critical regulatory loopholes exploited by bad actors and structural gaps in India's crypto oversight framework that collectively enable financial crime, tax evasion, and monetary policy circumvention at scale.</w:t>
            </w:r>
          </w:p>
        </w:tc>
      </w:tr>
    </w:tbl>
    <w:p>
      <w:pPr>
        <w:pStyle w:val="Heading2"/>
        <w:spacing w:after="120" w:before="240"/>
      </w:pPr>
      <w:r>
        <w:rPr>
          <w:rFonts w:ascii="Arial" w:cs="Arial" w:eastAsia="Arial" w:hAnsi="Arial"/>
          <w:b/>
          <w:bCs/>
          <w:color w:val="0E7C86"/>
          <w:sz w:val="24"/>
          <w:szCs w:val="24"/>
        </w:rPr>
        <w:t xml:space="preserve">7.1 The Offshore Exchange Gap</w:t>
      </w:r>
    </w:p>
    <w:p>
      <w:pPr>
        <w:spacing w:after="140"/>
        <w:jc w:val="both"/>
      </w:pPr>
      <w:r>
        <w:rPr>
          <w:rFonts w:ascii="Arial" w:cs="Arial" w:eastAsia="Arial" w:hAnsi="Arial"/>
          <w:color w:val="222222"/>
          <w:sz w:val="20"/>
          <w:szCs w:val="20"/>
        </w:rPr>
        <w:t xml:space="preserve">The FIU-IND's March 2024 Show Cause Notices to 9 offshore exchanges (Binance, Kraken, MEXC, Bittrex, Bitfinex, Bitstamp, OKEX, Huobi, Gate.io) for operating without FIU-IND registration were a significant step. However:</w:t>
      </w:r>
    </w:p>
    <w:p>
      <w:pPr>
        <w:pStyle w:val="ListParagraph"/>
        <w:numPr>
          <w:ilvl w:val="0"/>
          <w:numId w:val="2"/>
        </w:numPr>
        <w:spacing w:after="80"/>
      </w:pPr>
      <w:r>
        <w:rPr>
          <w:rFonts w:ascii="Arial" w:cs="Arial" w:eastAsia="Arial" w:hAnsi="Arial"/>
          <w:sz w:val="20"/>
          <w:szCs w:val="20"/>
        </w:rPr>
        <w:t xml:space="preserve">Only Binance and KuCoin completed FIU-IND registration processes by Q1 2025; others remain in limbo</w:t>
      </w:r>
    </w:p>
    <w:p>
      <w:pPr>
        <w:pStyle w:val="ListParagraph"/>
        <w:numPr>
          <w:ilvl w:val="0"/>
          <w:numId w:val="2"/>
        </w:numPr>
        <w:spacing w:after="80"/>
      </w:pPr>
      <w:r>
        <w:rPr>
          <w:rFonts w:ascii="Arial" w:cs="Arial" w:eastAsia="Arial" w:hAnsi="Arial"/>
          <w:sz w:val="20"/>
          <w:szCs w:val="20"/>
        </w:rPr>
        <w:t xml:space="preserve">MeitY's app-store blocking of these exchanges was only partially effective — users circumvented via APK sideloading and VPN within 48 hours</w:t>
      </w:r>
    </w:p>
    <w:p>
      <w:pPr>
        <w:pStyle w:val="ListParagraph"/>
        <w:numPr>
          <w:ilvl w:val="0"/>
          <w:numId w:val="2"/>
        </w:numPr>
        <w:spacing w:after="80"/>
      </w:pPr>
      <w:r>
        <w:rPr>
          <w:rFonts w:ascii="Arial" w:cs="Arial" w:eastAsia="Arial" w:hAnsi="Arial"/>
          <w:sz w:val="20"/>
          <w:szCs w:val="20"/>
        </w:rPr>
        <w:t xml:space="preserve">Web platform access was never comprehensively blocked at DNS/ISP level — all 9 exchanges remain accessible via web browser</w:t>
      </w:r>
    </w:p>
    <w:p>
      <w:pPr>
        <w:pStyle w:val="ListParagraph"/>
        <w:numPr>
          <w:ilvl w:val="0"/>
          <w:numId w:val="2"/>
        </w:numPr>
        <w:spacing w:after="80"/>
      </w:pPr>
      <w:r>
        <w:rPr>
          <w:rFonts w:ascii="Arial" w:cs="Arial" w:eastAsia="Arial" w:hAnsi="Arial"/>
          <w:sz w:val="20"/>
          <w:szCs w:val="20"/>
        </w:rPr>
        <w:t xml:space="preserve">Even registered offshore exchanges have not implemented PMLA-compliant KYC for all Indian users — legacy accounts created pre-registration remain unverified</w:t>
      </w:r>
    </w:p>
    <w:p>
      <w:pPr>
        <w:pStyle w:val="ListParagraph"/>
        <w:numPr>
          <w:ilvl w:val="0"/>
          <w:numId w:val="2"/>
        </w:numPr>
        <w:spacing w:after="80"/>
      </w:pPr>
      <w:r>
        <w:rPr>
          <w:rFonts w:ascii="Arial" w:cs="Arial" w:eastAsia="Arial" w:hAnsi="Arial"/>
          <w:sz w:val="20"/>
          <w:szCs w:val="20"/>
        </w:rPr>
        <w:t xml:space="preserve">The legal question of whether Indian law can mandate extraterritorial AML compliance on offshore entities remains untested in court</w:t>
      </w:r>
    </w:p>
    <w:p>
      <w:pPr>
        <w:pStyle w:val="Heading2"/>
        <w:spacing w:after="120" w:before="240"/>
      </w:pPr>
      <w:r>
        <w:rPr>
          <w:rFonts w:ascii="Arial" w:cs="Arial" w:eastAsia="Arial" w:hAnsi="Arial"/>
          <w:b/>
          <w:bCs/>
          <w:color w:val="0E7C86"/>
          <w:sz w:val="24"/>
          <w:szCs w:val="24"/>
        </w:rPr>
        <w:t xml:space="preserve">7.2 The DeFi and DEX Regulatory Blind Spot</w:t>
      </w:r>
    </w:p>
    <w:p>
      <w:pPr>
        <w:spacing w:after="140"/>
        <w:jc w:val="both"/>
      </w:pPr>
      <w:r>
        <w:rPr>
          <w:rFonts w:ascii="Arial" w:cs="Arial" w:eastAsia="Arial" w:hAnsi="Arial"/>
          <w:color w:val="222222"/>
          <w:sz w:val="20"/>
          <w:szCs w:val="20"/>
        </w:rPr>
        <w:t xml:space="preserve">Decentralised exchanges and DeFi protocols represent the most intractable regulatory challenge. There is no 'entity' to register, no KYC, no travel rule compliance mechanism, no FIU-IND notification pathway. Indian residents freely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2160"/>
      </w:tblGrid>
      <w:tr>
        <w:tc>
          <w:tcPr>
            <w:tcW w:type="dxa" w:w="20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Platform</w:t>
            </w:r>
          </w:p>
        </w:tc>
        <w:tc>
          <w:tcPr>
            <w:tcW w:type="dxa" w:w="20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Daily Volume (Indian Users Est.)</w:t>
            </w:r>
          </w:p>
        </w:tc>
        <w:tc>
          <w:tcPr>
            <w:tcW w:type="dxa" w:w="16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AML Compliance</w:t>
            </w:r>
          </w:p>
        </w:tc>
        <w:tc>
          <w:tcPr>
            <w:tcW w:type="dxa" w:w="16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Tax Reporting</w:t>
            </w:r>
          </w:p>
        </w:tc>
        <w:tc>
          <w:tcPr>
            <w:tcW w:type="dxa" w:w="216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FIU-IND Oversight</w:t>
            </w:r>
          </w:p>
        </w:tc>
      </w:tr>
      <w:tr>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Uniswap (Ethereum DEX)</w:t>
            </w:r>
          </w:p>
        </w:tc>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USD 40–80 Mn</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21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None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PancakeSwap (BNB Chain)</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USD 15–30 Mn</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None</w:t>
            </w:r>
          </w:p>
        </w:tc>
      </w:tr>
      <w:tr>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Jupiter (Solana DEX)</w:t>
            </w:r>
          </w:p>
        </w:tc>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USD 20–50 Mn</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21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None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dYdX (Derivatives DEX)</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USD 10–25 Mn</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None</w:t>
            </w:r>
          </w:p>
        </w:tc>
      </w:tr>
      <w:tr>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Aave / Compound (Lending)</w:t>
            </w:r>
          </w:p>
        </w:tc>
        <w:tc>
          <w:tcPr>
            <w:tcW w:type="dxa" w:w="20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USD 5–15 Mn TVL Indian est.</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16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21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None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Curve Finance (Stablecoins)</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USD 8–20 Mn</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Zero</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None</w:t>
            </w:r>
          </w:p>
        </w:tc>
      </w:tr>
    </w:tbl>
    <w:p>
      <w:pPr>
        <w:spacing w:after="200" w:before="60"/>
        <w:jc w:val="center"/>
      </w:pPr>
      <w:r>
        <w:rPr>
          <w:rFonts w:ascii="Arial" w:cs="Arial" w:eastAsia="Arial" w:hAnsi="Arial"/>
          <w:i/>
          <w:iCs/>
          <w:color w:val="4A5568"/>
          <w:sz w:val="18"/>
          <w:szCs w:val="18"/>
        </w:rPr>
        <w:t xml:space="preserve">Table 7.1 — DeFi Platform Activity — Indian Users (DST Estimates, Q1 2026)</w:t>
      </w:r>
    </w:p>
    <w:p>
      <w:pPr>
        <w:pStyle w:val="Heading2"/>
        <w:spacing w:after="120" w:before="240"/>
      </w:pPr>
      <w:r>
        <w:rPr>
          <w:rFonts w:ascii="Arial" w:cs="Arial" w:eastAsia="Arial" w:hAnsi="Arial"/>
          <w:b/>
          <w:bCs/>
          <w:color w:val="0E7C86"/>
          <w:sz w:val="24"/>
          <w:szCs w:val="24"/>
        </w:rPr>
        <w:t xml:space="preserve">7.3 The Cross-Chain Bridge Obfuscation Loophole</w:t>
      </w:r>
    </w:p>
    <w:p>
      <w:pPr>
        <w:spacing w:after="140"/>
        <w:jc w:val="both"/>
      </w:pPr>
      <w:r>
        <w:rPr>
          <w:rFonts w:ascii="Arial" w:cs="Arial" w:eastAsia="Arial" w:hAnsi="Arial"/>
          <w:color w:val="222222"/>
          <w:sz w:val="20"/>
          <w:szCs w:val="20"/>
        </w:rPr>
        <w:t xml:space="preserve">Cross-chain bridges (LayerZero, Across, Synapse, Wormhole) allow instantaneous asset transfer between blockchain networks. An Indian resident can move USDT from Ethereum → Arbitrum → Optimism → BNB Chain → Solana in under 10 minutes, each hop changing the token address and obscuring the transaction trail. FIU-IND's current blockchain analytics capability does not cover multi-chain tracing comprehensively — creating a forensic dead zone.</w:t>
      </w:r>
    </w:p>
    <w:p>
      <w:pPr>
        <w:pStyle w:val="Heading2"/>
        <w:spacing w:after="120" w:before="240"/>
      </w:pPr>
      <w:r>
        <w:rPr>
          <w:rFonts w:ascii="Arial" w:cs="Arial" w:eastAsia="Arial" w:hAnsi="Arial"/>
          <w:b/>
          <w:bCs/>
          <w:color w:val="0E7C86"/>
          <w:sz w:val="24"/>
          <w:szCs w:val="24"/>
        </w:rPr>
        <w:t xml:space="preserve">7.4 NFT Money Laundering Gap</w:t>
      </w:r>
    </w:p>
    <w:p>
      <w:pPr>
        <w:spacing w:after="140"/>
        <w:jc w:val="both"/>
      </w:pPr>
      <w:r>
        <w:rPr>
          <w:rFonts w:ascii="Arial" w:cs="Arial" w:eastAsia="Arial" w:hAnsi="Arial"/>
          <w:color w:val="222222"/>
          <w:sz w:val="20"/>
          <w:szCs w:val="20"/>
        </w:rPr>
        <w:t xml:space="preserve">Non-fungible tokens (NFTs) have no specific regulatory treatment under Indian law. The VDA definition under Section 2(47A) of the Income Tax Act includes NFTs, but PMLA's VDA SP definition focuses on exchange/transfer services — NFT marketplaces (OpenSea, Blur, Magic Eden) are not explicitly covered, creating an AML-free zone for high-value art/NFT-based laundering.</w:t>
      </w:r>
    </w:p>
    <w:p>
      <w:pPr>
        <w:pStyle w:val="Heading2"/>
        <w:spacing w:after="120" w:before="240"/>
      </w:pPr>
      <w:r>
        <w:rPr>
          <w:rFonts w:ascii="Arial" w:cs="Arial" w:eastAsia="Arial" w:hAnsi="Arial"/>
          <w:b/>
          <w:bCs/>
          <w:color w:val="0E7C86"/>
          <w:sz w:val="24"/>
          <w:szCs w:val="24"/>
        </w:rPr>
        <w:t xml:space="preserve">7.5 Crypto-to-Real Estate Nexus</w:t>
      </w:r>
    </w:p>
    <w:p>
      <w:pPr>
        <w:spacing w:after="140"/>
        <w:jc w:val="both"/>
      </w:pPr>
      <w:r>
        <w:rPr>
          <w:rFonts w:ascii="Arial" w:cs="Arial" w:eastAsia="Arial" w:hAnsi="Arial"/>
          <w:color w:val="222222"/>
          <w:sz w:val="20"/>
          <w:szCs w:val="20"/>
        </w:rPr>
        <w:t xml:space="preserve">Multiple Enforcement Directorate investigations in 2023–25 uncovered a pattern of crypto proceeds being converted to real estate purchases in Dubai, Singapore, and Tier-1 Indian cities. RERA (Real Estate Regulatory Authority) has no VDA disclosure requirement. Property registrars do not check source of funds for crypto. This creates a crypto-to-real-estate laundering pathway that intersects with PMLA, FEMA, and the Black Money (Undisclosed Foreign Income and Assets) Act, 2015.</w:t>
      </w:r>
    </w:p>
    <w:p>
      <w:pPr>
        <w:pStyle w:val="Heading2"/>
        <w:spacing w:after="120" w:before="240"/>
      </w:pPr>
      <w:r>
        <w:rPr>
          <w:rFonts w:ascii="Arial" w:cs="Arial" w:eastAsia="Arial" w:hAnsi="Arial"/>
          <w:b/>
          <w:bCs/>
          <w:color w:val="0E7C86"/>
          <w:sz w:val="24"/>
          <w:szCs w:val="24"/>
        </w:rPr>
        <w:t xml:space="preserve">7.6 The Crypto Payroll / Salary Loophole</w:t>
      </w:r>
    </w:p>
    <w:p>
      <w:pPr>
        <w:spacing w:after="140"/>
        <w:jc w:val="both"/>
      </w:pPr>
      <w:r>
        <w:rPr>
          <w:rFonts w:ascii="Arial" w:cs="Arial" w:eastAsia="Arial" w:hAnsi="Arial"/>
          <w:color w:val="222222"/>
          <w:sz w:val="20"/>
          <w:szCs w:val="20"/>
        </w:rPr>
        <w:t xml:space="preserve">Web3 companies paying employees (especially contractors and overseas talent) in cryptocurrency face no current legal requirement to deduct TDS on VDA salary components if the employee is offshore, or ambiguity exists for domestic employees receiving mixed INR + VDA compensation. Section 17 of the Income Tax Act (salary definition) does not explicitly address VDA salary, allowing some employers to structure compensation to minimise TDS exposure.</w:t>
      </w:r>
    </w:p>
    <w:p>
      <w:pPr>
        <w:pStyle w:val="Heading2"/>
        <w:spacing w:after="120" w:before="240"/>
      </w:pPr>
      <w:r>
        <w:rPr>
          <w:rFonts w:ascii="Arial" w:cs="Arial" w:eastAsia="Arial" w:hAnsi="Arial"/>
          <w:b/>
          <w:bCs/>
          <w:color w:val="0E7C86"/>
          <w:sz w:val="24"/>
          <w:szCs w:val="24"/>
        </w:rPr>
        <w:t xml:space="preserve">7.7 Loophole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360"/>
      </w:tblGrid>
      <w:tr>
        <w:tc>
          <w:tcPr>
            <w:tcW w:type="dxa" w:w="320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Factor</w:t>
            </w:r>
          </w:p>
        </w:tc>
        <w:tc>
          <w:tcPr>
            <w:tcW w:type="dxa" w:w="160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Probability</w:t>
            </w:r>
          </w:p>
        </w:tc>
        <w:tc>
          <w:tcPr>
            <w:tcW w:type="dxa" w:w="160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160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w:t>
            </w:r>
          </w:p>
        </w:tc>
        <w:tc>
          <w:tcPr>
            <w:tcW w:type="dxa" w:w="136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32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Offshore exchange — unregistered access</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Critical</w:t>
            </w:r>
          </w:p>
        </w:tc>
        <w:tc>
          <w:tcPr>
            <w:tcW w:type="dxa" w:w="160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C0392B"/>
                <w:sz w:val="18"/>
                <w:szCs w:val="18"/>
              </w:rPr>
              <w:t xml:space="preserve">SEVERE</w:t>
            </w:r>
          </w:p>
        </w:tc>
        <w:tc>
          <w:tcPr>
            <w:tcW w:type="dxa" w:w="136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222222"/>
                <w:sz w:val="18"/>
                <w:szCs w:val="18"/>
              </w:rPr>
              <w:t xml:space="preserve">P1 — Immediate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DeFi/DEX — zero oversight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C0392B"/>
                <w:sz w:val="18"/>
                <w:szCs w:val="18"/>
              </w:rPr>
              <w:t xml:space="preserve">SEVERE</w:t>
            </w:r>
          </w:p>
        </w:tc>
        <w:tc>
          <w:tcPr>
            <w:tcW w:type="dxa" w:w="136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222222"/>
                <w:sz w:val="18"/>
                <w:szCs w:val="18"/>
              </w:rPr>
              <w:t xml:space="preserve">P1 — Immediate</w:t>
            </w:r>
          </w:p>
        </w:tc>
      </w:tr>
      <w:tr>
        <w:tc>
          <w:tcPr>
            <w:tcW w:type="dxa" w:w="32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Cross-chain bridge obfuscation</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C8952A"/>
                <w:sz w:val="18"/>
                <w:szCs w:val="18"/>
              </w:rPr>
              <w:t xml:space="preserve">HIGH</w:t>
            </w:r>
          </w:p>
        </w:tc>
        <w:tc>
          <w:tcPr>
            <w:tcW w:type="dxa" w:w="136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222222"/>
                <w:sz w:val="18"/>
                <w:szCs w:val="18"/>
              </w:rPr>
              <w:t xml:space="preserve">P2 — 6 Months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Privacy coin usage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C8952A"/>
                <w:sz w:val="18"/>
                <w:szCs w:val="18"/>
              </w:rPr>
              <w:t xml:space="preserve">HIGH</w:t>
            </w:r>
          </w:p>
        </w:tc>
        <w:tc>
          <w:tcPr>
            <w:tcW w:type="dxa" w:w="136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222222"/>
                <w:sz w:val="18"/>
                <w:szCs w:val="18"/>
              </w:rPr>
              <w:t xml:space="preserve">P2 — 6 Months</w:t>
            </w:r>
          </w:p>
        </w:tc>
      </w:tr>
      <w:tr>
        <w:tc>
          <w:tcPr>
            <w:tcW w:type="dxa" w:w="32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NFT ML gap</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pPr>
              <w:jc w:val="center"/>
            </w:pPr>
            <w:r>
              <w:rPr>
                <w:rFonts w:ascii="Arial" w:cs="Arial" w:eastAsia="Arial" w:hAnsi="Arial"/>
                <w:color w:val="1A7A4A"/>
                <w:sz w:val="18"/>
                <w:szCs w:val="18"/>
              </w:rPr>
              <w:t xml:space="preserve">MEDIUM</w:t>
            </w:r>
          </w:p>
        </w:tc>
        <w:tc>
          <w:tcPr>
            <w:tcW w:type="dxa" w:w="136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pPr>
              <w:jc w:val="center"/>
            </w:pPr>
            <w:r>
              <w:rPr>
                <w:rFonts w:ascii="Arial" w:cs="Arial" w:eastAsia="Arial" w:hAnsi="Arial"/>
                <w:color w:val="222222"/>
                <w:sz w:val="18"/>
                <w:szCs w:val="18"/>
              </w:rPr>
              <w:t xml:space="preserve">P3 — 12 Months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Crypto-real estate nexus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C8952A"/>
                <w:sz w:val="18"/>
                <w:szCs w:val="18"/>
              </w:rPr>
              <w:t xml:space="preserve">HIGH</w:t>
            </w:r>
          </w:p>
        </w:tc>
        <w:tc>
          <w:tcPr>
            <w:tcW w:type="dxa" w:w="136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222222"/>
                <w:sz w:val="18"/>
                <w:szCs w:val="18"/>
              </w:rPr>
              <w:t xml:space="preserve">P2 — 6 Months</w:t>
            </w:r>
          </w:p>
        </w:tc>
      </w:tr>
      <w:tr>
        <w:tc>
          <w:tcPr>
            <w:tcW w:type="dxa" w:w="32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No Travel Rule implementation</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Critical</w:t>
            </w:r>
          </w:p>
        </w:tc>
        <w:tc>
          <w:tcPr>
            <w:tcW w:type="dxa" w:w="160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C0392B"/>
                <w:sz w:val="18"/>
                <w:szCs w:val="18"/>
              </w:rPr>
              <w:t xml:space="preserve">SEVERE</w:t>
            </w:r>
          </w:p>
        </w:tc>
        <w:tc>
          <w:tcPr>
            <w:tcW w:type="dxa" w:w="136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222222"/>
                <w:sz w:val="18"/>
                <w:szCs w:val="18"/>
              </w:rPr>
              <w:t xml:space="preserve">P1 — Immediate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Stablecoin FEMA gap</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C0392B"/>
                <w:sz w:val="18"/>
                <w:szCs w:val="18"/>
              </w:rPr>
              <w:t xml:space="preserve">SEVERE</w:t>
            </w:r>
          </w:p>
        </w:tc>
        <w:tc>
          <w:tcPr>
            <w:tcW w:type="dxa" w:w="136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222222"/>
                <w:sz w:val="18"/>
                <w:szCs w:val="18"/>
              </w:rPr>
              <w:t xml:space="preserve">P1 — Immediate</w:t>
            </w:r>
          </w:p>
        </w:tc>
      </w:tr>
      <w:tr>
        <w:tc>
          <w:tcPr>
            <w:tcW w:type="dxa" w:w="32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No crypto investor protection</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C8952A"/>
                <w:sz w:val="18"/>
                <w:szCs w:val="18"/>
              </w:rPr>
              <w:t xml:space="preserve">HIGH</w:t>
            </w:r>
          </w:p>
        </w:tc>
        <w:tc>
          <w:tcPr>
            <w:tcW w:type="dxa" w:w="136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222222"/>
                <w:sz w:val="18"/>
                <w:szCs w:val="18"/>
              </w:rPr>
              <w:t xml:space="preserve">P2 — 6 Months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08</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INTERNATIONAL BEST PRACTICES — COMPARATIVE ANALYSIS</w:t>
            </w:r>
          </w:p>
        </w:tc>
      </w:tr>
    </w:tbl>
    <w:p>
      <w:pPr>
        <w:spacing w:after="80"/>
      </w:pPr>
      <w:r>
        <w:rPr>
          <w:rFonts w:ascii="Arial" w:cs="Arial" w:eastAsia="Arial" w:hAnsi="Arial"/>
        </w:rPr>
        <w:t xml:space="preserve"/>
      </w:r>
    </w:p>
    <w:p>
      <w:pPr>
        <w:spacing w:after="140"/>
        <w:jc w:val="both"/>
      </w:pPr>
      <w:r>
        <w:rPr>
          <w:rFonts w:ascii="Arial" w:cs="Arial" w:eastAsia="Arial" w:hAnsi="Arial"/>
          <w:color w:val="222222"/>
          <w:sz w:val="20"/>
          <w:szCs w:val="20"/>
        </w:rPr>
        <w:t xml:space="preserve">India need not reinvent the wheel. Several jurisdictions have developed sophisticated, battle-tested crypto regulatory frameworks that India can selectively adopt and adapt to its unique economic context, democratic political system, and technological infrastructure capacity.</w:t>
      </w:r>
    </w:p>
    <w:p>
      <w:pPr>
        <w:pStyle w:val="Heading2"/>
        <w:spacing w:after="120" w:before="240"/>
      </w:pPr>
      <w:r>
        <w:rPr>
          <w:rFonts w:ascii="Arial" w:cs="Arial" w:eastAsia="Arial" w:hAnsi="Arial"/>
          <w:b/>
          <w:bCs/>
          <w:color w:val="0E7C86"/>
          <w:sz w:val="24"/>
          <w:szCs w:val="24"/>
        </w:rPr>
        <w:t xml:space="preserve">8.1 The European Union — MiCA Framework</w:t>
      </w:r>
    </w:p>
    <w:p>
      <w:pPr>
        <w:spacing w:after="140"/>
        <w:jc w:val="both"/>
      </w:pPr>
      <w:r>
        <w:rPr>
          <w:rFonts w:ascii="Arial" w:cs="Arial" w:eastAsia="Arial" w:hAnsi="Arial"/>
          <w:color w:val="222222"/>
          <w:sz w:val="20"/>
          <w:szCs w:val="20"/>
        </w:rPr>
        <w:t xml:space="preserve">The EU's Markets in Crypto-Assets Regulation (MiCA), fully applicable from December 2024, is the world's most comprehensive crypto regulatory framework. Key features relevant to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MiCA Provision</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India Applicability &amp; Adaptation Recommendation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CASP Licensing: EU-wide passport for registered crypto service providers; minimum capital requirements (€50K–€150K depending on service)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Introduce tiered VASP licensing — Category A (National Exchange): ₹50 Cr net worth; Category B (Regional): ₹10 Cr; Category C (P2P/OTC Desk): ₹2 Cr; mutual recognition with select jurisdictions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Asset-Referenced Token (ART) Rules: Stablecoin issuers must hold 100% liquid reserves; daily publication of reserve composition; RBA supervision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Stablecoin issuers (including offshore USDT/USDC issuers serving India) must register with RBI; submit quarterly reserve attestation; subject to RBI liquidity supervision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Electronic Money Token (EMT) Rules: Fiat-pegged tokens treated as e-money; bank license required</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e-₹ positioned as India's EMT; all private INR-pegged stablecoins must obtain RBI payment system approval under PSS Act 2007</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White Paper Requirement: All crypto-asset issuers must file a detailed white paper; liability for misleading content</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Require White Paper filing with SEBI for all VDA ICOs/IDOs/IEOs targeting Indian investors; civil liability for material misstatements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Market Abuse Prohibition: Insider trading, market manipulation in crypto explicitly prohibited</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Amend SEBI (Prohibition of Insider Trading) Regulations, 2015 and PFUTP Regulations to explicitly cover VDA markets</w:t>
            </w:r>
          </w:p>
        </w:tc>
      </w:tr>
    </w:tbl>
    <w:p>
      <w:pPr>
        <w:pStyle w:val="Heading2"/>
        <w:spacing w:after="120" w:before="240"/>
      </w:pPr>
      <w:r>
        <w:rPr>
          <w:rFonts w:ascii="Arial" w:cs="Arial" w:eastAsia="Arial" w:hAnsi="Arial"/>
          <w:b/>
          <w:bCs/>
          <w:color w:val="0E7C86"/>
          <w:sz w:val="24"/>
          <w:szCs w:val="24"/>
        </w:rPr>
        <w:t xml:space="preserve">8.2 United States — Multi-Agency Framework</w:t>
      </w:r>
    </w:p>
    <w:p>
      <w:pPr>
        <w:spacing w:after="140"/>
        <w:jc w:val="both"/>
      </w:pPr>
      <w:r>
        <w:rPr>
          <w:rFonts w:ascii="Arial" w:cs="Arial" w:eastAsia="Arial" w:hAnsi="Arial"/>
          <w:color w:val="222222"/>
          <w:sz w:val="20"/>
          <w:szCs w:val="20"/>
        </w:rPr>
        <w:t xml:space="preserve">The US crypto regulatory landscape is fragmented but instructive, driven by the SEC, CFTC, FinCEN, OCC, and state-level BitLicense (New York). Key lessons for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 Framework Element</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India Adaptation Potential</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SEC Enforcement — Securities-Like VDAs: The SEC has sued Coinbase, Binance, Kraken, and others for offering unregistered securities. Howey Test applied to classify tokens.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SEBI should issue a Token Classification Framework — applying Howey-equivalent tests; utility tokens vs. security tokens classification; compulsory registration for security tokens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Bank Secrecy Act / FinCEN Rules: All MSBs (Money Services Businesses) including crypto exchanges must register with FinCEN; SAR/CTR filing obligations; Travel Rule enforced by FinCEN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FIU-IND equivalent obligations fully replicated for VDA SPs; Travel Rule enacted as standalone FIU-IND Circular; SAR/STR filing made automated via API integration with FIU-IND portal</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IRS Crypto Tax Guidance: Form 1099-DA (Digital Asset) — mandatory broker reporting; cost basis tracking; DeFi broker rules (proposed)</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CBDT Form 26AS integration for VDA SP reporting; mandatory CBDT Schedule VI-B in ITR for all VDA transactions; broker reporting mandate for all FIU-IND registered CASPs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OFAC Sanctions — Tornado Cash precedent: Treasury OFAC sanctioned Tornado Cash smart contract addresses — novel application of sanctions to software</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 FIU-IND designated list to include sanctioned wallet addresses and smart contract addresses; mandatory screening by all registered VDA SPs before processing transactions</w:t>
            </w:r>
          </w:p>
        </w:tc>
      </w:tr>
    </w:tbl>
    <w:p>
      <w:pPr>
        <w:pStyle w:val="Heading2"/>
        <w:spacing w:after="120" w:before="240"/>
      </w:pPr>
      <w:r>
        <w:rPr>
          <w:rFonts w:ascii="Arial" w:cs="Arial" w:eastAsia="Arial" w:hAnsi="Arial"/>
          <w:b/>
          <w:bCs/>
          <w:color w:val="0E7C86"/>
          <w:sz w:val="24"/>
          <w:szCs w:val="24"/>
        </w:rPr>
        <w:t xml:space="preserve">8.3 Singapore — MAS Technology-Neutral Approach</w:t>
      </w:r>
    </w:p>
    <w:p>
      <w:pPr>
        <w:spacing w:after="140"/>
        <w:jc w:val="both"/>
      </w:pPr>
      <w:r>
        <w:rPr>
          <w:rFonts w:ascii="Arial" w:cs="Arial" w:eastAsia="Arial" w:hAnsi="Arial"/>
          <w:color w:val="222222"/>
          <w:sz w:val="20"/>
          <w:szCs w:val="20"/>
        </w:rPr>
        <w:t xml:space="preserve">The Monetary Authority of Singapore (MAS) has built the most business-friendly yet comprehensive crypto framework through the Payment Services Act (PSA) 2019 (amended 2022). Key features:</w:t>
      </w:r>
    </w:p>
    <w:p>
      <w:pPr>
        <w:pStyle w:val="ListParagraph"/>
        <w:numPr>
          <w:ilvl w:val="0"/>
          <w:numId w:val="2"/>
        </w:numPr>
        <w:spacing w:after="80"/>
      </w:pPr>
      <w:r>
        <w:rPr>
          <w:rFonts w:ascii="Arial" w:cs="Arial" w:eastAsia="Arial" w:hAnsi="Arial"/>
          <w:sz w:val="20"/>
          <w:szCs w:val="20"/>
        </w:rPr>
        <w:t xml:space="preserve">Digital Payment Token (DPT) service providers licensed under PSA — tiered from Standard to Major Payment Institution</w:t>
      </w:r>
    </w:p>
    <w:p>
      <w:pPr>
        <w:pStyle w:val="ListParagraph"/>
        <w:numPr>
          <w:ilvl w:val="0"/>
          <w:numId w:val="2"/>
        </w:numPr>
        <w:spacing w:after="80"/>
      </w:pPr>
      <w:r>
        <w:rPr>
          <w:rFonts w:ascii="Arial" w:cs="Arial" w:eastAsia="Arial" w:hAnsi="Arial"/>
          <w:sz w:val="20"/>
          <w:szCs w:val="20"/>
        </w:rPr>
        <w:t xml:space="preserve">MAS Technology Risk Management Guidelines applied to all licensed DPT providers — mandatory penetration testing, incident response plans, cold storage requirements</w:t>
      </w:r>
    </w:p>
    <w:p>
      <w:pPr>
        <w:pStyle w:val="ListParagraph"/>
        <w:numPr>
          <w:ilvl w:val="0"/>
          <w:numId w:val="2"/>
        </w:numPr>
        <w:spacing w:after="80"/>
      </w:pPr>
      <w:r>
        <w:rPr>
          <w:rFonts w:ascii="Arial" w:cs="Arial" w:eastAsia="Arial" w:hAnsi="Arial"/>
          <w:sz w:val="20"/>
          <w:szCs w:val="20"/>
        </w:rPr>
        <w:t xml:space="preserve">Retail Investor Suitability: MAS mandates customer knowledge assessments before allowing retail access to crypto derivatives</w:t>
      </w:r>
    </w:p>
    <w:p>
      <w:pPr>
        <w:pStyle w:val="ListParagraph"/>
        <w:numPr>
          <w:ilvl w:val="0"/>
          <w:numId w:val="2"/>
        </w:numPr>
        <w:spacing w:after="80"/>
      </w:pPr>
      <w:r>
        <w:rPr>
          <w:rFonts w:ascii="Arial" w:cs="Arial" w:eastAsia="Arial" w:hAnsi="Arial"/>
          <w:sz w:val="20"/>
          <w:szCs w:val="20"/>
        </w:rPr>
        <w:t xml:space="preserve">No ban on crypto but strong consumer protection through mandatory risk disclosures, no leverage for retail, advertising restrictions</w:t>
      </w:r>
    </w:p>
    <w:p>
      <w:pPr>
        <w:spacing w:after="140"/>
        <w:jc w:val="both"/>
      </w:pPr>
      <w:r>
        <w:rPr>
          <w:rFonts w:ascii="Arial" w:cs="Arial" w:eastAsia="Arial" w:hAnsi="Arial"/>
          <w:color w:val="222222"/>
          <w:sz w:val="20"/>
          <w:szCs w:val="20"/>
        </w:rPr>
        <w:t xml:space="preserve">India Adaptation: Singapore's 'regulate the intermediary, not the technology' approach is directly applicable. India's proposed crypto legislation should focus on comprehensive VASP licensing rather than attempting to regulate individual protocols.</w:t>
      </w:r>
    </w:p>
    <w:p>
      <w:pPr>
        <w:pStyle w:val="Heading2"/>
        <w:spacing w:after="120" w:before="240"/>
      </w:pPr>
      <w:r>
        <w:rPr>
          <w:rFonts w:ascii="Arial" w:cs="Arial" w:eastAsia="Arial" w:hAnsi="Arial"/>
          <w:b/>
          <w:bCs/>
          <w:color w:val="0E7C86"/>
          <w:sz w:val="24"/>
          <w:szCs w:val="24"/>
        </w:rPr>
        <w:t xml:space="preserve">8.4 UAE — VARA Framework</w:t>
      </w:r>
    </w:p>
    <w:p>
      <w:pPr>
        <w:spacing w:after="140"/>
        <w:jc w:val="both"/>
      </w:pPr>
      <w:r>
        <w:rPr>
          <w:rFonts w:ascii="Arial" w:cs="Arial" w:eastAsia="Arial" w:hAnsi="Arial"/>
          <w:color w:val="222222"/>
          <w:sz w:val="20"/>
          <w:szCs w:val="20"/>
        </w:rPr>
        <w:t xml:space="preserve">The UAE's Virtual Assets Regulatory Authority (VARA) — established 2022 in Dubai — provides a comprehensive licensing regime covering 7 categories of VA activities: Advisory, Broker-Dealer, Custody, Exchange, Lending/Borrowing, Payment, and Staking. VARA's 2023 Rulebook includes mandatory market surveillance, 100% reserve requirements for VASPs holding customer assets, and real-time reporting obligations.</w:t>
      </w:r>
    </w:p>
    <w:p>
      <w:pPr>
        <w:spacing w:after="140"/>
        <w:jc w:val="both"/>
      </w:pPr>
      <w:r>
        <w:rPr>
          <w:rFonts w:ascii="Arial" w:cs="Arial" w:eastAsia="Arial" w:hAnsi="Arial"/>
          <w:color w:val="222222"/>
          <w:sz w:val="20"/>
          <w:szCs w:val="20"/>
        </w:rPr>
        <w:t xml:space="preserve">India Adaptation: VARA's activity-based (rather than entity-based) licensing is superior for covering DeFi-adjacent activities. India should consider similar activity-based licensing alongside entity-based registration to capture non-custodial VDA activities.</w:t>
      </w:r>
    </w:p>
    <w:p>
      <w:pPr>
        <w:pStyle w:val="Heading2"/>
        <w:spacing w:after="120" w:before="240"/>
      </w:pPr>
      <w:r>
        <w:rPr>
          <w:rFonts w:ascii="Arial" w:cs="Arial" w:eastAsia="Arial" w:hAnsi="Arial"/>
          <w:b/>
          <w:bCs/>
          <w:color w:val="0E7C86"/>
          <w:sz w:val="24"/>
          <w:szCs w:val="24"/>
        </w:rPr>
        <w:t xml:space="preserve">8.5 Japan — FSA's Comprehensive VASP Regime</w:t>
      </w:r>
    </w:p>
    <w:p>
      <w:pPr>
        <w:spacing w:after="140"/>
        <w:jc w:val="both"/>
      </w:pPr>
      <w:r>
        <w:rPr>
          <w:rFonts w:ascii="Arial" w:cs="Arial" w:eastAsia="Arial" w:hAnsi="Arial"/>
          <w:color w:val="222222"/>
          <w:sz w:val="20"/>
          <w:szCs w:val="20"/>
        </w:rPr>
        <w:t xml:space="preserve">Japan's Financial Services Agency (FSA) has the world's most mature VASP regulatory regime, developed post-Mt.Gox collapse (2014) and the Coincheck hack (2018). Key elements:</w:t>
      </w:r>
    </w:p>
    <w:p>
      <w:pPr>
        <w:pStyle w:val="ListParagraph"/>
        <w:numPr>
          <w:ilvl w:val="0"/>
          <w:numId w:val="2"/>
        </w:numPr>
        <w:spacing w:after="80"/>
      </w:pPr>
      <w:r>
        <w:rPr>
          <w:rFonts w:ascii="Arial" w:cs="Arial" w:eastAsia="Arial" w:hAnsi="Arial"/>
          <w:sz w:val="20"/>
          <w:szCs w:val="20"/>
        </w:rPr>
        <w:t xml:space="preserve">Payment Services Act — mandatory FSA registration for all crypto exchanges; on-site inspections; annual audits</w:t>
      </w:r>
    </w:p>
    <w:p>
      <w:pPr>
        <w:pStyle w:val="ListParagraph"/>
        <w:numPr>
          <w:ilvl w:val="0"/>
          <w:numId w:val="2"/>
        </w:numPr>
        <w:spacing w:after="80"/>
      </w:pPr>
      <w:r>
        <w:rPr>
          <w:rFonts w:ascii="Arial" w:cs="Arial" w:eastAsia="Arial" w:hAnsi="Arial"/>
          <w:sz w:val="20"/>
          <w:szCs w:val="20"/>
        </w:rPr>
        <w:t xml:space="preserve">Mandatory cold storage of 95%+ customer assets — hot wallet exposure capped at 5%</w:t>
      </w:r>
    </w:p>
    <w:p>
      <w:pPr>
        <w:pStyle w:val="ListParagraph"/>
        <w:numPr>
          <w:ilvl w:val="0"/>
          <w:numId w:val="2"/>
        </w:numPr>
        <w:spacing w:after="80"/>
      </w:pPr>
      <w:r>
        <w:rPr>
          <w:rFonts w:ascii="Arial" w:cs="Arial" w:eastAsia="Arial" w:hAnsi="Arial"/>
          <w:sz w:val="20"/>
          <w:szCs w:val="20"/>
        </w:rPr>
        <w:t xml:space="preserve">Separate customer asset custody — exchange bankruptcy ring-fencing</w:t>
      </w:r>
    </w:p>
    <w:p>
      <w:pPr>
        <w:pStyle w:val="ListParagraph"/>
        <w:numPr>
          <w:ilvl w:val="0"/>
          <w:numId w:val="2"/>
        </w:numPr>
        <w:spacing w:after="80"/>
      </w:pPr>
      <w:r>
        <w:rPr>
          <w:rFonts w:ascii="Arial" w:cs="Arial" w:eastAsia="Arial" w:hAnsi="Arial"/>
          <w:sz w:val="20"/>
          <w:szCs w:val="20"/>
        </w:rPr>
        <w:t xml:space="preserve">Privacy coin ban — Monero, ZCash, DASH delisted by all Japanese exchanges post-FSA guidance</w:t>
      </w:r>
    </w:p>
    <w:p>
      <w:pPr>
        <w:pStyle w:val="ListParagraph"/>
        <w:numPr>
          <w:ilvl w:val="0"/>
          <w:numId w:val="2"/>
        </w:numPr>
        <w:spacing w:after="80"/>
      </w:pPr>
      <w:r>
        <w:rPr>
          <w:rFonts w:ascii="Arial" w:cs="Arial" w:eastAsia="Arial" w:hAnsi="Arial"/>
          <w:sz w:val="20"/>
          <w:szCs w:val="20"/>
        </w:rPr>
        <w:t xml:space="preserve">Travel Rule implemented via JVCEA (Japan Virtual and Crypto assets Exchange Association) since 2023</w:t>
      </w:r>
    </w:p>
    <w:p>
      <w:pPr>
        <w:spacing w:after="140"/>
        <w:jc w:val="both"/>
      </w:pPr>
      <w:r>
        <w:rPr>
          <w:rFonts w:ascii="Arial" w:cs="Arial" w:eastAsia="Arial" w:hAnsi="Arial"/>
          <w:color w:val="222222"/>
          <w:sz w:val="20"/>
          <w:szCs w:val="20"/>
        </w:rPr>
        <w:t xml:space="preserve">India Adaptation: Japan's cold storage mandate and travel rule implementation are directly adoptable. The JVCEA self-regulatory organisation model — a government-recognised industry body with delegated regulatory powers — is highly relevant for India's crypto ecosystem given the need for technical expertise.</w:t>
      </w:r>
    </w:p>
    <w:p>
      <w:pPr>
        <w:pStyle w:val="Heading2"/>
        <w:spacing w:after="120" w:before="240"/>
      </w:pPr>
      <w:r>
        <w:rPr>
          <w:rFonts w:ascii="Arial" w:cs="Arial" w:eastAsia="Arial" w:hAnsi="Arial"/>
          <w:b/>
          <w:bCs/>
          <w:color w:val="0E7C86"/>
          <w:sz w:val="24"/>
          <w:szCs w:val="24"/>
        </w:rPr>
        <w:t xml:space="preserve">8.6 International Comparison Matrix</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680"/>
        <w:gridCol w:w="1360"/>
        <w:gridCol w:w="1360"/>
        <w:gridCol w:w="1400"/>
        <w:gridCol w:w="1280"/>
        <w:gridCol w:w="1280"/>
      </w:tblGrid>
      <w:tr>
        <w:tc>
          <w:tcPr>
            <w:tcW w:type="dxa" w:w="14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Country</w:t>
            </w:r>
          </w:p>
        </w:tc>
        <w:tc>
          <w:tcPr>
            <w:tcW w:type="dxa" w:w="168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Primary Law</w:t>
            </w:r>
          </w:p>
        </w:tc>
        <w:tc>
          <w:tcPr>
            <w:tcW w:type="dxa" w:w="136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Licensing</w:t>
            </w:r>
          </w:p>
        </w:tc>
        <w:tc>
          <w:tcPr>
            <w:tcW w:type="dxa" w:w="136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Travel Rule</w:t>
            </w:r>
          </w:p>
        </w:tc>
        <w:tc>
          <w:tcPr>
            <w:tcW w:type="dxa" w:w="14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Stablecoin Rules</w:t>
            </w:r>
          </w:p>
        </w:tc>
        <w:tc>
          <w:tcPr>
            <w:tcW w:type="dxa" w:w="128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DeFi Coverage</w:t>
            </w:r>
          </w:p>
        </w:tc>
        <w:tc>
          <w:tcPr>
            <w:tcW w:type="dxa" w:w="128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Tax Framework</w:t>
            </w:r>
          </w:p>
        </w:tc>
      </w:tr>
      <w:tr>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EU (MiCA)</w:t>
            </w:r>
          </w:p>
        </w:tc>
        <w:tc>
          <w:tcPr>
            <w:tcW w:type="dxa" w:w="16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MiCA Regulation 2023</w:t>
            </w:r>
          </w:p>
        </w:tc>
        <w:tc>
          <w:tcPr>
            <w:tcW w:type="dxa" w:w="13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CASP License</w:t>
            </w:r>
          </w:p>
        </w:tc>
        <w:tc>
          <w:tcPr>
            <w:tcW w:type="dxa" w:w="13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Implemented</w:t>
            </w:r>
          </w:p>
        </w:tc>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Full (ART/EMT)</w:t>
            </w:r>
          </w:p>
        </w:tc>
        <w:tc>
          <w:tcPr>
            <w:tcW w:type="dxa" w:w="12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Frontend targeted</w:t>
            </w:r>
          </w:p>
        </w:tc>
        <w:tc>
          <w:tcPr>
            <w:tcW w:type="dxa" w:w="12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Country-level</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USA</w:t>
            </w:r>
          </w:p>
        </w:tc>
        <w:tc>
          <w:tcPr>
            <w:tcW w:type="dxa" w:w="16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BSA/SEC/CFTC</w:t>
            </w:r>
          </w:p>
        </w:tc>
        <w:tc>
          <w:tcPr>
            <w:tcW w:type="dxa" w:w="1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MSB + State</w:t>
            </w:r>
          </w:p>
        </w:tc>
        <w:tc>
          <w:tcPr>
            <w:tcW w:type="dxa" w:w="1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FinCEN enforced</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Proposed STABLE Act</w:t>
            </w:r>
          </w:p>
        </w:tc>
        <w:tc>
          <w:tcPr>
            <w:tcW w:type="dxa" w:w="12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Proposed rules</w:t>
            </w:r>
          </w:p>
        </w:tc>
        <w:tc>
          <w:tcPr>
            <w:tcW w:type="dxa" w:w="12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IRS Form 1099-DA</w:t>
            </w:r>
          </w:p>
        </w:tc>
      </w:tr>
      <w:tr>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Singapore</w:t>
            </w:r>
          </w:p>
        </w:tc>
        <w:tc>
          <w:tcPr>
            <w:tcW w:type="dxa" w:w="16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PSA 2019 (amend.)</w:t>
            </w:r>
          </w:p>
        </w:tc>
        <w:tc>
          <w:tcPr>
            <w:tcW w:type="dxa" w:w="13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MPI/SPI tiers</w:t>
            </w:r>
          </w:p>
        </w:tc>
        <w:tc>
          <w:tcPr>
            <w:tcW w:type="dxa" w:w="13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MAS PSN02</w:t>
            </w:r>
          </w:p>
        </w:tc>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E-Money rules</w:t>
            </w:r>
          </w:p>
        </w:tc>
        <w:tc>
          <w:tcPr>
            <w:tcW w:type="dxa" w:w="12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MAS guidance</w:t>
            </w:r>
          </w:p>
        </w:tc>
        <w:tc>
          <w:tcPr>
            <w:tcW w:type="dxa" w:w="12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 capital gains tax</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UAE (VARA)</w:t>
            </w:r>
          </w:p>
        </w:tc>
        <w:tc>
          <w:tcPr>
            <w:tcW w:type="dxa" w:w="16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VARA Rulebook 2023</w:t>
            </w:r>
          </w:p>
        </w:tc>
        <w:tc>
          <w:tcPr>
            <w:tcW w:type="dxa" w:w="1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 categories</w:t>
            </w:r>
          </w:p>
        </w:tc>
        <w:tc>
          <w:tcPr>
            <w:tcW w:type="dxa" w:w="1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Implemented</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Full reserve rules</w:t>
            </w:r>
          </w:p>
        </w:tc>
        <w:tc>
          <w:tcPr>
            <w:tcW w:type="dxa" w:w="12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Activity-based</w:t>
            </w:r>
          </w:p>
        </w:tc>
        <w:tc>
          <w:tcPr>
            <w:tcW w:type="dxa" w:w="12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crypto tax</w:t>
            </w:r>
          </w:p>
        </w:tc>
      </w:tr>
      <w:tr>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Japan</w:t>
            </w:r>
          </w:p>
        </w:tc>
        <w:tc>
          <w:tcPr>
            <w:tcW w:type="dxa" w:w="16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PSA / FIEA</w:t>
            </w:r>
          </w:p>
        </w:tc>
        <w:tc>
          <w:tcPr>
            <w:tcW w:type="dxa" w:w="13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FSA Registration</w:t>
            </w:r>
          </w:p>
        </w:tc>
        <w:tc>
          <w:tcPr>
            <w:tcW w:type="dxa" w:w="13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JVCEA 2023</w:t>
            </w:r>
          </w:p>
        </w:tc>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Stablecoin Act 2023</w:t>
            </w:r>
          </w:p>
        </w:tc>
        <w:tc>
          <w:tcPr>
            <w:tcW w:type="dxa" w:w="12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Limited</w:t>
            </w:r>
          </w:p>
        </w:tc>
        <w:tc>
          <w:tcPr>
            <w:tcW w:type="dxa" w:w="12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20-55% (misc. income)</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South Korea</w:t>
            </w:r>
          </w:p>
        </w:tc>
        <w:tc>
          <w:tcPr>
            <w:tcW w:type="dxa" w:w="16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VASP Act 2021</w:t>
            </w:r>
          </w:p>
        </w:tc>
        <w:tc>
          <w:tcPr>
            <w:tcW w:type="dxa" w:w="1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FIU Registration</w:t>
            </w:r>
          </w:p>
        </w:tc>
        <w:tc>
          <w:tcPr>
            <w:tcW w:type="dxa" w:w="1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Implemented</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Pending</w:t>
            </w:r>
          </w:p>
        </w:tc>
        <w:tc>
          <w:tcPr>
            <w:tcW w:type="dxa" w:w="12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Not addressed</w:t>
            </w:r>
          </w:p>
        </w:tc>
        <w:tc>
          <w:tcPr>
            <w:tcW w:type="dxa" w:w="128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 from 2025</w:t>
            </w:r>
          </w:p>
        </w:tc>
      </w:tr>
      <w:tr>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India (Current)</w:t>
            </w:r>
          </w:p>
        </w:tc>
        <w:tc>
          <w:tcPr>
            <w:tcW w:type="dxa" w:w="16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PMLA notif. 2023</w:t>
            </w:r>
          </w:p>
        </w:tc>
        <w:tc>
          <w:tcPr>
            <w:tcW w:type="dxa" w:w="13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FIU-IND only</w:t>
            </w:r>
          </w:p>
        </w:tc>
        <w:tc>
          <w:tcPr>
            <w:tcW w:type="dxa" w:w="13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NOT enacted</w:t>
            </w:r>
          </w:p>
        </w:tc>
        <w:tc>
          <w:tcPr>
            <w:tcW w:type="dxa" w:w="14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None</w:t>
            </w:r>
          </w:p>
        </w:tc>
        <w:tc>
          <w:tcPr>
            <w:tcW w:type="dxa" w:w="12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None</w:t>
            </w:r>
          </w:p>
        </w:tc>
        <w:tc>
          <w:tcPr>
            <w:tcW w:type="dxa" w:w="128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30%+1% TDS</w:t>
            </w:r>
          </w:p>
        </w:tc>
      </w:tr>
    </w:tbl>
    <w:p>
      <w:pPr>
        <w:spacing w:after="200" w:before="60"/>
        <w:jc w:val="center"/>
      </w:pPr>
      <w:r>
        <w:rPr>
          <w:rFonts w:ascii="Arial" w:cs="Arial" w:eastAsia="Arial" w:hAnsi="Arial"/>
          <w:i/>
          <w:iCs/>
          <w:color w:val="4A5568"/>
          <w:sz w:val="18"/>
          <w:szCs w:val="18"/>
        </w:rPr>
        <w:t xml:space="preserve">Table 8.1 — Global Crypto Regulatory Comparison Matrix —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09</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RISKS FROM GLOBAL CRYPTO ADOPTION</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0E7C86"/>
          <w:sz w:val="24"/>
          <w:szCs w:val="24"/>
        </w:rPr>
        <w:t xml:space="preserve">9.1 Bitcoin as Reserve Asset — Geopolitical Risk</w:t>
      </w:r>
    </w:p>
    <w:p>
      <w:pPr>
        <w:spacing w:after="140"/>
        <w:jc w:val="both"/>
      </w:pPr>
      <w:r>
        <w:rPr>
          <w:rFonts w:ascii="Arial" w:cs="Arial" w:eastAsia="Arial" w:hAnsi="Arial"/>
          <w:color w:val="222222"/>
          <w:sz w:val="20"/>
          <w:szCs w:val="20"/>
        </w:rPr>
        <w:t xml:space="preserve">El Salvador's 2021 Bitcoin legal tender law — while its mandatory acceptance provisions were rolled back in 2024 under IMF pressure — opened a precedent debate. Several nations (Central African Republic, Argentina's Provinces, various city-states) have explored crypto as a supplementary reserve. If major economies begin adding Bitcoin to sovereign wealth funds or reserve portfolios, India faces:</w:t>
      </w:r>
    </w:p>
    <w:p>
      <w:pPr>
        <w:pStyle w:val="ListParagraph"/>
        <w:numPr>
          <w:ilvl w:val="0"/>
          <w:numId w:val="2"/>
        </w:numPr>
        <w:spacing w:after="80"/>
      </w:pPr>
      <w:r>
        <w:rPr>
          <w:rFonts w:ascii="Arial" w:cs="Arial" w:eastAsia="Arial" w:hAnsi="Arial"/>
          <w:sz w:val="20"/>
          <w:szCs w:val="20"/>
        </w:rPr>
        <w:t xml:space="preserve">Rupee-denominated trade settlement pressure if India's trading partners price commodities partially in Bitcoin</w:t>
      </w:r>
    </w:p>
    <w:p>
      <w:pPr>
        <w:pStyle w:val="ListParagraph"/>
        <w:numPr>
          <w:ilvl w:val="0"/>
          <w:numId w:val="2"/>
        </w:numPr>
        <w:spacing w:after="80"/>
      </w:pPr>
      <w:r>
        <w:rPr>
          <w:rFonts w:ascii="Arial" w:cs="Arial" w:eastAsia="Arial" w:hAnsi="Arial"/>
          <w:sz w:val="20"/>
          <w:szCs w:val="20"/>
        </w:rPr>
        <w:t xml:space="preserve">Foreign reserve strategy disruption if Bitcoin's volatility must be factored into India's USD 640 billion+ forex reserve management</w:t>
      </w:r>
    </w:p>
    <w:p>
      <w:pPr>
        <w:pStyle w:val="ListParagraph"/>
        <w:numPr>
          <w:ilvl w:val="0"/>
          <w:numId w:val="2"/>
        </w:numPr>
        <w:spacing w:after="80"/>
      </w:pPr>
      <w:r>
        <w:rPr>
          <w:rFonts w:ascii="Arial" w:cs="Arial" w:eastAsia="Arial" w:hAnsi="Arial"/>
          <w:sz w:val="20"/>
          <w:szCs w:val="20"/>
        </w:rPr>
        <w:t xml:space="preserve">Diplomatic pressure in global trade negotiations if India's crypto stance diverges significantly from key partners (UAE, Singapore, USA)</w:t>
      </w:r>
    </w:p>
    <w:p>
      <w:pPr>
        <w:pStyle w:val="Heading2"/>
        <w:spacing w:after="120" w:before="240"/>
      </w:pPr>
      <w:r>
        <w:rPr>
          <w:rFonts w:ascii="Arial" w:cs="Arial" w:eastAsia="Arial" w:hAnsi="Arial"/>
          <w:b/>
          <w:bCs/>
          <w:color w:val="0E7C86"/>
          <w:sz w:val="24"/>
          <w:szCs w:val="24"/>
        </w:rPr>
        <w:t xml:space="preserve">9.2 USDT/USDC Global Dominance — Dollar Hegemony Risk</w:t>
      </w:r>
    </w:p>
    <w:p>
      <w:pPr>
        <w:spacing w:after="140"/>
        <w:jc w:val="both"/>
      </w:pPr>
      <w:r>
        <w:rPr>
          <w:rFonts w:ascii="Arial" w:cs="Arial" w:eastAsia="Arial" w:hAnsi="Arial"/>
          <w:color w:val="222222"/>
          <w:sz w:val="20"/>
          <w:szCs w:val="20"/>
        </w:rPr>
        <w:t xml:space="preserve">USD-pegged stablecoins now transact more volume than Visa and Mastercard combined. Their global dominance represents a new vector for US dollar hegemony — one that India cannot address through traditional forex management. Every Indian who adopts USDT is, in effect, deepening India's dollar dependence outside the formal financial system. This has direct implications for India's 'de-dollarisation' policy objectives under the INR trade settlement initiatives (RBI's July 2022 framework for invoicing/settlement in INR for international trade).</w:t>
      </w:r>
    </w:p>
    <w:p>
      <w:pPr>
        <w:pStyle w:val="Heading2"/>
        <w:spacing w:after="120" w:before="240"/>
      </w:pPr>
      <w:r>
        <w:rPr>
          <w:rFonts w:ascii="Arial" w:cs="Arial" w:eastAsia="Arial" w:hAnsi="Arial"/>
          <w:b/>
          <w:bCs/>
          <w:color w:val="0E7C86"/>
          <w:sz w:val="24"/>
          <w:szCs w:val="24"/>
        </w:rPr>
        <w:t xml:space="preserve">9.3 CBDC Competition — Digital Rupee vs Global CBDCs</w:t>
      </w:r>
    </w:p>
    <w:p>
      <w:pPr>
        <w:spacing w:after="140"/>
        <w:jc w:val="both"/>
      </w:pPr>
      <w:r>
        <w:rPr>
          <w:rFonts w:ascii="Arial" w:cs="Arial" w:eastAsia="Arial" w:hAnsi="Arial"/>
          <w:color w:val="222222"/>
          <w:sz w:val="20"/>
          <w:szCs w:val="20"/>
        </w:rPr>
        <w:t xml:space="preserve">Over 130 countries are exploring CBDCs (BIS CBDC Tracker, 2026). Key risks for India's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CBDC Risk</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India-Specific Implication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Digital Yuan (e-CNY) regional adoption</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If China's BRICS trade partners adopt e-CNY for settlement, India's rupee trade settlement initiative faces competition. Crypto rails could accelerate e-CNY adoption in India's neighbourhood.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US FedNow + Digital Dollar proposal</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 future US CBDC or FedNow-linked stablecoin framework could entrench dollar dominance in digital payments. Indian diaspora remittances (USD 120 Bn/year) could shift to digital dollar rails, bypassing rupee conversion.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Multi-CBDC bridges (mBridge)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BIS's mBridge project (China, UAE, Thailand, HK) creates CBDC interoperability infrastructure that excludes India. Risk of India's exclusion from multilateral digital payment networks.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Programmable money competition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Private DeFi protocols offer programmable money (smart contract-based conditional payments) that e-₹ does not yet match. Enterprises may prefer DeFi programmability over e-₹ for supply chain finance.</w:t>
            </w:r>
          </w:p>
        </w:tc>
      </w:tr>
    </w:tbl>
    <w:p>
      <w:pPr>
        <w:pStyle w:val="Heading2"/>
        <w:spacing w:after="120" w:before="240"/>
      </w:pPr>
      <w:r>
        <w:rPr>
          <w:rFonts w:ascii="Arial" w:cs="Arial" w:eastAsia="Arial" w:hAnsi="Arial"/>
          <w:b/>
          <w:bCs/>
          <w:color w:val="0E7C86"/>
          <w:sz w:val="24"/>
          <w:szCs w:val="24"/>
        </w:rPr>
        <w:t xml:space="preserve">9.4 DeFi Systemic Risk — Global TVL Contagion</w:t>
      </w:r>
    </w:p>
    <w:p>
      <w:pPr>
        <w:spacing w:after="140"/>
        <w:jc w:val="both"/>
      </w:pPr>
      <w:r>
        <w:rPr>
          <w:rFonts w:ascii="Arial" w:cs="Arial" w:eastAsia="Arial" w:hAnsi="Arial"/>
          <w:color w:val="222222"/>
          <w:sz w:val="20"/>
          <w:szCs w:val="20"/>
        </w:rPr>
        <w:t xml:space="preserve">Total Value Locked in DeFi protocols globally exceeded USD 160 billion in Q1 2026. Large-scale DeFi exploits or smart contract failures (Terra/Luna collapse 2022 — USD 40 billion wiped out in 72 hours; Euler Finance hack 2023 — USD 197 million; Ronin Bridge hack — USD 625 million) demonstrate that DeFi's 'code-is-law' architecture creates systemic risks that propagate globally. India has no mechanism to insulate its financial system from DeFi contagion.</w:t>
      </w:r>
    </w:p>
    <w:p>
      <w:pPr>
        <w:pStyle w:val="Heading2"/>
        <w:spacing w:after="120" w:before="240"/>
      </w:pPr>
      <w:r>
        <w:rPr>
          <w:rFonts w:ascii="Arial" w:cs="Arial" w:eastAsia="Arial" w:hAnsi="Arial"/>
          <w:b/>
          <w:bCs/>
          <w:color w:val="0E7C86"/>
          <w:sz w:val="24"/>
          <w:szCs w:val="24"/>
        </w:rPr>
        <w:t xml:space="preserve">9.5 Crypto's Intersection with India's Sanctions Obligations</w:t>
      </w:r>
    </w:p>
    <w:p>
      <w:pPr>
        <w:spacing w:after="140"/>
        <w:jc w:val="both"/>
      </w:pPr>
      <w:r>
        <w:rPr>
          <w:rFonts w:ascii="Arial" w:cs="Arial" w:eastAsia="Arial" w:hAnsi="Arial"/>
          <w:color w:val="222222"/>
          <w:sz w:val="20"/>
          <w:szCs w:val="20"/>
        </w:rPr>
        <w:t xml:space="preserve">As a FATF member and UN Security Council resolution implementer, India is obligated to enforce financial sanctions. The OFAC (US) and UN-designated entities increasingly use cryptocurrency for sanctions evasion (North Korea's Lazarus Group has stolen USD 3+ billion in crypto since 2017, per UN Panel of Experts). Indian crypto exchanges must screen transactions against UN and India's UNSC list. Currently, no systematic screening mechanism exists for the full chain of crypto transactions — only the initial on-ramp is screened.</w:t>
      </w:r>
    </w:p>
    <w:p>
      <w:pPr>
        <w:pStyle w:val="Heading2"/>
        <w:spacing w:after="120" w:before="240"/>
      </w:pPr>
      <w:r>
        <w:rPr>
          <w:rFonts w:ascii="Arial" w:cs="Arial" w:eastAsia="Arial" w:hAnsi="Arial"/>
          <w:b/>
          <w:bCs/>
          <w:color w:val="0E7C86"/>
          <w:sz w:val="24"/>
          <w:szCs w:val="24"/>
        </w:rPr>
        <w:t xml:space="preserve">9.6 AI-Crypto Convergence Risks</w:t>
      </w:r>
    </w:p>
    <w:p>
      <w:pPr>
        <w:spacing w:after="140"/>
        <w:jc w:val="both"/>
      </w:pPr>
      <w:r>
        <w:rPr>
          <w:rFonts w:ascii="Arial" w:cs="Arial" w:eastAsia="Arial" w:hAnsi="Arial"/>
          <w:color w:val="222222"/>
          <w:sz w:val="20"/>
          <w:szCs w:val="20"/>
        </w:rPr>
        <w:t xml:space="preserve">The convergence of artificial intelligence with cryptocurrency creates new risks that India's regulatory framework is entirely unprepared for: AI-powered trading bots executing wash trades at microsecond speeds; AI-generated deepfake crypto scams (multiple high-profile cases in India, 2024–25 — aggregate losses ₹1,200+ Cr); autonomous DeFi agents conducting cross-chain arbitrage with no human oversight; and AI-powered smart contracts executing financial transactions that trigger regulatory obligations but have no legal 'person' accountable.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10</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FUND MOVEMENT MONITORING — ON-CHAIN INTELLIGENCE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India needs a national blockchain intelligence infrastructure — equivalent to what the US has built with Chainalysis, Elliptic, and TRM Labs integration into federal agencies. Without this, India is fighting 21st-century financial crime with 20th-century tools.</w:t>
            </w:r>
          </w:p>
        </w:tc>
      </w:tr>
    </w:tbl>
    <w:p>
      <w:pPr>
        <w:pStyle w:val="Heading2"/>
        <w:spacing w:after="120" w:before="240"/>
      </w:pPr>
      <w:r>
        <w:rPr>
          <w:rFonts w:ascii="Arial" w:cs="Arial" w:eastAsia="Arial" w:hAnsi="Arial"/>
          <w:b/>
          <w:bCs/>
          <w:color w:val="0E7C86"/>
          <w:sz w:val="24"/>
          <w:szCs w:val="24"/>
        </w:rPr>
        <w:t xml:space="preserve">10.1 Current Monitoring Architecture —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Monitoring Layer</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Status &amp; Gap</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On-chain transaction analytics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FIU-IND has a limited subscription to third-party blockchain analytics (reportedly Chainalysis). Coverage: Bitcoin, Ethereum. NOT covered: Solana, BNB Chain, Avalanche, Tron (USDT's dominant chain). CRITICAL GAP.</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Exchange data integration</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Domestic registered VDA SPs file STRs manually. No API-level real-time transaction data sharing with FIU-IND. Delay between suspicious transaction and STR filing: 1–30 days. MAJOR GAP.</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Cross-border wallet tracing</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ED/CBI can request exchange data via mutual legal assistance treaties (MLATs), but these take 6–18 months. By that time, crypto assets are irretrievably moved. CRITICAL GAP.</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P2P and OTC monitoring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Zero visibility. No regulatory hook for P2P Telegram groups. Hawala-crypto OTC desks operate without any monitoring. SEVERE GAP.</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DeFi protocol monitoring</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Technically possible via on-chain analytics for Ethereum/Solana DeFi but no legal framework to compel action on DeFi protocols (they are decentralised — no legal person to notify). STRUCTURAL GAP.</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Cross-chain bridge tracking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Advanced analytics (Chainalysis Reactor, TRM Labs) can track cross-chain asset movement, but India's capabilities are limited. Bridges used for obfuscation go undetected. HIGH-PRIORITY GAP.</w:t>
            </w:r>
          </w:p>
        </w:tc>
      </w:tr>
    </w:tbl>
    <w:p>
      <w:pPr>
        <w:pStyle w:val="Heading2"/>
        <w:spacing w:after="120" w:before="240"/>
      </w:pPr>
      <w:r>
        <w:rPr>
          <w:rFonts w:ascii="Arial" w:cs="Arial" w:eastAsia="Arial" w:hAnsi="Arial"/>
          <w:b/>
          <w:bCs/>
          <w:color w:val="0E7C86"/>
          <w:sz w:val="24"/>
          <w:szCs w:val="24"/>
        </w:rPr>
        <w:t xml:space="preserve">10.2 The FATF Travel Rule — India's Implementation Roadmap</w:t>
      </w:r>
    </w:p>
    <w:p>
      <w:pPr>
        <w:spacing w:after="140"/>
        <w:jc w:val="both"/>
      </w:pPr>
      <w:r>
        <w:rPr>
          <w:rFonts w:ascii="Arial" w:cs="Arial" w:eastAsia="Arial" w:hAnsi="Arial"/>
          <w:color w:val="222222"/>
          <w:sz w:val="20"/>
          <w:szCs w:val="20"/>
        </w:rPr>
        <w:t xml:space="preserve">The Travel Rule (FATF Recommendation 16) requires VASPs to transmit originator and beneficiary information alongside VDA transfers. Countries that have implemented Travel Rule:</w:t>
      </w:r>
    </w:p>
    <w:p>
      <w:pPr>
        <w:pStyle w:val="ListParagraph"/>
        <w:numPr>
          <w:ilvl w:val="0"/>
          <w:numId w:val="2"/>
        </w:numPr>
        <w:spacing w:after="80"/>
      </w:pPr>
      <w:r>
        <w:rPr>
          <w:rFonts w:ascii="Arial" w:cs="Arial" w:eastAsia="Arial" w:hAnsi="Arial"/>
          <w:sz w:val="20"/>
          <w:szCs w:val="20"/>
        </w:rPr>
        <w:t xml:space="preserve">Singapore (2020 — MAS PSN02), USA (FinCEN — enforced 2019+), EU (MiCA — Transfer of Funds Regulation 2023), Japan (JVCEA 2023), South Korea (VASP Act 2021)</w:t>
      </w:r>
    </w:p>
    <w:p>
      <w:pPr>
        <w:spacing w:after="140"/>
        <w:jc w:val="both"/>
      </w:pPr>
      <w:r>
        <w:rPr>
          <w:rFonts w:ascii="Arial" w:cs="Arial" w:eastAsia="Arial" w:hAnsi="Arial"/>
          <w:color w:val="222222"/>
          <w:sz w:val="20"/>
          <w:szCs w:val="20"/>
        </w:rPr>
        <w:t xml:space="preserve">India's implementation pathway should follow these steps:</w:t>
      </w:r>
    </w:p>
    <w:p>
      <w:pPr>
        <w:pStyle w:val="ListParagraph"/>
        <w:numPr>
          <w:ilvl w:val="0"/>
          <w:numId w:val="3"/>
        </w:numPr>
        <w:spacing w:after="80"/>
      </w:pPr>
      <w:r>
        <w:rPr>
          <w:rFonts w:ascii="Arial" w:cs="Arial" w:eastAsia="Arial" w:hAnsi="Arial"/>
          <w:sz w:val="20"/>
          <w:szCs w:val="20"/>
        </w:rPr>
        <w:t xml:space="preserve">FIU-IND to issue Travel Rule Circular under PMLA — mandating all registered VDA SPs to share originator/beneficiary data for transactions &gt; ₹83,000 (USD 1,000 threshold per FATF) — Target: Q3 2026</w:t>
      </w:r>
    </w:p>
    <w:p>
      <w:pPr>
        <w:pStyle w:val="ListParagraph"/>
        <w:numPr>
          <w:ilvl w:val="0"/>
          <w:numId w:val="3"/>
        </w:numPr>
        <w:spacing w:after="80"/>
      </w:pPr>
      <w:r>
        <w:rPr>
          <w:rFonts w:ascii="Arial" w:cs="Arial" w:eastAsia="Arial" w:hAnsi="Arial"/>
          <w:sz w:val="20"/>
          <w:szCs w:val="20"/>
        </w:rPr>
        <w:t xml:space="preserve">Adopt IVMS101 (InterVASP Messaging Standard) as India's standard Travel Rule data format — enabling interoperability with global VASPs — Target: Q4 2026</w:t>
      </w:r>
    </w:p>
    <w:p>
      <w:pPr>
        <w:pStyle w:val="ListParagraph"/>
        <w:numPr>
          <w:ilvl w:val="0"/>
          <w:numId w:val="3"/>
        </w:numPr>
        <w:spacing w:after="80"/>
      </w:pPr>
      <w:r>
        <w:rPr>
          <w:rFonts w:ascii="Arial" w:cs="Arial" w:eastAsia="Arial" w:hAnsi="Arial"/>
          <w:sz w:val="20"/>
          <w:szCs w:val="20"/>
        </w:rPr>
        <w:t xml:space="preserve">Integrate India's Travel Rule system with Notabene/VerifyVASP/TRP (Travel Rule Protocol) global networks — Target: Q1 2027</w:t>
      </w:r>
    </w:p>
    <w:p>
      <w:pPr>
        <w:pStyle w:val="ListParagraph"/>
        <w:numPr>
          <w:ilvl w:val="0"/>
          <w:numId w:val="3"/>
        </w:numPr>
        <w:spacing w:after="80"/>
      </w:pPr>
      <w:r>
        <w:rPr>
          <w:rFonts w:ascii="Arial" w:cs="Arial" w:eastAsia="Arial" w:hAnsi="Arial"/>
          <w:sz w:val="20"/>
          <w:szCs w:val="20"/>
        </w:rPr>
        <w:t xml:space="preserve">Mandate Travel Rule compliance for ALL transactions (not just above threshold) for domestic exchange-to-exchange transfers — Target: Q2 2027</w:t>
      </w:r>
    </w:p>
    <w:p>
      <w:pPr>
        <w:pStyle w:val="ListParagraph"/>
        <w:numPr>
          <w:ilvl w:val="0"/>
          <w:numId w:val="3"/>
        </w:numPr>
        <w:spacing w:after="80"/>
      </w:pPr>
      <w:r>
        <w:rPr>
          <w:rFonts w:ascii="Arial" w:cs="Arial" w:eastAsia="Arial" w:hAnsi="Arial"/>
          <w:sz w:val="20"/>
          <w:szCs w:val="20"/>
        </w:rPr>
        <w:t xml:space="preserve">Extend Travel Rule obligations to DeFi front-ends accessed from Indian IP addresses — Target: Q4 2027 (with legal framework amendments)</w:t>
      </w:r>
    </w:p>
    <w:p>
      <w:pPr>
        <w:pStyle w:val="Heading2"/>
        <w:spacing w:after="120" w:before="240"/>
      </w:pPr>
      <w:r>
        <w:rPr>
          <w:rFonts w:ascii="Arial" w:cs="Arial" w:eastAsia="Arial" w:hAnsi="Arial"/>
          <w:b/>
          <w:bCs/>
          <w:color w:val="0E7C86"/>
          <w:sz w:val="24"/>
          <w:szCs w:val="24"/>
        </w:rPr>
        <w:t xml:space="preserve">10.3 National Blockchain Intelligence Platform (NBIP) — Proposed Architecture</w:t>
      </w:r>
    </w:p>
    <w:p>
      <w:pPr>
        <w:spacing w:after="140"/>
        <w:jc w:val="both"/>
      </w:pPr>
      <w:r>
        <w:rPr>
          <w:rFonts w:ascii="Arial" w:cs="Arial" w:eastAsia="Arial" w:hAnsi="Arial"/>
          <w:color w:val="222222"/>
          <w:sz w:val="20"/>
          <w:szCs w:val="20"/>
        </w:rPr>
        <w:t xml:space="preserve">Digital South Trust recommends the establishment of a National Blockchain Intelligence Platform (NBIP), a centrally managed, inter-agency platform with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NBIP Component</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&amp; Specification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Multi-Chain Analytics Engine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Covers Bitcoin, Ethereum, Solana, Tron, BNB Chain, Polygon, Avalanche, Arbitrum, Optimism, Base — addresses India's USDT (primarily on Tron) and DeFi (primarily on Ethereum/Solana) exposure. Procurement from qualified blockchain analytics vendor + in-house capability at FIU-IND.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Real-Time STR API Gateway</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All FIU-IND registered VDA SPs connect via API; automated flagging of transactions matching risk rules; STR generation latency &lt; 5 minutes. Currently STR filing is manual — target &lt; 30-minute automated filing for high-risk triggers.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Sanctions Screening Integration</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OFAC SDN list + UN Security Council list + FIU-IND designated list integrated into real-time transaction screening. All registered VDA SPs mandated to screen against NBIP sanctions list before processing any transaction.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Cross-Agency Data Sharing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NBIP serves FIU-IND, Enforcement Directorate, CBI, NIA, NCB, CBDT, SEBI, RBI, Customs — single source of VDA intelligence; access tiered by agency mandate and judicial authorisation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Darkweb Monitoring Module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Partnership with CERT-In for darkweb wallet address monitoring; integration with global INTERPOL crypto intelligence programme; identify India-linked darkweb marketplace wallets proactively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AI/ML Risk Scoring</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Machine learning models trained on historical STRs, ED chargesheet patterns, known ML typologies — real-time risk scoring of wallets and transactions; proactive alert generation for FIU-IND analysts</w:t>
            </w:r>
          </w:p>
        </w:tc>
      </w:tr>
    </w:tbl>
    <w:p>
      <w:pPr>
        <w:pStyle w:val="Heading2"/>
        <w:spacing w:after="120" w:before="240"/>
      </w:pPr>
      <w:r>
        <w:rPr>
          <w:rFonts w:ascii="Arial" w:cs="Arial" w:eastAsia="Arial" w:hAnsi="Arial"/>
          <w:b/>
          <w:bCs/>
          <w:color w:val="0E7C86"/>
          <w:sz w:val="24"/>
          <w:szCs w:val="24"/>
        </w:rPr>
        <w:t xml:space="preserve">10.4 CARF Implementation — Data Flows</w:t>
      </w:r>
    </w:p>
    <w:p>
      <w:pPr>
        <w:spacing w:after="140"/>
        <w:jc w:val="both"/>
      </w:pPr>
      <w:r>
        <w:rPr>
          <w:rFonts w:ascii="Arial" w:cs="Arial" w:eastAsia="Arial" w:hAnsi="Arial"/>
          <w:color w:val="222222"/>
          <w:sz w:val="20"/>
          <w:szCs w:val="20"/>
        </w:rPr>
        <w:t xml:space="preserve">Under CARF, India will participate in automatic exchange of crypto tax data with over 50 jurisdictions from 2027. The data flow architecture requires:</w:t>
      </w:r>
    </w:p>
    <w:p>
      <w:pPr>
        <w:pStyle w:val="ListParagraph"/>
        <w:numPr>
          <w:ilvl w:val="0"/>
          <w:numId w:val="2"/>
        </w:numPr>
        <w:spacing w:after="80"/>
      </w:pPr>
      <w:r>
        <w:rPr>
          <w:rFonts w:ascii="Arial" w:cs="Arial" w:eastAsia="Arial" w:hAnsi="Arial"/>
          <w:sz w:val="20"/>
          <w:szCs w:val="20"/>
        </w:rPr>
        <w:t xml:space="preserve">All India-resident CASPs (Crypto-Asset Service Providers) to collect and file Form CARF-IN annually with CBDT, covering all user transactions by January 31 following the tax year</w:t>
      </w:r>
    </w:p>
    <w:p>
      <w:pPr>
        <w:pStyle w:val="ListParagraph"/>
        <w:numPr>
          <w:ilvl w:val="0"/>
          <w:numId w:val="2"/>
        </w:numPr>
        <w:spacing w:after="80"/>
      </w:pPr>
      <w:r>
        <w:rPr>
          <w:rFonts w:ascii="Arial" w:cs="Arial" w:eastAsia="Arial" w:hAnsi="Arial"/>
          <w:sz w:val="20"/>
          <w:szCs w:val="20"/>
        </w:rPr>
        <w:t xml:space="preserve">CBDT to participate in OECD's Common Transmission System (CTS) for automatic exchange of CARF data with treaty partner jurisdictions</w:t>
      </w:r>
    </w:p>
    <w:p>
      <w:pPr>
        <w:pStyle w:val="ListParagraph"/>
        <w:numPr>
          <w:ilvl w:val="0"/>
          <w:numId w:val="2"/>
        </w:numPr>
        <w:spacing w:after="80"/>
      </w:pPr>
      <w:r>
        <w:rPr>
          <w:rFonts w:ascii="Arial" w:cs="Arial" w:eastAsia="Arial" w:hAnsi="Arial"/>
          <w:sz w:val="20"/>
          <w:szCs w:val="20"/>
        </w:rPr>
        <w:t xml:space="preserve">Indian users' offshore exchange data received from partner jurisdictions (e.g., EU exchanges sharing Indian user data under CARF) to be automatically cross-matched with ITR VDA Schedule declarations</w:t>
      </w:r>
    </w:p>
    <w:p>
      <w:pPr>
        <w:pStyle w:val="ListParagraph"/>
        <w:numPr>
          <w:ilvl w:val="0"/>
          <w:numId w:val="2"/>
        </w:numPr>
        <w:spacing w:after="80"/>
      </w:pPr>
      <w:r>
        <w:rPr>
          <w:rFonts w:ascii="Arial" w:cs="Arial" w:eastAsia="Arial" w:hAnsi="Arial"/>
          <w:sz w:val="20"/>
          <w:szCs w:val="20"/>
        </w:rPr>
        <w:t xml:space="preserve">Discrepancies &gt; ₹50,000 to trigger automated CBDT compliance notices; discrepancies &gt; ₹5 lakh to trigger full scrutiny assessment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11</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SAFEGUARDING INDIA'S MONETARY SOVEREIGNTY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Monetary sovereignty is not merely a technical economic concept — it is the sovereign state's ability to determine the money supply, control credit conditions, manage inflation, and protect the financial interests of its citizens. Cryptocurrency, if ungoverned, systematically erodes each of these capacities.</w:t>
            </w:r>
          </w:p>
        </w:tc>
      </w:tr>
    </w:tbl>
    <w:p>
      <w:pPr>
        <w:pStyle w:val="Heading2"/>
        <w:spacing w:after="120" w:before="240"/>
      </w:pPr>
      <w:r>
        <w:rPr>
          <w:rFonts w:ascii="Arial" w:cs="Arial" w:eastAsia="Arial" w:hAnsi="Arial"/>
          <w:b/>
          <w:bCs/>
          <w:color w:val="0E7C86"/>
          <w:sz w:val="24"/>
          <w:szCs w:val="24"/>
        </w:rPr>
        <w:t xml:space="preserve">11.1 The Monetary Sovereignty Framework</w:t>
      </w:r>
    </w:p>
    <w:p>
      <w:pPr>
        <w:spacing w:after="140"/>
        <w:jc w:val="both"/>
      </w:pPr>
      <w:r>
        <w:rPr>
          <w:rFonts w:ascii="Arial" w:cs="Arial" w:eastAsia="Arial" w:hAnsi="Arial"/>
          <w:color w:val="222222"/>
          <w:sz w:val="20"/>
          <w:szCs w:val="20"/>
        </w:rPr>
        <w:t xml:space="preserve">Digital South Trust proposes a five-pillar Monetary Sovereignty Protection Framework (MSPF) for India:</w:t>
      </w:r>
    </w:p>
    <w:p>
      <w:pPr>
        <w:pStyle w:val="Heading3"/>
        <w:spacing w:after="80" w:before="180"/>
      </w:pPr>
      <w:r>
        <w:rPr>
          <w:rFonts w:ascii="Arial" w:cs="Arial" w:eastAsia="Arial" w:hAnsi="Arial"/>
          <w:b/>
          <w:bCs/>
          <w:color w:val="C8952A"/>
          <w:sz w:val="22"/>
          <w:szCs w:val="22"/>
        </w:rPr>
        <w:t xml:space="preserve">Pillar 1 — Legal Tender Supremacy</w:t>
      </w:r>
    </w:p>
    <w:p>
      <w:pPr>
        <w:spacing w:after="140"/>
        <w:jc w:val="both"/>
      </w:pPr>
      <w:r>
        <w:rPr>
          <w:rFonts w:ascii="Arial" w:cs="Arial" w:eastAsia="Arial" w:hAnsi="Arial"/>
          <w:color w:val="222222"/>
          <w:sz w:val="20"/>
          <w:szCs w:val="20"/>
        </w:rPr>
        <w:t xml:space="preserve">Reaffirm by statute that the Indian Rupee (and its digital equivalent, the e-₹) is the exclusive legal tender for all transactions on Indian soil. Prohibit any entity from mandating or offering preferential terms for payment in VDA (excluding from CBDT-prescribed exchange services). This does not prohibit VDA ownership or investment — it protects the primacy of the Rupee as a medium of exchange.</w:t>
      </w:r>
    </w:p>
    <w:p>
      <w:pPr>
        <w:pStyle w:val="Heading3"/>
        <w:spacing w:after="80" w:before="180"/>
      </w:pPr>
      <w:r>
        <w:rPr>
          <w:rFonts w:ascii="Arial" w:cs="Arial" w:eastAsia="Arial" w:hAnsi="Arial"/>
          <w:b/>
          <w:bCs/>
          <w:color w:val="C8952A"/>
          <w:sz w:val="22"/>
          <w:szCs w:val="22"/>
        </w:rPr>
        <w:t xml:space="preserve">Pillar 2 — Capital Flow Sovereignty</w:t>
      </w:r>
    </w:p>
    <w:p>
      <w:pPr>
        <w:spacing w:after="140"/>
        <w:jc w:val="both"/>
      </w:pPr>
      <w:r>
        <w:rPr>
          <w:rFonts w:ascii="Arial" w:cs="Arial" w:eastAsia="Arial" w:hAnsi="Arial"/>
          <w:color w:val="222222"/>
          <w:sz w:val="20"/>
          <w:szCs w:val="20"/>
        </w:rPr>
        <w:t xml:space="preserve">All VDA-mediated outward capital transfers from India must comply with FEMA's capital account regulations. Implement a VDA-FEMA Compliance Layer: all domestic VDA SPs must, at the point of VDA withdrawal to external wallets, require the user to declare whether the destination is a domestic or foreign wallet; foreign wallet declarations trigger LRS reporting; transactions exceeding LRS limits blocked pending RBI authorisation.</w:t>
      </w:r>
    </w:p>
    <w:p>
      <w:pPr>
        <w:pStyle w:val="Heading3"/>
        <w:spacing w:after="80" w:before="180"/>
      </w:pPr>
      <w:r>
        <w:rPr>
          <w:rFonts w:ascii="Arial" w:cs="Arial" w:eastAsia="Arial" w:hAnsi="Arial"/>
          <w:b/>
          <w:bCs/>
          <w:color w:val="C8952A"/>
          <w:sz w:val="22"/>
          <w:szCs w:val="22"/>
        </w:rPr>
        <w:t xml:space="preserve">Pillar 3 — Monetary Transmission Protection</w:t>
      </w:r>
    </w:p>
    <w:p>
      <w:pPr>
        <w:spacing w:after="140"/>
        <w:jc w:val="both"/>
      </w:pPr>
      <w:r>
        <w:rPr>
          <w:rFonts w:ascii="Arial" w:cs="Arial" w:eastAsia="Arial" w:hAnsi="Arial"/>
          <w:color w:val="222222"/>
          <w:sz w:val="20"/>
          <w:szCs w:val="20"/>
        </w:rPr>
        <w:t xml:space="preserve">RBI to publish a Monetary Transmission Impact Assessment (MTIA) annually, quantifying the estimated leakage in monetary policy transmission attributable to stablecoin adoption, DeFi lending, and offshore crypto savings. MTIA data to inform macro-prudential policy decisions including CRR adjustments, OMO operations, and targeted liquidity management.</w:t>
      </w:r>
    </w:p>
    <w:p>
      <w:pPr>
        <w:pStyle w:val="Heading3"/>
        <w:spacing w:after="80" w:before="180"/>
      </w:pPr>
      <w:r>
        <w:rPr>
          <w:rFonts w:ascii="Arial" w:cs="Arial" w:eastAsia="Arial" w:hAnsi="Arial"/>
          <w:b/>
          <w:bCs/>
          <w:color w:val="C8952A"/>
          <w:sz w:val="22"/>
          <w:szCs w:val="22"/>
        </w:rPr>
        <w:t xml:space="preserve">Pillar 4 — e-₹ Strategic Deployment</w:t>
      </w:r>
    </w:p>
    <w:p>
      <w:pPr>
        <w:spacing w:after="140"/>
        <w:jc w:val="both"/>
      </w:pPr>
      <w:r>
        <w:rPr>
          <w:rFonts w:ascii="Arial" w:cs="Arial" w:eastAsia="Arial" w:hAnsi="Arial"/>
          <w:color w:val="222222"/>
          <w:sz w:val="20"/>
          <w:szCs w:val="20"/>
        </w:rPr>
        <w:t xml:space="preserve">Accelerate the Digital Rupee (e-₹) to achieve competitive parity with private stablecoins through: (a) programmability via smart contracts on the e-₹ platform; (b) interoperability with the 10 most widely used DeFi protocols through RBI-approved bridge contracts; (c) cross-border e-₹ settlement with India's top 20 trading partners; (d) yield-bearing e-₹ accounts through RBI-approved CBDC banks; (e) e-₹ as the mandatory settlement currency for all India-based VDA exchanges.</w:t>
      </w:r>
    </w:p>
    <w:p>
      <w:pPr>
        <w:pStyle w:val="Heading3"/>
        <w:spacing w:after="80" w:before="180"/>
      </w:pPr>
      <w:r>
        <w:rPr>
          <w:rFonts w:ascii="Arial" w:cs="Arial" w:eastAsia="Arial" w:hAnsi="Arial"/>
          <w:b/>
          <w:bCs/>
          <w:color w:val="C8952A"/>
          <w:sz w:val="22"/>
          <w:szCs w:val="22"/>
        </w:rPr>
        <w:t xml:space="preserve">Pillar 5 — International Monetary Alignment</w:t>
      </w:r>
    </w:p>
    <w:p>
      <w:pPr>
        <w:spacing w:after="140"/>
        <w:jc w:val="both"/>
      </w:pPr>
      <w:r>
        <w:rPr>
          <w:rFonts w:ascii="Arial" w:cs="Arial" w:eastAsia="Arial" w:hAnsi="Arial"/>
          <w:color w:val="222222"/>
          <w:sz w:val="20"/>
          <w:szCs w:val="20"/>
        </w:rPr>
        <w:t xml:space="preserve">India to actively participate in and shape international crypto monetary standards through: BIS Innovation Hub crypto workstreams; G20 FATF crypto leadership; bilateral VDA information exchange agreements with top 20 destination jurisdictions for Indian crypto flows; active role in CARF governance at OECD; leadership of SAARC regional crypto AML coordination.</w:t>
      </w:r>
    </w:p>
    <w:p>
      <w:pPr>
        <w:pStyle w:val="Heading2"/>
        <w:spacing w:after="120" w:before="240"/>
      </w:pPr>
      <w:r>
        <w:rPr>
          <w:rFonts w:ascii="Arial" w:cs="Arial" w:eastAsia="Arial" w:hAnsi="Arial"/>
          <w:b/>
          <w:bCs/>
          <w:color w:val="0E7C86"/>
          <w:sz w:val="24"/>
          <w:szCs w:val="24"/>
        </w:rPr>
        <w:t xml:space="preserve">11.2 Risk Register — Monetary Sovereignty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360"/>
      </w:tblGrid>
      <w:tr>
        <w:tc>
          <w:tcPr>
            <w:tcW w:type="dxa" w:w="320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Factor</w:t>
            </w:r>
          </w:p>
        </w:tc>
        <w:tc>
          <w:tcPr>
            <w:tcW w:type="dxa" w:w="160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Probability</w:t>
            </w:r>
          </w:p>
        </w:tc>
        <w:tc>
          <w:tcPr>
            <w:tcW w:type="dxa" w:w="160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160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w:t>
            </w:r>
          </w:p>
        </w:tc>
        <w:tc>
          <w:tcPr>
            <w:tcW w:type="dxa" w:w="1360"/>
            <w:tcBorders>
              <w:top w:val="single" w:color="CBD5E0" w:sz="1"/>
              <w:left w:val="single" w:color="CBD5E0" w:sz="1"/>
              <w:bottom w:val="single" w:color="CBD5E0" w:sz="1"/>
              <w:right w:val="single" w:color="CBD5E0" w:sz="1"/>
            </w:tcBorders>
            <w:shd w:fill="0D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32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Mass USDT adoption replacing INR in informal economy</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Catastrophic</w:t>
            </w:r>
          </w:p>
        </w:tc>
        <w:tc>
          <w:tcPr>
            <w:tcW w:type="dxa" w:w="160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C0392B"/>
                <w:sz w:val="18"/>
                <w:szCs w:val="18"/>
              </w:rPr>
              <w:t xml:space="preserve">CRITICAL</w:t>
            </w:r>
          </w:p>
        </w:tc>
        <w:tc>
          <w:tcPr>
            <w:tcW w:type="dxa" w:w="136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222222"/>
                <w:sz w:val="18"/>
                <w:szCs w:val="18"/>
              </w:rPr>
              <w:t xml:space="preserve">P0 — Urgent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DeFi disintermediation of banking system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C0392B"/>
                <w:sz w:val="18"/>
                <w:szCs w:val="18"/>
              </w:rPr>
              <w:t xml:space="preserve">SEVERE</w:t>
            </w:r>
          </w:p>
        </w:tc>
        <w:tc>
          <w:tcPr>
            <w:tcW w:type="dxa" w:w="136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222222"/>
                <w:sz w:val="18"/>
                <w:szCs w:val="18"/>
              </w:rPr>
              <w:t xml:space="preserve">P1 — Immediate</w:t>
            </w:r>
          </w:p>
        </w:tc>
      </w:tr>
      <w:tr>
        <w:tc>
          <w:tcPr>
            <w:tcW w:type="dxa" w:w="32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e-₹ failing to achieve adoption scale</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C8952A"/>
                <w:sz w:val="18"/>
                <w:szCs w:val="18"/>
              </w:rPr>
              <w:t xml:space="preserve">HIGH</w:t>
            </w:r>
          </w:p>
        </w:tc>
        <w:tc>
          <w:tcPr>
            <w:tcW w:type="dxa" w:w="136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222222"/>
                <w:sz w:val="18"/>
                <w:szCs w:val="18"/>
              </w:rPr>
              <w:t xml:space="preserve">P1 — Immediate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LRS circumvention via crypto outflows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C0392B"/>
                <w:sz w:val="18"/>
                <w:szCs w:val="18"/>
              </w:rPr>
              <w:t xml:space="preserve">SEVERE</w:t>
            </w:r>
          </w:p>
        </w:tc>
        <w:tc>
          <w:tcPr>
            <w:tcW w:type="dxa" w:w="1360"/>
            <w:tcBorders>
              <w:top w:val="single" w:color="CBD5E0" w:sz="1"/>
              <w:left w:val="single" w:color="CBD5E0" w:sz="1"/>
              <w:bottom w:val="single" w:color="CBD5E0" w:sz="1"/>
              <w:right w:val="single" w:color="CBD5E0" w:sz="1"/>
            </w:tcBorders>
            <w:shd w:fill="FDECEA" w:val="clear"/>
            <w:tcMar>
              <w:top w:type="dxa" w:w="80"/>
              <w:left w:type="dxa" w:w="120"/>
              <w:bottom w:type="dxa" w:w="80"/>
              <w:right w:type="dxa" w:w="120"/>
            </w:tcMar>
          </w:tcPr>
          <w:p>
            <w:pPr>
              <w:jc w:val="center"/>
            </w:pPr>
            <w:r>
              <w:rPr>
                <w:rFonts w:ascii="Arial" w:cs="Arial" w:eastAsia="Arial" w:hAnsi="Arial"/>
                <w:color w:val="222222"/>
                <w:sz w:val="18"/>
                <w:szCs w:val="18"/>
              </w:rPr>
              <w:t xml:space="preserve">P1 — Immediate</w:t>
            </w:r>
          </w:p>
        </w:tc>
      </w:tr>
      <w:tr>
        <w:tc>
          <w:tcPr>
            <w:tcW w:type="dxa" w:w="32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Crypto-driven INR exchange rate volatility</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F0F4FB"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60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C8952A"/>
                <w:sz w:val="18"/>
                <w:szCs w:val="18"/>
              </w:rPr>
              <w:t xml:space="preserve">HIGH</w:t>
            </w:r>
          </w:p>
        </w:tc>
        <w:tc>
          <w:tcPr>
            <w:tcW w:type="dxa" w:w="1360"/>
            <w:tcBorders>
              <w:top w:val="single" w:color="CBD5E0" w:sz="1"/>
              <w:left w:val="single" w:color="CBD5E0" w:sz="1"/>
              <w:bottom w:val="single" w:color="CBD5E0" w:sz="1"/>
              <w:right w:val="single" w:color="CBD5E0" w:sz="1"/>
            </w:tcBorders>
            <w:shd w:fill="FFF3CD" w:val="clear"/>
            <w:tcMar>
              <w:top w:type="dxa" w:w="80"/>
              <w:left w:type="dxa" w:w="120"/>
              <w:bottom w:type="dxa" w:w="80"/>
              <w:right w:type="dxa" w:w="120"/>
            </w:tcMar>
          </w:tcPr>
          <w:p>
            <w:pPr>
              <w:jc w:val="center"/>
            </w:pPr>
            <w:r>
              <w:rPr>
                <w:rFonts w:ascii="Arial" w:cs="Arial" w:eastAsia="Arial" w:hAnsi="Arial"/>
                <w:color w:val="222222"/>
                <w:sz w:val="18"/>
                <w:szCs w:val="18"/>
              </w:rPr>
              <w:t xml:space="preserve">P2 — 6 Months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Foreign CBDC crowding out 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Low-Medium</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w:t>
            </w:r>
          </w:p>
        </w:tc>
        <w:tc>
          <w:tcPr>
            <w:tcW w:type="dxa" w:w="16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pPr>
              <w:jc w:val="center"/>
            </w:pPr>
            <w:r>
              <w:rPr>
                <w:rFonts w:ascii="Arial" w:cs="Arial" w:eastAsia="Arial" w:hAnsi="Arial"/>
                <w:color w:val="1A7A4A"/>
                <w:sz w:val="18"/>
                <w:szCs w:val="18"/>
              </w:rPr>
              <w:t xml:space="preserve">MEDIUM</w:t>
            </w:r>
          </w:p>
        </w:tc>
        <w:tc>
          <w:tcPr>
            <w:tcW w:type="dxa" w:w="136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pPr>
              <w:jc w:val="center"/>
            </w:pPr>
            <w:r>
              <w:rPr>
                <w:rFonts w:ascii="Arial" w:cs="Arial" w:eastAsia="Arial" w:hAnsi="Arial"/>
                <w:color w:val="222222"/>
                <w:sz w:val="18"/>
                <w:szCs w:val="18"/>
              </w:rPr>
              <w:t xml:space="preserve">P3 — 12 Months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12</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KEY FINDINGS — CONSOLIDATED GOVERNMENT CONCERNS</w:t>
            </w:r>
          </w:p>
        </w:tc>
      </w:tr>
    </w:tbl>
    <w:p>
      <w:pPr>
        <w:spacing w:after="80"/>
      </w:pPr>
      <w:r>
        <w:rPr>
          <w:rFonts w:ascii="Arial" w:cs="Arial" w:eastAsia="Arial" w:hAnsi="Arial"/>
        </w:rPr>
        <w:t xml:space="preserve"/>
      </w:r>
    </w:p>
    <w:p>
      <w:pPr>
        <w:spacing w:after="140"/>
        <w:jc w:val="both"/>
      </w:pPr>
      <w:r>
        <w:rPr>
          <w:rFonts w:ascii="Arial" w:cs="Arial" w:eastAsia="Arial" w:hAnsi="Arial"/>
          <w:color w:val="222222"/>
          <w:sz w:val="20"/>
          <w:szCs w:val="20"/>
        </w:rPr>
        <w:t xml:space="preserve">The following findings represent Digital South Trust's consolidated assessment of the Indian Government's validated concerns regarding cryptocurrency, mapped to evidence, applicable law, and the severity of risk. These findings are offered as the research basis for legislative and regulatory action.</w:t>
      </w:r>
    </w:p>
    <w:p>
      <w:pPr>
        <w:pStyle w:val="Heading2"/>
        <w:spacing w:after="120" w:before="240"/>
      </w:pPr>
      <w:r>
        <w:rPr>
          <w:rFonts w:ascii="Arial" w:cs="Arial" w:eastAsia="Arial" w:hAnsi="Arial"/>
          <w:b/>
          <w:bCs/>
          <w:color w:val="0E7C86"/>
          <w:sz w:val="24"/>
          <w:szCs w:val="24"/>
        </w:rPr>
        <w:t xml:space="preserve">Finding 1 — Financial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FINDING F1: India has no prudential framework for VDA intermediaries. A major exchange collapse or crypto market crash could transmit ₹50,000–1,50,000 Cr of shock into the banking system through UPI channels, margin calls, and bank-linked crypto loans — with zero institutional capacity to respond. [Applicable Law: RBI Act Sections 3, 17, 45JA; Basel BCBS Dec. 2022 Standards — not yet adopted by India]</w:t>
            </w:r>
          </w:p>
        </w:tc>
      </w:tr>
    </w:tbl>
    <w:p>
      <w:pPr>
        <w:pStyle w:val="Heading2"/>
        <w:spacing w:after="120" w:before="240"/>
      </w:pPr>
      <w:r>
        <w:rPr>
          <w:rFonts w:ascii="Arial" w:cs="Arial" w:eastAsia="Arial" w:hAnsi="Arial"/>
          <w:b/>
          <w:bCs/>
          <w:color w:val="0E7C86"/>
          <w:sz w:val="24"/>
          <w:szCs w:val="24"/>
        </w:rPr>
        <w:t xml:space="preserve">Finding 2 — Monetary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FINDING F2: USD stablecoins held by Indian residents represent an estimated ₹25,000–50,000 Cr that exists outside the RBI's monetary system. This quantum will grow at 40–60% annually absent intervention. The RBI's monetary transmission mechanism is measurably impaired. [Applicable Law: RBI Act Section 22 (legal tender), FEMA 1999 Sections 2(m), 3; e-₹ pilot under RBI Act]</w:t>
            </w:r>
          </w:p>
        </w:tc>
      </w:tr>
    </w:tbl>
    <w:p>
      <w:pPr>
        <w:pStyle w:val="Heading2"/>
        <w:spacing w:after="120" w:before="240"/>
      </w:pPr>
      <w:r>
        <w:rPr>
          <w:rFonts w:ascii="Arial" w:cs="Arial" w:eastAsia="Arial" w:hAnsi="Arial"/>
          <w:b/>
          <w:bCs/>
          <w:color w:val="0E7C86"/>
          <w:sz w:val="24"/>
          <w:szCs w:val="24"/>
        </w:rPr>
        <w:t xml:space="preserve">Finding 3 — AML/CFT Deficiency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FINDING F3: India's FATF Mutual Evaluation (2024) identified Travel Rule non-implementation as a material deficiency. The combination of unregistered offshore exchanges, DeFi blind spots, and privacy coin access creates a broad ML/TF-enabling environment. Estimated suspicious VDA flows: ₹25,000–35,000 Cr annually. [Applicable Law: PMLA 2002 Sections 3, 5, 12, 12A; FATF Recommendations 15, 16]</w:t>
            </w:r>
          </w:p>
        </w:tc>
      </w:tr>
    </w:tbl>
    <w:p>
      <w:pPr>
        <w:pStyle w:val="Heading2"/>
        <w:spacing w:after="120" w:before="240"/>
      </w:pPr>
      <w:r>
        <w:rPr>
          <w:rFonts w:ascii="Arial" w:cs="Arial" w:eastAsia="Arial" w:hAnsi="Arial"/>
          <w:b/>
          <w:bCs/>
          <w:color w:val="0E7C86"/>
          <w:sz w:val="24"/>
          <w:szCs w:val="24"/>
        </w:rPr>
        <w:t xml:space="preserve">Finding 4 — Tax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FINDING F4: The VDA tax gap — the difference between taxes theoretically owed and taxes actually collected — is estimated at ₹18,000–24,000 Cr annually. The 1% TDS under Section 194S has inadvertently migrated ₹15,000–20,000 Cr of annual trading volume offshore, while the 30% tax rate under Section 115BBH creates incentives for widespread under-reporting. [Applicable Law: Income Tax Act 1961 Sections 115BBH, 194S, 2(47A); Finance Act 2022; CBDT CARF commitment, G20 New Delhi Declaration 2023]</w:t>
            </w:r>
          </w:p>
        </w:tc>
      </w:tr>
    </w:tbl>
    <w:p>
      <w:pPr>
        <w:pStyle w:val="Heading2"/>
        <w:spacing w:after="120" w:before="240"/>
      </w:pPr>
      <w:r>
        <w:rPr>
          <w:rFonts w:ascii="Arial" w:cs="Arial" w:eastAsia="Arial" w:hAnsi="Arial"/>
          <w:b/>
          <w:bCs/>
          <w:color w:val="0E7C86"/>
          <w:sz w:val="24"/>
          <w:szCs w:val="24"/>
        </w:rPr>
        <w:t xml:space="preserve">Finding 5 — Regulatory Loopholes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FINDING F5: The absence of a comprehensive VDA statute — the Cryptocurrency Bill having never been tabled — leaves India's entire crypto regulatory architecture dependent on executive notifications under pre-existing laws. This creates constitutional fragility (any notification can be challenged and struck down, as happened with the 2018 RBI circular) and provides no clear-cut legal basis for: stablecoin oversight, DeFi regulation, privacy coin prohibition, investor protection, or VASP prudential norms.</w:t>
            </w:r>
          </w:p>
        </w:tc>
      </w:tr>
    </w:tbl>
    <w:p>
      <w:pPr>
        <w:pStyle w:val="Heading2"/>
        <w:spacing w:after="120" w:before="240"/>
      </w:pPr>
      <w:r>
        <w:rPr>
          <w:rFonts w:ascii="Arial" w:cs="Arial" w:eastAsia="Arial" w:hAnsi="Arial"/>
          <w:b/>
          <w:bCs/>
          <w:color w:val="0E7C86"/>
          <w:sz w:val="24"/>
          <w:szCs w:val="24"/>
        </w:rPr>
        <w:t xml:space="preserve">Finding 6 — Global Adoption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FINDING F6: The global trajectory of crypto adoption — institutional ETF approvals (US Bitcoin ETFs 2024), sovereign BTC purchases, MiCA implementation, and CARF enforcement from 2027 — means India's current 'wait and watch' approach creates a closing window. India risks either: (a) being pushed to adopt inadequate standards set by others, or (b) being isolated in global crypto financial flows if its regulatory posture diverges too far from G20 consensus.</w:t>
            </w:r>
          </w:p>
        </w:tc>
      </w:tr>
    </w:tbl>
    <w:p>
      <w:pPr>
        <w:pStyle w:val="Heading2"/>
        <w:spacing w:after="120" w:before="240"/>
      </w:pPr>
      <w:r>
        <w:rPr>
          <w:rFonts w:ascii="Arial" w:cs="Arial" w:eastAsia="Arial" w:hAnsi="Arial"/>
          <w:b/>
          <w:bCs/>
          <w:color w:val="0E7C86"/>
          <w:sz w:val="24"/>
          <w:szCs w:val="24"/>
        </w:rPr>
        <w:t xml:space="preserve">Finding 7 — Fund Movement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FINDING F7: India lacks a National Blockchain Intelligence Platform. FIU-IND's analytics capabilities cover less than 40% of VDA chains used by Indian residents. The ED/CBI lack real-time on-chain tracing capabilities. India has not implemented the FATF Travel Rule. These gaps collectively mean that crypto-enabled financial crime is systematically under-detected in India.</w:t>
            </w:r>
          </w:p>
        </w:tc>
      </w:tr>
    </w:tbl>
    <w:p>
      <w:pPr>
        <w:pStyle w:val="Heading2"/>
        <w:spacing w:after="120" w:before="240"/>
      </w:pPr>
      <w:r>
        <w:rPr>
          <w:rFonts w:ascii="Arial" w:cs="Arial" w:eastAsia="Arial" w:hAnsi="Arial"/>
          <w:b/>
          <w:bCs/>
          <w:color w:val="0E7C86"/>
          <w:sz w:val="24"/>
          <w:szCs w:val="24"/>
        </w:rPr>
        <w:t xml:space="preserve">Finding 8 — Monetary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FINDING F8: India's Digital Rupee (e-₹) remains embryonic relative to the scale of private crypto adoption. Without decisive policy action — including stablecoin regulation, DeFi engagement, and e-₹ programmability enhancements — India risks a gradual, irreversible erosion of the Rupee's role as the primary unit of account and medium of exchange in India's digital economy.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0D2B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13</w:t>
            </w:r>
          </w:p>
        </w:tc>
        <w:tc>
          <w:tcPr>
            <w:tcW w:type="dxa" w:w="8160"/>
            <w:tcBorders>
              <w:top w:val="single" w:color="CBD5E0" w:sz="1"/>
              <w:left w:val="single" w:color="CBD5E0" w:sz="1"/>
              <w:bottom w:val="single" w:color="CBD5E0" w:sz="1"/>
              <w:right w:val="single" w:color="CBD5E0" w:sz="1"/>
            </w:tcBorders>
            <w:shd w:fill="0E7C86" w:val="clear"/>
            <w:tcMar>
              <w:top w:type="dxa" w:w="120"/>
              <w:left w:type="dxa" w:w="200"/>
              <w:bottom w:type="dxa" w:w="120"/>
              <w:right w:type="dxa" w:w="160"/>
            </w:tcMar>
            <w:vAlign w:val="center"/>
          </w:tcPr>
          <w:p>
            <w:r>
              <w:rPr>
                <w:rFonts w:ascii="Arial" w:cs="Arial" w:eastAsia="Arial" w:hAnsi="Arial"/>
                <w:b/>
                <w:bCs/>
                <w:color w:val="FFFFFF"/>
                <w:sz w:val="22"/>
                <w:szCs w:val="22"/>
              </w:rPr>
              <w:t xml:space="preserve">IMPLEMENTATION ROADMAP — SAFEGUARDING INDIA'S MONETARY STABILITY</w:t>
            </w:r>
          </w:p>
        </w:tc>
      </w:tr>
    </w:tbl>
    <w:p>
      <w:pPr>
        <w:spacing w:after="80"/>
      </w:pPr>
      <w:r>
        <w:rPr>
          <w:rFonts w:ascii="Arial" w:cs="Arial" w:eastAsia="Arial" w:hAnsi="Arial"/>
        </w:rPr>
        <w:t xml:space="preserve"/>
      </w:r>
    </w:p>
    <w:p>
      <w:pPr>
        <w:spacing w:after="140"/>
        <w:jc w:val="both"/>
      </w:pPr>
      <w:r>
        <w:rPr>
          <w:rFonts w:ascii="Arial" w:cs="Arial" w:eastAsia="Arial" w:hAnsi="Arial"/>
          <w:color w:val="222222"/>
          <w:sz w:val="20"/>
          <w:szCs w:val="20"/>
        </w:rPr>
        <w:t xml:space="preserve">The following phased implementation roadmap presents specific, actionable recommendations mapped to responsible agencies, legal mechanisms, and timelines. It is designed to be both comprehensive and sequenced appropriately — addressing the most urgent risks first while building toward a world-class long-term framework.</w:t>
      </w:r>
    </w:p>
    <w:p>
      <w:pPr>
        <w:pStyle w:val="Heading2"/>
        <w:spacing w:after="120" w:before="240"/>
      </w:pPr>
      <w:r>
        <w:rPr>
          <w:rFonts w:ascii="Arial" w:cs="Arial" w:eastAsia="Arial" w:hAnsi="Arial"/>
          <w:b/>
          <w:bCs/>
          <w:color w:val="0E7C86"/>
          <w:sz w:val="24"/>
          <w:szCs w:val="24"/>
        </w:rPr>
        <w:t xml:space="preserve">PHASE 1 — IMMEDIATE ACTIONS (0–6 Months)</w:t>
      </w:r>
    </w:p>
    <w:p>
      <w:pPr>
        <w:pStyle w:val="Heading3"/>
        <w:spacing w:after="80" w:before="180"/>
      </w:pPr>
      <w:r>
        <w:rPr>
          <w:rFonts w:ascii="Arial" w:cs="Arial" w:eastAsia="Arial" w:hAnsi="Arial"/>
          <w:b/>
          <w:bCs/>
          <w:color w:val="C8952A"/>
          <w:sz w:val="22"/>
          <w:szCs w:val="22"/>
        </w:rPr>
        <w:t xml:space="preserve">P1-1: Enact the Crypto-Asset Regulation and Development (CARD) Act</w:t>
      </w:r>
    </w:p>
    <w:p>
      <w:pPr>
        <w:spacing w:after="140"/>
        <w:jc w:val="both"/>
      </w:pPr>
      <w:r>
        <w:rPr>
          <w:rFonts w:ascii="Arial" w:cs="Arial" w:eastAsia="Arial" w:hAnsi="Arial"/>
          <w:color w:val="222222"/>
          <w:sz w:val="20"/>
          <w:szCs w:val="20"/>
        </w:rPr>
        <w:t xml:space="preserve">The single most important action India can take is to pass a comprehensive cryptocurrency statute. The CARD Act should: (a) define VDAs, stablecoins, utility tokens, security tokens, and CBDCs in law; (b) establish VASP licensing tiers under joint SEBI/RBI oversight; (c) enact the Travel Rule; (d) prohibit privacy coins on licensed platforms; (e) create the VASP Investor Protection Fund; (f) give RBI explicit authority over stablecoins; (g) give SEBI authority over security tokens and crypto derivatives. Timeline: Parliament Budget Session 2027 (with draft published for consultation by Q3 2026).</w:t>
      </w:r>
    </w:p>
    <w:p>
      <w:pPr>
        <w:pStyle w:val="Heading3"/>
        <w:spacing w:after="80" w:before="180"/>
      </w:pPr>
      <w:r>
        <w:rPr>
          <w:rFonts w:ascii="Arial" w:cs="Arial" w:eastAsia="Arial" w:hAnsi="Arial"/>
          <w:b/>
          <w:bCs/>
          <w:color w:val="C8952A"/>
          <w:sz w:val="22"/>
          <w:szCs w:val="22"/>
        </w:rPr>
        <w:t xml:space="preserve">P1-2: FIU-IND Travel Rule Circular</w:t>
      </w:r>
    </w:p>
    <w:p>
      <w:pPr>
        <w:spacing w:after="140"/>
        <w:jc w:val="both"/>
      </w:pPr>
      <w:r>
        <w:rPr>
          <w:rFonts w:ascii="Arial" w:cs="Arial" w:eastAsia="Arial" w:hAnsi="Arial"/>
          <w:color w:val="222222"/>
          <w:sz w:val="20"/>
          <w:szCs w:val="20"/>
        </w:rPr>
        <w:t xml:space="preserve">Immediately issue a FIU-IND Circular under existing PMLA authority implementing the FATF Travel Rule for all transactions &gt; ₹83,000. Require IVMS101 standard. Set compliance deadline of 3 months from issuance. Non-compliance to result in FIU-IND registration suspension. This requires no new legislation — only FIU-IND Director's authority under existing PMLA mandate.</w:t>
      </w:r>
    </w:p>
    <w:p>
      <w:pPr>
        <w:pStyle w:val="Heading3"/>
        <w:spacing w:after="80" w:before="180"/>
      </w:pPr>
      <w:r>
        <w:rPr>
          <w:rFonts w:ascii="Arial" w:cs="Arial" w:eastAsia="Arial" w:hAnsi="Arial"/>
          <w:b/>
          <w:bCs/>
          <w:color w:val="C8952A"/>
          <w:sz w:val="22"/>
          <w:szCs w:val="22"/>
        </w:rPr>
        <w:t xml:space="preserve">P1-3: Block Privacy Coins on Registered Platforms</w:t>
      </w:r>
    </w:p>
    <w:p>
      <w:pPr>
        <w:spacing w:after="140"/>
        <w:jc w:val="both"/>
      </w:pPr>
      <w:r>
        <w:rPr>
          <w:rFonts w:ascii="Arial" w:cs="Arial" w:eastAsia="Arial" w:hAnsi="Arial"/>
          <w:color w:val="222222"/>
          <w:sz w:val="20"/>
          <w:szCs w:val="20"/>
        </w:rPr>
        <w:t xml:space="preserve">Issue a joint FIU-IND/SEBI directive prohibiting all FIU-IND registered VDA SPs from listing, trading, withdrawing, or depositing privacy coins (Monero/XMR, ZCash/ZEC, DASH, Grin, Beam, Pirate Chain). Rationale: FATF guidance explicitly states that privacy coins create unacceptable AML risk. Japan, South Korea, UAE, and Australia have all implemented equivalent bans.</w:t>
      </w:r>
    </w:p>
    <w:p>
      <w:pPr>
        <w:pStyle w:val="Heading3"/>
        <w:spacing w:after="80" w:before="180"/>
      </w:pPr>
      <w:r>
        <w:rPr>
          <w:rFonts w:ascii="Arial" w:cs="Arial" w:eastAsia="Arial" w:hAnsi="Arial"/>
          <w:b/>
          <w:bCs/>
          <w:color w:val="C8952A"/>
          <w:sz w:val="22"/>
          <w:szCs w:val="22"/>
        </w:rPr>
        <w:t xml:space="preserve">P1-4: RBI Stablecoin Classification Notification</w:t>
      </w:r>
    </w:p>
    <w:p>
      <w:pPr>
        <w:spacing w:after="140"/>
        <w:jc w:val="both"/>
      </w:pPr>
      <w:r>
        <w:rPr>
          <w:rFonts w:ascii="Arial" w:cs="Arial" w:eastAsia="Arial" w:hAnsi="Arial"/>
          <w:color w:val="222222"/>
          <w:sz w:val="20"/>
          <w:szCs w:val="20"/>
        </w:rPr>
        <w:t xml:space="preserve">RBI to issue a notification under FEMA Section 47 classifying USD-pegged stablecoins (USDT, USDC, BUSD) as 'foreign exchange' per Section 2(m) of FEMA. Consequence: all Indian resident holdings of stablecoins must be declared; purchases treated as LRS-applicable foreign currency purchases; holdings above USD 10,000 require authorised dealer bank reporting. This single action dramatically increases visibility of capital outflows via stablecoins.</w:t>
      </w:r>
    </w:p>
    <w:p>
      <w:pPr>
        <w:pStyle w:val="Heading3"/>
        <w:spacing w:after="80" w:before="180"/>
      </w:pPr>
      <w:r>
        <w:rPr>
          <w:rFonts w:ascii="Arial" w:cs="Arial" w:eastAsia="Arial" w:hAnsi="Arial"/>
          <w:b/>
          <w:bCs/>
          <w:color w:val="C8952A"/>
          <w:sz w:val="22"/>
          <w:szCs w:val="22"/>
        </w:rPr>
        <w:t xml:space="preserve">P1-5: CBDT CARF Enabling Rules</w:t>
      </w:r>
    </w:p>
    <w:p>
      <w:pPr>
        <w:spacing w:after="140"/>
        <w:jc w:val="both"/>
      </w:pPr>
      <w:r>
        <w:rPr>
          <w:rFonts w:ascii="Arial" w:cs="Arial" w:eastAsia="Arial" w:hAnsi="Arial"/>
          <w:color w:val="222222"/>
          <w:sz w:val="20"/>
          <w:szCs w:val="20"/>
        </w:rPr>
        <w:t xml:space="preserve">CBDT to issue Crypto-Asset Reporting Rules (CARR) under Section 285BA of the Income Tax Act, requiring all FIU-IND registered CASPs to file CARF-format transaction reports annually. Cross-match with ITR VDA Schedule from AY 2026-27. Issue CBDT Circular clarifying taxation of DeFi income, staking rewards, airdrops, and cross-chain swaps — eliminate ambiguity-driven non-reporting.</w:t>
      </w:r>
    </w:p>
    <w:p>
      <w:pPr>
        <w:pStyle w:val="Heading2"/>
        <w:spacing w:after="120" w:before="240"/>
      </w:pPr>
      <w:r>
        <w:rPr>
          <w:rFonts w:ascii="Arial" w:cs="Arial" w:eastAsia="Arial" w:hAnsi="Arial"/>
          <w:b/>
          <w:bCs/>
          <w:color w:val="0E7C86"/>
          <w:sz w:val="24"/>
          <w:szCs w:val="24"/>
        </w:rPr>
        <w:t xml:space="preserve">PHASE 2 — MEDIUM TERM (6–18 Months)</w:t>
      </w:r>
    </w:p>
    <w:p>
      <w:pPr>
        <w:pStyle w:val="Heading3"/>
        <w:spacing w:after="80" w:before="180"/>
      </w:pPr>
      <w:r>
        <w:rPr>
          <w:rFonts w:ascii="Arial" w:cs="Arial" w:eastAsia="Arial" w:hAnsi="Arial"/>
          <w:b/>
          <w:bCs/>
          <w:color w:val="C8952A"/>
          <w:sz w:val="22"/>
          <w:szCs w:val="22"/>
        </w:rPr>
        <w:t xml:space="preserve">P2-1: National Blockchain Intelligence Platform (NBIP)</w:t>
      </w:r>
    </w:p>
    <w:p>
      <w:pPr>
        <w:spacing w:after="140"/>
        <w:jc w:val="both"/>
      </w:pPr>
      <w:r>
        <w:rPr>
          <w:rFonts w:ascii="Arial" w:cs="Arial" w:eastAsia="Arial" w:hAnsi="Arial"/>
          <w:color w:val="222222"/>
          <w:sz w:val="20"/>
          <w:szCs w:val="20"/>
        </w:rPr>
        <w:t xml:space="preserve">MeitY/FIU-IND to initiate procurement and deployment of the National Blockchain Intelligence Platform. Initial capacity: Bitcoin, Ethereum, Tron (USDT), Solana, BNB Chain (covers 95% of Indian VDA activity). Connect all 47+ registered VDA SPs via API for real-time STR reporting. Budget estimate: ₹200–400 Cr for 3-year programme. Integrate with ED, CBI, NIA, NCB, CBDT, RBI, SEBI.</w:t>
      </w:r>
    </w:p>
    <w:p>
      <w:pPr>
        <w:pStyle w:val="Heading3"/>
        <w:spacing w:after="80" w:before="180"/>
      </w:pPr>
      <w:r>
        <w:rPr>
          <w:rFonts w:ascii="Arial" w:cs="Arial" w:eastAsia="Arial" w:hAnsi="Arial"/>
          <w:b/>
          <w:bCs/>
          <w:color w:val="C8952A"/>
          <w:sz w:val="22"/>
          <w:szCs w:val="22"/>
        </w:rPr>
        <w:t xml:space="preserve">P2-2: VDA Prudential Norms Framework</w:t>
      </w:r>
    </w:p>
    <w:p>
      <w:pPr>
        <w:spacing w:after="140"/>
        <w:jc w:val="both"/>
      </w:pPr>
      <w:r>
        <w:rPr>
          <w:rFonts w:ascii="Arial" w:cs="Arial" w:eastAsia="Arial" w:hAnsi="Arial"/>
          <w:color w:val="222222"/>
          <w:sz w:val="20"/>
          <w:szCs w:val="20"/>
        </w:rPr>
        <w:t xml:space="preserve">RBI/SEBI (under interim joint authority, pending CARD Act) to issue VDA Prudential Norms covering: minimum net worth requirements, cold storage mandates (95% minimum), mandatory quarterly Proof-of-Reserves audit by ICAI empanelled firms, leverage caps (maximum 3x for domestic retail), customer asset segregation, and resolution planning for exchanges above ₹1,000 Cr in customer assets.</w:t>
      </w:r>
    </w:p>
    <w:p>
      <w:pPr>
        <w:pStyle w:val="Heading3"/>
        <w:spacing w:after="80" w:before="180"/>
      </w:pPr>
      <w:r>
        <w:rPr>
          <w:rFonts w:ascii="Arial" w:cs="Arial" w:eastAsia="Arial" w:hAnsi="Arial"/>
          <w:b/>
          <w:bCs/>
          <w:color w:val="C8952A"/>
          <w:sz w:val="22"/>
          <w:szCs w:val="22"/>
        </w:rPr>
        <w:t xml:space="preserve">P2-3: FEMA-VDA Compliance Integration</w:t>
      </w:r>
    </w:p>
    <w:p>
      <w:pPr>
        <w:spacing w:after="140"/>
        <w:jc w:val="both"/>
      </w:pPr>
      <w:r>
        <w:rPr>
          <w:rFonts w:ascii="Arial" w:cs="Arial" w:eastAsia="Arial" w:hAnsi="Arial"/>
          <w:color w:val="222222"/>
          <w:sz w:val="20"/>
          <w:szCs w:val="20"/>
        </w:rPr>
        <w:t xml:space="preserve">RBI and ED to jointly implement FEMA-VDA Compliance Layer: all domestic VDA SP withdrawals to external wallets &gt; ₹50,000 require Form A2 equivalent declaration; cross-border VDA transfers &gt; USD 10,000 require prior AD bank concurrence; automated flagging of LRS-limit-breach patterns via integrated RBI-FIU-IND system; ED quick-strike capability for FEMA VDA violations (attachment within 24 hours of identification — currently takes 6–12 months).</w:t>
      </w:r>
    </w:p>
    <w:p>
      <w:pPr>
        <w:pStyle w:val="Heading3"/>
        <w:spacing w:after="80" w:before="180"/>
      </w:pPr>
      <w:r>
        <w:rPr>
          <w:rFonts w:ascii="Arial" w:cs="Arial" w:eastAsia="Arial" w:hAnsi="Arial"/>
          <w:b/>
          <w:bCs/>
          <w:color w:val="C8952A"/>
          <w:sz w:val="22"/>
          <w:szCs w:val="22"/>
        </w:rPr>
        <w:t xml:space="preserve">P2-4: Cryptocurrency Bill Draft for Public Consultation</w:t>
      </w:r>
    </w:p>
    <w:p>
      <w:pPr>
        <w:spacing w:after="140"/>
        <w:jc w:val="both"/>
      </w:pPr>
      <w:r>
        <w:rPr>
          <w:rFonts w:ascii="Arial" w:cs="Arial" w:eastAsia="Arial" w:hAnsi="Arial"/>
          <w:color w:val="222222"/>
          <w:sz w:val="20"/>
          <w:szCs w:val="20"/>
        </w:rPr>
        <w:t xml:space="preserve">Ministry of Finance to release a comprehensive draft Cryptocurrency and Digital Assets Regulation Bill for 60-day public consultation. The draft should incorporate CARD Act elements plus: a standalone VASP licensing chapter; investor protection mechanisms; sandbox provisions for DeFi experimentation; international cooperation chapter; and transitional provisions for currently operating entities. Consultation should include industry bodies, state governments, RBI, SEBI, IRDAI, PFRDA, FIU-IND, NIA, and civil society.</w:t>
      </w:r>
    </w:p>
    <w:p>
      <w:pPr>
        <w:pStyle w:val="Heading2"/>
        <w:spacing w:after="120" w:before="240"/>
      </w:pPr>
      <w:r>
        <w:rPr>
          <w:rFonts w:ascii="Arial" w:cs="Arial" w:eastAsia="Arial" w:hAnsi="Arial"/>
          <w:b/>
          <w:bCs/>
          <w:color w:val="0E7C86"/>
          <w:sz w:val="24"/>
          <w:szCs w:val="24"/>
        </w:rPr>
        <w:t xml:space="preserve">PHASE 3 — LONG TERM (18–36 Months)</w:t>
      </w:r>
    </w:p>
    <w:p>
      <w:pPr>
        <w:pStyle w:val="Heading3"/>
        <w:spacing w:after="80" w:before="180"/>
      </w:pPr>
      <w:r>
        <w:rPr>
          <w:rFonts w:ascii="Arial" w:cs="Arial" w:eastAsia="Arial" w:hAnsi="Arial"/>
          <w:b/>
          <w:bCs/>
          <w:color w:val="C8952A"/>
          <w:sz w:val="22"/>
          <w:szCs w:val="22"/>
        </w:rPr>
        <w:t xml:space="preserve">P3-1: Comprehensive VASP Licensing Regime</w:t>
      </w:r>
    </w:p>
    <w:p>
      <w:pPr>
        <w:spacing w:after="140"/>
        <w:jc w:val="both"/>
      </w:pPr>
      <w:r>
        <w:rPr>
          <w:rFonts w:ascii="Arial" w:cs="Arial" w:eastAsia="Arial" w:hAnsi="Arial"/>
          <w:color w:val="222222"/>
          <w:sz w:val="20"/>
          <w:szCs w:val="20"/>
        </w:rPr>
        <w:t xml:space="preserve">Implement the full VASP licensing framework under the enacted CARD Act: Category A (National Exchange) — SEBI-regulated, minimum ₹50 Cr net worth, full prudential oversight, investor protection insurance; Category B (Regional/Mid-size Exchange) — minimum ₹10 Cr, SEBI/RBI joint oversight; Category C (P2P/OTC/Broker) — ₹2 Cr minimum, FIU-IND oversight only; Category D (Wallet Provider/Custody) — ₹5 Cr minimum, RBI oversight; Category E (DeFi Frontend) — minimum disclosure obligations, no custody licence required.</w:t>
      </w:r>
    </w:p>
    <w:p>
      <w:pPr>
        <w:pStyle w:val="Heading3"/>
        <w:spacing w:after="80" w:before="180"/>
      </w:pPr>
      <w:r>
        <w:rPr>
          <w:rFonts w:ascii="Arial" w:cs="Arial" w:eastAsia="Arial" w:hAnsi="Arial"/>
          <w:b/>
          <w:bCs/>
          <w:color w:val="C8952A"/>
          <w:sz w:val="22"/>
          <w:szCs w:val="22"/>
        </w:rPr>
        <w:t xml:space="preserve">P3-2: e-₹ Strategic Enhancement</w:t>
      </w:r>
    </w:p>
    <w:p>
      <w:pPr>
        <w:spacing w:after="140"/>
        <w:jc w:val="both"/>
      </w:pPr>
      <w:r>
        <w:rPr>
          <w:rFonts w:ascii="Arial" w:cs="Arial" w:eastAsia="Arial" w:hAnsi="Arial"/>
          <w:color w:val="222222"/>
          <w:sz w:val="20"/>
          <w:szCs w:val="20"/>
        </w:rPr>
        <w:t xml:space="preserve">RBI to develop e-₹ v2.0 with: EVM-compatible smart contract layer (enabling e-₹ in DeFi protocols); cross-border e-₹ settlement with top 20 India trade partners; retail e-₹ yield programme (T-Bill linked yield on CBDC savings accounts); e-₹ / VDA trading pairs mandatory on all Category A exchanges; programmatic e-₹ payments for government services, welfare transfers, and trade finance.</w:t>
      </w:r>
    </w:p>
    <w:p>
      <w:pPr>
        <w:pStyle w:val="Heading3"/>
        <w:spacing w:after="80" w:before="180"/>
      </w:pPr>
      <w:r>
        <w:rPr>
          <w:rFonts w:ascii="Arial" w:cs="Arial" w:eastAsia="Arial" w:hAnsi="Arial"/>
          <w:b/>
          <w:bCs/>
          <w:color w:val="C8952A"/>
          <w:sz w:val="22"/>
          <w:szCs w:val="22"/>
        </w:rPr>
        <w:t xml:space="preserve">P3-3: CARF Full Implementation</w:t>
      </w:r>
    </w:p>
    <w:p>
      <w:pPr>
        <w:spacing w:after="140"/>
        <w:jc w:val="both"/>
      </w:pPr>
      <w:r>
        <w:rPr>
          <w:rFonts w:ascii="Arial" w:cs="Arial" w:eastAsia="Arial" w:hAnsi="Arial"/>
          <w:color w:val="222222"/>
          <w:sz w:val="20"/>
          <w:szCs w:val="20"/>
        </w:rPr>
        <w:t xml:space="preserve">CBDT to achieve full CARF implementation: India joins OECD Common Transmission System; automated data exchange with 50+ CARF partner jurisdictions from 2027; Indian user offshore exchange data automatically received and cross-matched annually; comprehensive VDA income reconciliation in AIS (Annual Information Statement) for all taxpayers with VDA exposure &gt; ₹1 lakh.</w:t>
      </w:r>
    </w:p>
    <w:p>
      <w:pPr>
        <w:pStyle w:val="Heading3"/>
        <w:spacing w:after="80" w:before="180"/>
      </w:pPr>
      <w:r>
        <w:rPr>
          <w:rFonts w:ascii="Arial" w:cs="Arial" w:eastAsia="Arial" w:hAnsi="Arial"/>
          <w:b/>
          <w:bCs/>
          <w:color w:val="C8952A"/>
          <w:sz w:val="22"/>
          <w:szCs w:val="22"/>
        </w:rPr>
        <w:t xml:space="preserve">P3-4: International Crypto Diplomacy</w:t>
      </w:r>
    </w:p>
    <w:p>
      <w:pPr>
        <w:spacing w:after="140"/>
        <w:jc w:val="both"/>
      </w:pPr>
      <w:r>
        <w:rPr>
          <w:rFonts w:ascii="Arial" w:cs="Arial" w:eastAsia="Arial" w:hAnsi="Arial"/>
          <w:color w:val="222222"/>
          <w:sz w:val="20"/>
          <w:szCs w:val="20"/>
        </w:rPr>
        <w:t xml:space="preserve">Ministry of External Affairs + Ministry of Finance to establish a dedicated Crypto and Digital Assets Diplomatic Track: bilateral VDA information exchange agreements with UAE, Singapore, USA, UK, EU, and ASEAN nations (covering the top 10 crypto outflow destinations for Indian residents); India to assume leadership role in FATF Crypto Working Group; proposal for South Asia Crypto AML Coordination Protocol under SAARC Financial Intelligence framework.</w:t>
      </w:r>
    </w:p>
    <w:p>
      <w:pPr>
        <w:pStyle w:val="Heading2"/>
        <w:spacing w:after="120" w:before="240"/>
      </w:pPr>
      <w:r>
        <w:rPr>
          <w:rFonts w:ascii="Arial" w:cs="Arial" w:eastAsia="Arial" w:hAnsi="Arial"/>
          <w:b/>
          <w:bCs/>
          <w:color w:val="0E7C86"/>
          <w:sz w:val="24"/>
          <w:szCs w:val="24"/>
        </w:rPr>
        <w:t xml:space="preserve">Implementation Priority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500"/>
        <w:gridCol w:w="1500"/>
        <w:gridCol w:w="1500"/>
        <w:gridCol w:w="1460"/>
      </w:tblGrid>
      <w:tr>
        <w:tc>
          <w:tcPr>
            <w:tcW w:type="dxa" w:w="22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Action</w:t>
            </w:r>
          </w:p>
        </w:tc>
        <w:tc>
          <w:tcPr>
            <w:tcW w:type="dxa" w:w="8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15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Lead Agency</w:t>
            </w:r>
          </w:p>
        </w:tc>
        <w:tc>
          <w:tcPr>
            <w:tcW w:type="dxa" w:w="15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Legal Basis</w:t>
            </w:r>
          </w:p>
        </w:tc>
        <w:tc>
          <w:tcPr>
            <w:tcW w:type="dxa" w:w="150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Timeline</w:t>
            </w:r>
          </w:p>
        </w:tc>
        <w:tc>
          <w:tcPr>
            <w:tcW w:type="dxa" w:w="1460"/>
            <w:tcBorders>
              <w:top w:val="single" w:color="CBD5E0" w:sz="1"/>
              <w:left w:val="single" w:color="CBD5E0" w:sz="1"/>
              <w:bottom w:val="single" w:color="CBD5E0" w:sz="1"/>
              <w:right w:val="single" w:color="CBD5E0"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Budget Est.</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CARD Act (Crypto Bill)</w:t>
            </w:r>
          </w:p>
        </w:tc>
        <w:tc>
          <w:tcPr>
            <w:tcW w:type="dxa" w:w="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P1</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Ministry of Finance</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New Legislation</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Budget 2027 Session</w:t>
            </w:r>
          </w:p>
        </w:tc>
        <w:tc>
          <w:tcPr>
            <w:tcW w:type="dxa" w:w="14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Legislative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Travel Rule Circular</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P1</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FIU-IND</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PMLA Existing Powers</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Q3 2026</w:t>
            </w:r>
          </w:p>
        </w:tc>
        <w:tc>
          <w:tcPr>
            <w:tcW w:type="dxa" w:w="1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 Cr (IT)</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Privacy Coin Ban</w:t>
            </w:r>
          </w:p>
        </w:tc>
        <w:tc>
          <w:tcPr>
            <w:tcW w:type="dxa" w:w="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P1</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FIU-IND/SEBI</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PMLA / SEBI Act</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Q3 2026</w:t>
            </w:r>
          </w:p>
        </w:tc>
        <w:tc>
          <w:tcPr>
            <w:tcW w:type="dxa" w:w="14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Nil</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Stablecoin FEMA Notif.</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P1</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RBI</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FEMA Section 47</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Q4 2026</w:t>
            </w:r>
          </w:p>
        </w:tc>
        <w:tc>
          <w:tcPr>
            <w:tcW w:type="dxa" w:w="1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Nil</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CARF Enabling Rules</w:t>
            </w:r>
          </w:p>
        </w:tc>
        <w:tc>
          <w:tcPr>
            <w:tcW w:type="dxa" w:w="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P1</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CBDT</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IT Act Section 285BA</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Q4 2026</w:t>
            </w:r>
          </w:p>
        </w:tc>
        <w:tc>
          <w:tcPr>
            <w:tcW w:type="dxa" w:w="14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₹50 Cr (systems)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NBIP — Blockchain Intel</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P2</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MeitY/FIU-IND</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MeitY + PMLA</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Q1 2027</w:t>
            </w:r>
          </w:p>
        </w:tc>
        <w:tc>
          <w:tcPr>
            <w:tcW w:type="dxa" w:w="1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₹200–400 Cr</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VDA Prudential Norms</w:t>
            </w:r>
          </w:p>
        </w:tc>
        <w:tc>
          <w:tcPr>
            <w:tcW w:type="dxa" w:w="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P2</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RBI/SEBI Joint</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RBI Act / SEBI Act</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Q2 2027</w:t>
            </w:r>
          </w:p>
        </w:tc>
        <w:tc>
          <w:tcPr>
            <w:tcW w:type="dxa" w:w="14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₹30 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FEMA-VDA Compliance Layer</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P2</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RBI/ED</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FEMA Section 47</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Q2 2027</w:t>
            </w:r>
          </w:p>
        </w:tc>
        <w:tc>
          <w:tcPr>
            <w:tcW w:type="dxa" w:w="1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₹75 Cr (systems)</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Full VASP Licensing</w:t>
            </w:r>
          </w:p>
        </w:tc>
        <w:tc>
          <w:tcPr>
            <w:tcW w:type="dxa" w:w="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P3</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SEBI/RBI/FIU-IND</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CARD Act</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Q3 2027</w:t>
            </w:r>
          </w:p>
        </w:tc>
        <w:tc>
          <w:tcPr>
            <w:tcW w:type="dxa" w:w="14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₹100 Cr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e-₹ v2.0 Enhancement</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P3</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RBI</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RBI Act Section 22</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Q4 2027</w:t>
            </w:r>
          </w:p>
        </w:tc>
        <w:tc>
          <w:tcPr>
            <w:tcW w:type="dxa" w:w="1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₹500–800 Cr</w:t>
            </w:r>
          </w:p>
        </w:tc>
      </w:tr>
      <w:tr>
        <w:tc>
          <w:tcPr>
            <w:tcW w:type="dxa" w:w="22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CARF Full Implementation</w:t>
            </w:r>
          </w:p>
        </w:tc>
        <w:tc>
          <w:tcPr>
            <w:tcW w:type="dxa" w:w="8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P3</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CBDT/MEA</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CARD Act + Tax Treaty</w:t>
            </w:r>
          </w:p>
        </w:tc>
        <w:tc>
          <w:tcPr>
            <w:tcW w:type="dxa" w:w="150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2027</w:t>
            </w:r>
          </w:p>
        </w:tc>
        <w:tc>
          <w:tcPr>
            <w:tcW w:type="dxa" w:w="1460"/>
            <w:tcBorders>
              <w:top w:val="single" w:color="CBD5E0" w:sz="1"/>
              <w:left w:val="single" w:color="CBD5E0" w:sz="1"/>
              <w:bottom w:val="single" w:color="CBD5E0" w:sz="1"/>
              <w:right w:val="single" w:color="CBD5E0" w:sz="1"/>
            </w:tcBorders>
            <w:shd w:fill="EEF1F6" w:val="clear"/>
            <w:tcMar>
              <w:top w:type="dxa" w:w="60"/>
              <w:left w:type="dxa" w:w="100"/>
              <w:bottom w:type="dxa" w:w="60"/>
              <w:right w:type="dxa" w:w="100"/>
            </w:tcMar>
          </w:tcPr>
          <w:p>
            <w:pPr>
              <w:jc w:val="center"/>
            </w:pPr>
            <w:r>
              <w:rPr>
                <w:rFonts w:ascii="Arial" w:cs="Arial" w:eastAsia="Arial" w:hAnsi="Arial"/>
                <w:sz w:val="18"/>
                <w:szCs w:val="18"/>
              </w:rPr>
              <w:t xml:space="preserve">₹150 Cr (systems)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Crypto Diplomacy Track</w:t>
            </w:r>
          </w:p>
        </w:tc>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P3</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MEA/MoF</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Government authority</w:t>
            </w:r>
          </w:p>
        </w:tc>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2026–2028 ongoing</w:t>
            </w:r>
          </w:p>
        </w:tc>
        <w:tc>
          <w:tcPr>
            <w:tcW w:type="dxa" w:w="1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 Cr</w:t>
            </w:r>
          </w:p>
        </w:tc>
      </w:tr>
    </w:tbl>
    <w:p>
      <w:pPr>
        <w:spacing w:after="200" w:before="60"/>
        <w:jc w:val="center"/>
      </w:pPr>
      <w:r>
        <w:rPr>
          <w:rFonts w:ascii="Arial" w:cs="Arial" w:eastAsia="Arial" w:hAnsi="Arial"/>
          <w:i/>
          <w:iCs/>
          <w:color w:val="4A5568"/>
          <w:sz w:val="18"/>
          <w:szCs w:val="18"/>
        </w:rPr>
        <w:t xml:space="preserve">Table 13.1 — Implementation Roadmap Summary — Digital South Trust Recommendations, April 2026</w:t>
      </w:r>
    </w:p>
    <w:p>
      <w:r>
        <w:br w:type="page"/>
      </w:r>
    </w:p>
    <w:p>
      <w:pPr>
        <w:pStyle w:val="Heading1"/>
        <w:pBdr>
          <w:bottom w:val="single" w:color="0E7C86" w:sz="6" w:space="4"/>
        </w:pBdr>
        <w:spacing w:after="180" w:before="360"/>
      </w:pPr>
      <w:r>
        <w:rPr>
          <w:rFonts w:ascii="Arial" w:cs="Arial" w:eastAsia="Arial" w:hAnsi="Arial"/>
          <w:b/>
          <w:bCs/>
          <w:color w:val="0D2B5E"/>
          <w:sz w:val="28"/>
          <w:szCs w:val="28"/>
        </w:rPr>
        <w:t xml:space="preserve">CONCLUSION</w:t>
      </w:r>
    </w:p>
    <w:p>
      <w:pPr>
        <w:spacing w:after="140"/>
        <w:jc w:val="both"/>
      </w:pPr>
      <w:r>
        <w:rPr>
          <w:rFonts w:ascii="Arial" w:cs="Arial" w:eastAsia="Arial" w:hAnsi="Arial"/>
          <w:color w:val="222222"/>
          <w:sz w:val="20"/>
          <w:szCs w:val="20"/>
        </w:rPr>
        <w:t xml:space="preserve">India stands at the most consequential juncture in the history of its monetary and financial system since the 1991 liberalisation. The cryptocurrency revolution is not a passing technological trend — it is a structural realignment of the global financial architecture. The question before the Government of India is not whether to engage with this revolution, but how — and on what terms.</w:t>
      </w:r>
    </w:p>
    <w:p>
      <w:pPr>
        <w:spacing w:after="140"/>
        <w:jc w:val="both"/>
      </w:pPr>
      <w:r>
        <w:rPr>
          <w:rFonts w:ascii="Arial" w:cs="Arial" w:eastAsia="Arial" w:hAnsi="Arial"/>
          <w:color w:val="222222"/>
          <w:sz w:val="20"/>
          <w:szCs w:val="20"/>
        </w:rPr>
        <w:t xml:space="preserve">The evidence assembled in this research paper is unambiguous: India's current regulatory posture is inadequate. The combination of a legislative void, fragmented executive oversight, under-resourced enforcement agencies, incomplete international alignment, and a rapidly evolving technological landscape has created a compounding risk environment across every domain that this paper has examined.</w:t>
      </w:r>
    </w:p>
    <w:p>
      <w:pPr>
        <w:spacing w:after="140"/>
        <w:jc w:val="both"/>
      </w:pPr>
      <w:r>
        <w:rPr>
          <w:rFonts w:ascii="Arial" w:cs="Arial" w:eastAsia="Arial" w:hAnsi="Arial"/>
          <w:color w:val="222222"/>
          <w:sz w:val="20"/>
          <w:szCs w:val="20"/>
        </w:rPr>
        <w:t xml:space="preserve">The risks are real and they are material. An estimated ₹25,000–35,000 Cr in suspicious VDA flows annually. An ₹18,000–24,000 Cr annual tax revenue gap. A stablecoin adoption trajectory that, if unchecked, will measurably impair the RBI's monetary transmission mechanism within 3–5 years. A WazirX-scale exchange collapse that has already cost Indian retail investors ₹2,000 Cr with zero regulatory recourse. A Travel Rule gap that places India in material FATF deficiency — carrying sovereign reputational and access-to-global-finance consequences.</w:t>
      </w:r>
    </w:p>
    <w:p>
      <w:pPr>
        <w:spacing w:after="140"/>
        <w:jc w:val="both"/>
      </w:pPr>
      <w:r>
        <w:rPr>
          <w:rFonts w:ascii="Arial" w:cs="Arial" w:eastAsia="Arial" w:hAnsi="Arial"/>
          <w:color w:val="222222"/>
          <w:sz w:val="20"/>
          <w:szCs w:val="20"/>
        </w:rPr>
        <w:t xml:space="preserve">But the opportunity is equally real. India has the regulatory capacity, the institutional depth, the technical talent, and the G20 leadership platform to build a world-class, innovation-enabling, sovereignty-protecting crypto regulatory framework. The recommendations in this paper — the CARD Act, the National Blockchain Intelligence Platform, the five-pillar Monetary Sovereignty Protection Framework, the phased VASP licensing system, the CARF implementation roadmap — are not aspirational abstractions. They are actionable, costed, and internationally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EF1F6" w:val="clear"/>
            <w:tcMar>
              <w:top w:type="dxa" w:w="160"/>
              <w:left w:type="dxa" w:w="200"/>
              <w:bottom w:type="dxa" w:w="160"/>
              <w:right w:type="dxa" w:w="200"/>
            </w:tcMar>
          </w:tcPr>
          <w:p>
            <w:pPr>
              <w:jc w:val="both"/>
            </w:pPr>
            <w:r>
              <w:rPr>
                <w:rFonts w:ascii="Arial" w:cs="Arial" w:eastAsia="Arial" w:hAnsi="Arial"/>
                <w:i/>
                <w:iCs/>
                <w:color w:val="0D2B5E"/>
                <w:sz w:val="20"/>
                <w:szCs w:val="20"/>
              </w:rPr>
              <w:t xml:space="preserve">The window for decisive, India-led regulatory action is 12–24 months. The global CARF enforcement wave arrives in 2027. MiCA is fully operational. The US is on the cusp of a comprehensive crypto framework. If India does not act now, it will be a rule-taker, not a rule-maker, in the global crypto financial architecture. Digital South Trust urges the highest levels of government to treat this as a matter of first-order national economic security.</w:t>
            </w:r>
          </w:p>
        </w:tc>
      </w:tr>
    </w:tbl>
    <w:p>
      <w:pPr>
        <w:pBdr>
          <w:bottom w:val="single" w:color="C8952A" w:sz="4" w:space="2"/>
        </w:pBdr>
        <w:spacing w:after="160"/>
      </w:pPr>
      <w:r>
        <w:rPr>
          <w:rFonts w:ascii="Arial" w:cs="Arial" w:eastAsia="Arial" w:hAnsi="Arial"/>
        </w:rPr>
        <w:t xml:space="preserve"/>
      </w:r>
    </w:p>
    <w:p>
      <w:pPr>
        <w:spacing w:after="120"/>
      </w:pPr>
      <w:r>
        <w:rPr>
          <w:rFonts w:ascii="Arial" w:cs="Arial" w:eastAsia="Arial" w:hAnsi="Arial"/>
        </w:rPr>
        <w:t xml:space="preserve"/>
      </w:r>
    </w:p>
    <w:p>
      <w:pPr>
        <w:jc w:val="center"/>
      </w:pPr>
      <w:r>
        <w:rPr>
          <w:rFonts w:ascii="Arial" w:cs="Arial" w:eastAsia="Arial" w:hAnsi="Arial"/>
          <w:b/>
          <w:bCs/>
          <w:color w:val="0D2B5E"/>
          <w:sz w:val="20"/>
          <w:szCs w:val="20"/>
        </w:rPr>
        <w:t xml:space="preserve">— Digital South Trust Research &amp; Policy Division</w:t>
      </w:r>
    </w:p>
    <w:p>
      <w:pPr>
        <w:jc w:val="center"/>
      </w:pPr>
      <w:r>
        <w:rPr>
          <w:rFonts w:ascii="Arial" w:cs="Arial" w:eastAsia="Arial" w:hAnsi="Arial"/>
          <w:i/>
          <w:iCs/>
          <w:sz w:val="18"/>
          <w:szCs w:val="18"/>
        </w:rPr>
        <w:t xml:space="preserve">April 2026 | Restricted Policy Research | Not for Public Distribution</w:t>
      </w:r>
    </w:p>
    <w:p>
      <w:r>
        <w:br w:type="page"/>
      </w:r>
    </w:p>
    <w:p>
      <w:pPr>
        <w:pStyle w:val="Heading1"/>
        <w:pBdr>
          <w:bottom w:val="single" w:color="0E7C86" w:sz="6" w:space="4"/>
        </w:pBdr>
        <w:spacing w:after="180" w:before="360"/>
      </w:pPr>
      <w:r>
        <w:rPr>
          <w:rFonts w:ascii="Arial" w:cs="Arial" w:eastAsia="Arial" w:hAnsi="Arial"/>
          <w:b/>
          <w:bCs/>
          <w:color w:val="0D2B5E"/>
          <w:sz w:val="28"/>
          <w:szCs w:val="28"/>
        </w:rPr>
        <w:t xml:space="preserve">APPENDIX — LEGAL REFERENCE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Indian Law / Regulation</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Crypto Relevance &amp; Key Sections Cited in This Paper</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Prevention of Money Laundering Act, 2002 (PMLA)</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Primary AML statute. Sections 2(1)(sa), 3, 5, 12, 12A, 13, 16. VDA SPs as reporting entities per Finance Ministry Notification March 2023.</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Foreign Exchange Management Act, 1999 (FEMA)</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Cross-border VDA flows, stablecoin classification, LRS compliance for crypto. Sections 2(m), 3, 42, 47. Capital account regulations.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Income Tax Act, 1961 (Finance Act 2022)</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VDA taxation: Section 2(47A) definition, 115BBH (30% tax), 194S (1% TDS), 194-BA. CBDT Circular 13/2022. Section 285BA (CARF basis).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RBI Act, 1934</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Monetary authority, note issuance, NBFC regulation. Sections 3, 17, 22, 45-IA, 45JA. Basis for stablecoin and CBDC oversight.</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SEBI Act, 1992 &amp; SCRA 1956</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Securities regulation. Howey test for VDA classification. Insider trading and market manipulation framework. SEBI Discussion Paper 2024.</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Payment and Settlement Systems Act, 2007 (PSS Act)</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Payment instruments regulation. E-₹ issuance framework. Crypto payment prohibition/regulation basis.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Information Technology Act, 2000</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Cybercrime in crypto. Sections 66D (fraud), 67 (obscene content), 69A (blocking). IT Amendment 2008 for ransomware obligations.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Narcotic Drugs &amp; Psychotropic Substances Act, 1985</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Narco-crypto nexus. Section 68F (attachment of proceeds). Amendment needed to explicitly include VDAs.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Black Money (Undisclosed Foreign Income &amp; Assets) Act, 2015</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Undisclosed foreign crypto holdings. Offshore crypto — asset disclosure obligations under Schedule AL. Income Tax Act Section 139.</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Companies Act, 2013</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Corporate disclosure obligations for companies holding VDA as assets. Accounting treatment under Ind AS.</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IRDAI Regulations</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Insurance of VDA assets. Currently no specific framework. Potential under IRDAI's innovative insurance sandbox.</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FATF Recommendations (15, 16, VASP Guidance 2023)</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International AML standards. Travel Rule. VASP definition. India's obligations as FATF member.</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OECD CARF Framework (G20 Endorsed 2023)</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Automatic exchange of crypto tax information. India's G20 commitment. CBDT implementation obligations from 2027.</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BCBS Crypto-Asset Standard (Dec. 2022)</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Bank prudential rules for crypto exposure. Group 1/Group 2 classification. 1250% risk weight for high-risk crypto. Not yet adopted by RBI.</w:t>
            </w:r>
          </w:p>
        </w:tc>
      </w:tr>
    </w:tbl>
    <w:p>
      <w:pPr>
        <w:spacing w:after="200"/>
      </w:pPr>
      <w:r>
        <w:rPr>
          <w:rFonts w:ascii="Arial" w:cs="Arial" w:eastAsia="Arial" w:hAnsi="Arial"/>
        </w:rPr>
        <w:t xml:space="preserve"/>
      </w:r>
    </w:p>
    <w:p>
      <w:pPr>
        <w:pStyle w:val="Heading1"/>
        <w:pBdr>
          <w:bottom w:val="single" w:color="0E7C86" w:sz="6" w:space="4"/>
        </w:pBdr>
        <w:spacing w:after="180" w:before="360"/>
      </w:pPr>
      <w:r>
        <w:rPr>
          <w:rFonts w:ascii="Arial" w:cs="Arial" w:eastAsia="Arial" w:hAnsi="Arial"/>
          <w:b/>
          <w:bCs/>
          <w:color w:val="0D2B5E"/>
          <w:sz w:val="28"/>
          <w:szCs w:val="28"/>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760"/>
            <w:tcBorders>
              <w:top w:val="single" w:color="CBD5E0" w:sz="1"/>
              <w:left w:val="single" w:color="CBD5E0" w:sz="1"/>
              <w:bottom w:val="single" w:color="CBD5E0" w:sz="1"/>
              <w:right w:val="single" w:color="CBD5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VDA (Virtual Digital Asset)</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Defined under Section 2(47A) IT Act 1961. Any information, code, number or token generated through cryptographic means providing a digital representation of value. Includes crypto, NFTs. Excludes Indian currency, foreign currency, and CBDT-notified items.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VASP (Virtual Asset Service Provider)</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FATF terminology for entities conducting VDA exchange, transfer, custody, administration, or participation in ICOs. Equivalent to VDA SP under India's PMLA framework.</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FIU-IND</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Financial Intelligence Unit — India. The central national agency receiving, processing, analysing, and disseminating information relating to suspicious financial transactions.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PMLA</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Prevention of Money Laundering Act, 2002. India's primary anti-money laundering statute.</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FATF</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Financial Action Task Force. The global money laundering and terrorist financing watchdog. India is a member. India's 2024 Mutual Evaluation Report cited crypto Travel Rule as a deficiency.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CARF</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Crypto-Asset Reporting Framework. OECD standard for automatic exchange of crypto tax information between jurisdictions. Effective 2027 for early adopters. India committed at G20 2023.</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Travel Rule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FATF Recommendation 16. Requires VASPs to transmit originator and beneficiary information (name, account number, address) for VDA transfers above USD 1,000. Not yet enacted in India.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DeFi</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Decentralised Finance. Financial services (lending, trading, yield) running on public blockchains via smart contracts without centralised intermediaries. Largely unregulated globally.</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e-₹ (Digital Rupee)</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India's Central Bank Digital Currency issued by RBI. Pilot launched December 2022. India's CBDC — a digital form of sovereign currency.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MiCA</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Markets in Crypto-Assets Regulation. EU's comprehensive crypto law fully effective December 2024. The global benchmark for crypto regulation.</w:t>
            </w:r>
          </w:p>
        </w:tc>
      </w:tr>
      <w:tr>
        <w:tc>
          <w:tcPr>
            <w:tcW w:type="dxa" w:w="260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bCs/>
                <w:sz w:val="19"/>
                <w:szCs w:val="19"/>
              </w:rPr>
              <w:t xml:space="preserve">STR</w:t>
            </w:r>
          </w:p>
        </w:tc>
        <w:tc>
          <w:tcPr>
            <w:tcW w:type="dxa" w:w="6760"/>
            <w:tcBorders>
              <w:top w:val="single" w:color="CBD5E0" w:sz="1"/>
              <w:left w:val="single" w:color="CBD5E0" w:sz="1"/>
              <w:bottom w:val="single" w:color="CBD5E0" w:sz="1"/>
              <w:right w:val="single" w:color="CBD5E0" w:sz="1"/>
            </w:tcBorders>
            <w:shd w:fill="E8EEF7"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Suspicious Transaction Report. Filed by reporting entities (including VDA SPs under PMLA) with FIU-IND when a transaction is suspected of money laundering.</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LRS</w:t>
            </w:r>
          </w:p>
        </w:tc>
        <w:tc>
          <w:tcPr>
            <w:tcW w:type="dxa" w:w="6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Liberalised Remittance Scheme. RBI scheme allowing Indian residents to remit up to USD 250,000 per financial year for permissible current and capital account transactions. Crypto transactions should be LRS-reportable.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86" w:sz="4" w:space="4"/>
      </w:pBdr>
      <w:spacing w:before="60"/>
      <w:jc w:val="center"/>
    </w:pPr>
    <w:r>
      <w:rPr>
        <w:rFonts w:ascii="Arial" w:cs="Arial" w:eastAsia="Arial" w:hAnsi="Arial"/>
        <w:color w:val="4A5568"/>
        <w:sz w:val="16"/>
        <w:szCs w:val="16"/>
      </w:rPr>
      <w:t xml:space="preserve">© 2026 Digital South Trust. Confidential Policy Research — Not for Public Distribution.  |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6" w:sz="4" w:space="4"/>
      </w:pBdr>
      <w:spacing w:after="60"/>
    </w:pPr>
    <w:r>
      <w:rPr>
        <w:rFonts w:ascii="Arial" w:cs="Arial" w:eastAsia="Arial" w:hAnsi="Arial"/>
        <w:b/>
        <w:bCs/>
        <w:color w:val="0E7C86"/>
        <w:sz w:val="16"/>
        <w:szCs w:val="16"/>
      </w:rPr>
      <w:t xml:space="preserve">DIGITAL SOUTH TRUST  |  CRYPTO POLICY RESEARCH  |  APRIL 2026</w:t>
    </w:r>
    <w:r>
      <w:rPr>
        <w:rFonts w:ascii="Arial" w:cs="Arial" w:eastAsia="Arial" w:hAnsi="Arial"/>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rPr>
    </w:lvl>
    <w:lvl w:ilvl="1" w15:tentative="1">
      <w:start w:val="1"/>
      <w:numFmt w:val="bullet"/>
      <w:lvlText w:val="◦"/>
      <w:lvlJc w:val="left"/>
      <w:pPr>
        <w:spacing w:after="60"/>
        <w:ind w:left="108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6" w:space="4"/>
      </w:pBdr>
      <w:spacing w:after="180" w:before="360"/>
      <w:outlineLvl w:val="0"/>
    </w:pPr>
    <w:rPr>
      <w:rFonts w:ascii="Arial" w:cs="Arial" w:eastAsia="Arial" w:hAnsi="Arial"/>
      <w:b/>
      <w:bCs/>
      <w:color w:val="0D2B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E7C8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C895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2026-05-10T13:29:10.210Z</dcterms:created>
  <dcterms:modified xsi:type="dcterms:W3CDTF">2026-05-10T13:29:10.225Z</dcterms:modified>
</cp:coreProperties>
</file>

<file path=docProps/custom.xml><?xml version="1.0" encoding="utf-8"?>
<Properties xmlns="http://schemas.openxmlformats.org/officeDocument/2006/custom-properties" xmlns:vt="http://schemas.openxmlformats.org/officeDocument/2006/docPropsVTypes"/>
</file>