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CE" w:rsidRDefault="00A836CE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>
      <w:proofErr w:type="spellStart"/>
      <w:r>
        <w:lastRenderedPageBreak/>
        <w:t>Etl</w:t>
      </w:r>
      <w:proofErr w:type="spellEnd"/>
      <w:r>
        <w:t xml:space="preserve">: </w:t>
      </w:r>
      <w:proofErr w:type="spellStart"/>
      <w:r>
        <w:t>etl</w:t>
      </w:r>
      <w:proofErr w:type="spellEnd"/>
      <w:r>
        <w:t xml:space="preserve"> workflow is for extraction of data from source system </w:t>
      </w:r>
      <w:proofErr w:type="gramStart"/>
      <w:r>
        <w:t>erd(</w:t>
      </w:r>
      <w:proofErr w:type="gramEnd"/>
    </w:p>
    <w:p w:rsidR="00B14AA5" w:rsidRDefault="00B14AA5"/>
    <w:p w:rsidR="00B14AA5" w:rsidRPr="00B14AA5" w:rsidRDefault="00B14AA5" w:rsidP="00B14A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</w:rPr>
      </w:pPr>
      <w:proofErr w:type="spellStart"/>
      <w:proofErr w:type="gram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nchar</w:t>
      </w:r>
      <w:proofErr w:type="spellEnd"/>
      <w:proofErr w:type="gram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and </w:t>
      </w:r>
      <w:proofErr w:type="spell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nvarchar</w:t>
      </w:r>
      <w:proofErr w:type="spell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can store 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Unicode</w:t>
      </w:r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characters.</w:t>
      </w:r>
    </w:p>
    <w:p w:rsidR="00B14AA5" w:rsidRPr="00B14AA5" w:rsidRDefault="00B14AA5" w:rsidP="00B14A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</w:rPr>
      </w:pPr>
      <w:proofErr w:type="gram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char</w:t>
      </w:r>
      <w:proofErr w:type="gram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and </w:t>
      </w:r>
      <w:proofErr w:type="spell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varchar</w:t>
      </w:r>
      <w:proofErr w:type="spell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cannot store Unicode</w:t>
      </w:r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characters.</w:t>
      </w:r>
    </w:p>
    <w:p w:rsidR="00B14AA5" w:rsidRPr="00B14AA5" w:rsidRDefault="00B14AA5" w:rsidP="00B14A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</w:rPr>
      </w:pPr>
      <w:proofErr w:type="gram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char</w:t>
      </w:r>
      <w:proofErr w:type="gram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and </w:t>
      </w:r>
      <w:proofErr w:type="spell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nchar</w:t>
      </w:r>
      <w:proofErr w:type="spell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are 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fixed-length</w:t>
      </w:r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which will 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reserve storage space</w:t>
      </w:r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for number of characters you specify even if you don't use up all that space.</w:t>
      </w:r>
    </w:p>
    <w:p w:rsidR="00B14AA5" w:rsidRPr="00B14AA5" w:rsidRDefault="00B14AA5" w:rsidP="00B14AA5">
      <w:pPr>
        <w:numPr>
          <w:ilvl w:val="0"/>
          <w:numId w:val="1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</w:rPr>
      </w:pPr>
      <w:proofErr w:type="spellStart"/>
      <w:proofErr w:type="gram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varchar</w:t>
      </w:r>
      <w:proofErr w:type="spellEnd"/>
      <w:proofErr w:type="gram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and </w:t>
      </w:r>
      <w:proofErr w:type="spell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nvarchar</w:t>
      </w:r>
      <w:proofErr w:type="spell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are 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variable-length</w:t>
      </w:r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 which will only use up spaces for the characters you store. It 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will not reserve storage like </w:t>
      </w:r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char</w:t>
      </w:r>
      <w:r w:rsidRPr="00B14AA5">
        <w:rPr>
          <w:rFonts w:ascii="inherit" w:eastAsia="Times New Roman" w:hAnsi="inherit" w:cs="Segoe UI"/>
          <w:b/>
          <w:bCs/>
          <w:color w:val="0C0D0E"/>
          <w:sz w:val="19"/>
        </w:rPr>
        <w:t> or </w:t>
      </w:r>
      <w:proofErr w:type="spellStart"/>
      <w:r w:rsidRPr="00B14AA5">
        <w:rPr>
          <w:rFonts w:ascii="var(--ff-mono)" w:eastAsia="Times New Roman" w:hAnsi="var(--ff-mono)" w:cs="Courier New"/>
          <w:b/>
          <w:bCs/>
          <w:color w:val="0C0D0E"/>
          <w:sz w:val="20"/>
        </w:rPr>
        <w:t>nchar</w:t>
      </w:r>
      <w:proofErr w:type="spellEnd"/>
      <w:r w:rsidRPr="00B14AA5">
        <w:rPr>
          <w:rFonts w:ascii="inherit" w:eastAsia="Times New Roman" w:hAnsi="inherit" w:cs="Segoe UI"/>
          <w:color w:val="0C0D0E"/>
          <w:sz w:val="19"/>
          <w:szCs w:val="19"/>
        </w:rPr>
        <w:t>.</w:t>
      </w:r>
    </w:p>
    <w:p w:rsidR="00B14AA5" w:rsidRPr="00B14AA5" w:rsidRDefault="00B14AA5" w:rsidP="00B14A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19"/>
          <w:szCs w:val="19"/>
        </w:rPr>
      </w:pPr>
      <w:proofErr w:type="spellStart"/>
      <w:proofErr w:type="gramStart"/>
      <w:r w:rsidRPr="00B14AA5">
        <w:rPr>
          <w:rFonts w:ascii="var(--ff-mono)" w:eastAsia="Times New Roman" w:hAnsi="var(--ff-mono)" w:cs="Courier New"/>
          <w:color w:val="0C0D0E"/>
          <w:sz w:val="20"/>
        </w:rPr>
        <w:t>nchar</w:t>
      </w:r>
      <w:proofErr w:type="spellEnd"/>
      <w:proofErr w:type="gramEnd"/>
      <w:r w:rsidRPr="00B14AA5">
        <w:rPr>
          <w:rFonts w:ascii="Segoe UI" w:eastAsia="Times New Roman" w:hAnsi="Segoe UI" w:cs="Segoe UI"/>
          <w:color w:val="0C0D0E"/>
          <w:sz w:val="19"/>
          <w:szCs w:val="19"/>
        </w:rPr>
        <w:t> and </w:t>
      </w:r>
      <w:proofErr w:type="spellStart"/>
      <w:r w:rsidRPr="00B14AA5">
        <w:rPr>
          <w:rFonts w:ascii="var(--ff-mono)" w:eastAsia="Times New Roman" w:hAnsi="var(--ff-mono)" w:cs="Courier New"/>
          <w:color w:val="0C0D0E"/>
          <w:sz w:val="20"/>
        </w:rPr>
        <w:t>nvarchar</w:t>
      </w:r>
      <w:proofErr w:type="spellEnd"/>
      <w:r w:rsidRPr="00B14AA5">
        <w:rPr>
          <w:rFonts w:ascii="Segoe UI" w:eastAsia="Times New Roman" w:hAnsi="Segoe UI" w:cs="Segoe UI"/>
          <w:color w:val="0C0D0E"/>
          <w:sz w:val="19"/>
          <w:szCs w:val="19"/>
        </w:rPr>
        <w:t> will take up twice as much storage space, so it may be wise to use them only if you need </w:t>
      </w:r>
      <w:r w:rsidRPr="00B14AA5">
        <w:rPr>
          <w:rFonts w:ascii="inherit" w:eastAsia="Times New Roman" w:hAnsi="inherit" w:cs="Segoe UI"/>
          <w:i/>
          <w:iCs/>
          <w:color w:val="0C0D0E"/>
          <w:sz w:val="19"/>
        </w:rPr>
        <w:t>Unicode</w:t>
      </w:r>
      <w:r w:rsidRPr="00B14AA5">
        <w:rPr>
          <w:rFonts w:ascii="Segoe UI" w:eastAsia="Times New Roman" w:hAnsi="Segoe UI" w:cs="Segoe UI"/>
          <w:color w:val="0C0D0E"/>
          <w:sz w:val="19"/>
          <w:szCs w:val="19"/>
        </w:rPr>
        <w:t> support.</w:t>
      </w:r>
    </w:p>
    <w:p w:rsidR="00B14AA5" w:rsidRDefault="00B14AA5"/>
    <w:sectPr w:rsidR="00B14AA5" w:rsidSect="00A83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5139B"/>
    <w:multiLevelType w:val="multilevel"/>
    <w:tmpl w:val="BC9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8733B9"/>
    <w:rsid w:val="008733B9"/>
    <w:rsid w:val="00A836CE"/>
    <w:rsid w:val="00B1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4A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A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A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2023-10-09T04:51:00Z</dcterms:created>
  <dcterms:modified xsi:type="dcterms:W3CDTF">2024-04-17T13:04:00Z</dcterms:modified>
</cp:coreProperties>
</file>