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2 — videos 021 to 040</w:t>
      </w:r>
    </w:p>
    <w:p>
      <w:r>
        <w:t>Operators &amp; Assignments (parts 5–7), Flow-Control, and Declarations &amp; Access Modifiers (parts 1–11).</w:t>
      </w:r>
    </w:p>
    <w:p>
      <w:r>
        <w:t>Every note is a Word file (</w:t>
      </w:r>
      <w:r>
        <w:rPr>
          <w:rFonts w:ascii="Consolas" w:hAnsi="Consolas"/>
          <w:sz w:val="20"/>
        </w:rPr>
        <w:t>.doc</w:t>
      </w:r>
      <w:r>
        <w:t xml:space="preserve"> and </w:t>
      </w:r>
      <w:r>
        <w:rPr>
          <w:rFonts w:ascii="Consolas" w:hAnsi="Consolas"/>
          <w:sz w:val="20"/>
        </w:rPr>
        <w:t>.docx</w:t>
      </w:r>
      <w:r>
        <w:t xml:space="preserve">). Title + video info first, then notes. </w:t>
      </w:r>
      <w:r>
        <w:rPr>
          <w:b/>
        </w:rPr>
        <w:t>Every board example is actual Java</w:t>
      </w:r>
      <w:r>
        <w:t>, not a prose description.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