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Default Extension="jpeg" ContentType="image/jpeg"/>
  <Default Extension="gif" ContentType="image/gif"/>
  <Default Extension="tiff" ContentType="image/tiff"/>
  <Default Extension="svg" ContentType="image/svg+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notes.xml" ContentType="application/vnd.openxmlformats-officedocument.wordprocessingml.footnotes+xml"/>
  <Override PartName="/word/endnotes.xml" ContentType="application/vnd.openxmlformats-officedocument.wordprocessingml.endnotes+xml"/>
</Types>
</file>

<file path=_rels/.rels><?xml version="1.0" encoding="UTF-8" standalone="yes"?><Relationships xmlns="http://schemas.openxmlformats.org/package/2006/relationships"><Relationship Id="rId1" Type="http://schemas.openxmlformats.org/officeDocument/2006/relationships/officeDocument" Target="word/document.xml"/></Relationships>
</file>

<file path=word/document.xml><?xml version="1.0" encoding="utf-8"?>
<w:document xmlns:r="http://schemas.openxmlformats.org/officeDocument/2006/relationships" xmlns:v="urn:schemas-microsoft-com:vml" xmlns:wx="http://schemas.microsoft.com/office/word/2003/auxHint" xmlns:wp="http://schemas.openxmlformats.org/drawingml/2006/wordprocessingDrawing" xmlns:a="http://schemas.openxmlformats.org/drawingml/2006/main" xmlns:pic="http://schemas.openxmlformats.org/drawingml/2006/picture" xmlns:w="http://schemas.openxmlformats.org/wordprocessingml/2006/main">
  <w:body>
    <w:p>
      <w:pPr/>
      <w:r>
        <w:rPr>
          <w:b/>
        </w:rPr>
        <w:t xml:space="preserve">Naming Schema for Test Cases</w:t>
      </w:r>
    </w:p>
    <w:p>
      <w:pPr/>
      <w:r>
        <w:rPr/>
        <w:t xml:space="preserve">Each of the test case is grouped in the two categories which are:</w:t>
      </w:r>
    </w:p>
    <w:p>
      <w:pPr>
        <w:pStyle w:val="Numbered List"/>
        <w:ind w:hanging="432"/>
        <w:ind w:left="720"/>
        <w:numPr>
          <w:ilvl w:val="1"/>
          <w:numId w:val="1111033111"/>
        </w:numPr>
      </w:pPr>
      <w:r>
        <w:rPr/>
        <w:t xml:space="preserve">		</w:t>
      </w:r>
      <w:r>
        <w:rPr>
          <w:lang w:val="en-CA"/>
          <w:rFonts w:ascii="Times New Roman" w:cs="Times New Roman" w:hAnsi="Times New Roman"/>
          <w:sz w:val="24"/>
          <w:color w:val="000000"/>
          <w:shd w:fill="ffffff"/>
        </w:rPr>
        <w:t xml:space="preserve">Session Type (Admin or Standard)</w:t>
      </w:r>
    </w:p>
    <w:p>
      <w:pPr>
        <w:pStyle w:val="Numbered List"/>
        <w:ind w:hanging="432"/>
        <w:ind w:left="720"/>
        <w:numPr>
          <w:ilvl w:val="1"/>
          <w:numId w:val="1111033111"/>
        </w:numPr>
      </w:pPr>
      <w:r>
        <w:rPr/>
        <w:t xml:space="preserve">		</w:t>
      </w:r>
      <w:r>
        <w:rPr>
          <w:lang w:val="en-CA"/>
          <w:rFonts w:ascii="Times New Roman" w:cs="Times New Roman" w:hAnsi="Times New Roman"/>
          <w:sz w:val="24"/>
          <w:color w:val="000000"/>
          <w:shd w:fill="ffffff"/>
        </w:rPr>
        <w:t xml:space="preserve">Functionality (Buy, Rent, Sell, Return, Create, Add, Log-in and Log-out)</w:t>
      </w:r>
    </w:p>
    <w:p>
      <w:pPr>
        <w:pStyle w:val="Numbered List"/>
      </w:pPr>
    </w:p>
    <w:p>
      <w:pPr>
        <w:pStyle w:val="Numbered List"/>
      </w:pPr>
      <w:r>
        <w:rPr>
          <w:lang w:val="en-CA"/>
          <w:rFonts w:ascii="Times New Roman" w:cs="Times New Roman" w:hAnsi="Times New Roman"/>
          <w:sz w:val="24"/>
          <w:color w:val="000000"/>
          <w:shd w:fill="ffffff"/>
        </w:rPr>
        <w:t xml:space="preserve">There are multiple tests for each functionality in every session type. For every test that belongs to same two categories has unique name called Test Number which differentiate it from every other tests in those two categories. Therefore, the name schema used to organize our test cases is give below:</w:t>
      </w:r>
    </w:p>
    <w:p>
      <w:pPr>
        <w:pStyle w:val="Numbered List"/>
      </w:pPr>
      <w:r>
        <w:rPr>
          <w:lang w:val="en-CA"/>
          <w:rFonts w:ascii="Times New Roman" w:cs="Times New Roman" w:hAnsi="Times New Roman"/>
          <w:i/>
          <w:sz w:val="24"/>
          <w:color w:val="000000"/>
          <w:shd w:fill="ffffff"/>
        </w:rPr>
        <w:t xml:space="preserve">&lt;Session Type&gt;&lt;Functionality&gt;&lt;Test Number&gt;</w:t>
      </w:r>
    </w:p>
    <w:p>
      <w:pPr>
        <w:pStyle w:val="Numbered List"/>
      </w:pPr>
    </w:p>
    <w:p>
      <w:pPr>
        <w:pStyle w:val="Numbered List"/>
      </w:pPr>
      <w:r>
        <w:rPr>
          <w:lang w:val="en-CA"/>
          <w:rFonts w:ascii="Times New Roman" w:cs="Times New Roman" w:hAnsi="Times New Roman"/>
          <w:sz w:val="24"/>
          <w:color w:val="000000"/>
          <w:shd w:fill="ffffff"/>
        </w:rPr>
        <w:t xml:space="preserve">Here are few examples to further clarify the above schema:</w:t>
      </w:r>
    </w:p>
    <w:p>
      <w:pPr>
        <w:pStyle w:val="Numbered List"/>
      </w:pPr>
    </w:p>
    <w:tbl>
      <w:tblGrid>
        <w:gridCol w:w="2520"/>
        <w:gridCol w:w="4770"/>
      </w:tblGrid>
      <w:tblPr>
        <w:tblBorders>
          <w:left w:val="single"/>
          <w:right w:val="single"/>
          <w:top w:val="single"/>
          <w:bottom w:val="single"/>
        </w:tblBorders>
      </w:tblPr>
      <w:tr>
        <w:trPr>
          <w:trHeight w:val="270" w:hRule="exact"/>
        </w:trPr>
        <w:tc>
          <w:tcPr>
            <w:tcW w:w="2520" w:type="dxa"/>
            <w:shd w:fill="b8cce4"/>
            <w:tcBorders>
              <w:left w:val="single"/>
              <w:right w:val="single"/>
              <w:top w:val="single"/>
              <w:bottom w:val="single"/>
            </w:tcBorders>
          </w:tcPr>
          <w:p>
            <w:pPr>
              <w:pStyle w:val="_Normal"/>
              <w:jc w:val="center"/>
              <w:shd w:fill="b8cce4"/>
            </w:pPr>
            <w:r>
              <w:rPr>
                <w:b/>
                <w:shd w:fill="b8cce4"/>
              </w:rPr>
              <w:t xml:space="preserve">Test Identity</w:t>
            </w:r>
          </w:p>
        </w:tc>
        <w:tc>
          <w:tcPr>
            <w:tcW w:w="4770" w:type="dxa"/>
            <w:shd w:fill="b8cce4"/>
            <w:tcBorders>
              <w:left w:val="single"/>
              <w:right w:val="single"/>
              <w:top w:val="single"/>
              <w:bottom w:val="single"/>
            </w:tcBorders>
          </w:tcPr>
          <w:p>
            <w:pPr>
              <w:pStyle w:val="_Normal"/>
              <w:jc w:val="center"/>
              <w:shd w:fill="b8cce4"/>
            </w:pPr>
            <w:r>
              <w:rPr>
                <w:b/>
                <w:shd w:fill="b8cce4"/>
              </w:rPr>
              <w:t xml:space="preserve">Meaning</w:t>
            </w:r>
          </w:p>
        </w:tc>
      </w:tr>
      <w:tr>
        <w:trPr>
          <w:trHeight w:val="900" w:hRule="exact"/>
        </w:trPr>
        <w:tc>
          <w:tcPr>
            <w:tcW w:w="2520" w:type="dxa"/>
            <w:tcBorders>
              <w:left w:val="single"/>
              <w:right w:val="single"/>
              <w:top w:val="single"/>
              <w:bottom w:val="single"/>
            </w:tcBorders>
          </w:tcPr>
          <w:p>
            <w:pPr>
              <w:pStyle w:val="_Normal"/>
              <w:jc w:val="center"/>
            </w:pPr>
            <w:r>
              <w:rPr/>
              <w:t xml:space="preserve">A-BUY-2</w:t>
            </w:r>
          </w:p>
        </w:tc>
        <w:tc>
          <w:tcPr>
            <w:tcW w:w="4770" w:type="dxa"/>
            <w:tcBorders>
              <w:left w:val="single"/>
              <w:right w:val="single"/>
              <w:top w:val="single"/>
              <w:bottom w:val="single"/>
            </w:tcBorders>
          </w:tcPr>
          <w:p>
            <w:pPr>
              <w:pStyle w:val="_Normal"/>
              <w:jc w:val="left"/>
            </w:pPr>
            <w:r>
              <w:rPr/>
              <w:t xml:space="preserve">This is a second test among few other tests those are responsible to check BUY functionality during Admin Session.</w:t>
            </w:r>
          </w:p>
        </w:tc>
      </w:tr>
      <w:tr>
        <w:trPr>
          <w:trHeight w:val="900" w:hRule="exact"/>
        </w:trPr>
        <w:tc>
          <w:tcPr>
            <w:tcW w:w="2520" w:type="dxa"/>
            <w:tcBorders>
              <w:left w:val="single"/>
              <w:right w:val="single"/>
              <w:top w:val="single"/>
              <w:bottom w:val="single"/>
            </w:tcBorders>
          </w:tcPr>
          <w:p>
            <w:pPr>
              <w:pStyle w:val="_Normal"/>
              <w:jc w:val="center"/>
            </w:pPr>
            <w:r>
              <w:rPr/>
              <w:t xml:space="preserve">S-RENT-5</w:t>
            </w:r>
          </w:p>
        </w:tc>
        <w:tc>
          <w:tcPr>
            <w:tcW w:w="4770" w:type="dxa"/>
            <w:tcBorders>
              <w:left w:val="single"/>
              <w:right w:val="single"/>
              <w:top w:val="single"/>
              <w:bottom w:val="single"/>
            </w:tcBorders>
          </w:tcPr>
          <w:p>
            <w:pPr>
              <w:pStyle w:val="_Normal"/>
              <w:jc w:val="left"/>
            </w:pPr>
            <w:r>
              <w:rPr/>
              <w:t xml:space="preserve">Fifth test among set of other tests responsible to check RENT functionality during Standard Session</w:t>
            </w:r>
          </w:p>
        </w:tc>
      </w:tr>
    </w:tbl>
    <w:p>
      <w:pPr/>
    </w:p>
    <w:p>
      <w:pPr/>
      <w:r>
        <w:rPr/>
        <w:t xml:space="preserve">All our test cases will follow this naming schema and bash script for automating testing of our yusystem is made upon this naming schema.</w:t>
      </w:r>
    </w:p>
    <w:p>
      <w:pPr/>
    </w:p>
    <w:p>
      <w:pPr/>
      <w:r>
        <w:rPr>
          <w:b/>
        </w:rPr>
        <w:t xml:space="preserve">Failure Log</w:t>
      </w:r>
    </w:p>
    <w:p>
      <w:pPr/>
    </w:p>
    <w:tbl>
      <w:tblGrid>
        <w:gridCol w:w="1530"/>
        <w:gridCol w:w="1980"/>
        <w:gridCol w:w="3240"/>
        <w:gridCol w:w="2970"/>
      </w:tblGrid>
      <w:tblPr>
        <w:tblBorders>
          <w:left w:val="single"/>
          <w:right w:val="single"/>
          <w:top w:val="single"/>
          <w:bottom w:val="single"/>
        </w:tblBorders>
      </w:tblPr>
      <w:tr>
        <w:trPr/>
        <w:tc>
          <w:tcPr>
            <w:tcW w:w="1530" w:type="dxa"/>
            <w:shd w:fill="b8cce4"/>
            <w:tcBorders>
              <w:left w:val="single"/>
              <w:right w:val="single"/>
              <w:top w:val="single"/>
              <w:bottom w:val="single"/>
            </w:tcBorders>
          </w:tcPr>
          <w:p>
            <w:pPr>
              <w:pStyle w:val="_Normal"/>
              <w:jc w:val="center"/>
              <w:shd w:fill="b8cce4"/>
            </w:pPr>
            <w:r>
              <w:rPr>
                <w:b/>
                <w:shd w:fill="b8cce4"/>
              </w:rPr>
              <w:t xml:space="preserve">Test Name</w:t>
            </w:r>
          </w:p>
        </w:tc>
        <w:tc>
          <w:tcPr>
            <w:tcW w:w="1980" w:type="dxa"/>
            <w:shd w:fill="b8cce4"/>
            <w:tcBorders>
              <w:left w:val="single"/>
              <w:right w:val="single"/>
              <w:top w:val="single"/>
              <w:bottom w:val="single"/>
            </w:tcBorders>
          </w:tcPr>
          <w:p>
            <w:pPr>
              <w:pStyle w:val="_Normal"/>
              <w:jc w:val="center"/>
              <w:shd w:fill="b8cce4"/>
            </w:pPr>
            <w:r>
              <w:rPr>
                <w:b/>
                <w:shd w:fill="b8cce4"/>
              </w:rPr>
              <w:t xml:space="preserve">Description</w:t>
            </w:r>
          </w:p>
        </w:tc>
        <w:tc>
          <w:tcPr>
            <w:tcW w:w="3240" w:type="dxa"/>
            <w:shd w:fill="b8cce4"/>
            <w:tcBorders>
              <w:left w:val="single"/>
              <w:right w:val="single"/>
              <w:top w:val="single"/>
              <w:bottom w:val="single"/>
            </w:tcBorders>
          </w:tcPr>
          <w:p>
            <w:pPr>
              <w:pStyle w:val="_Normal"/>
              <w:jc w:val="center"/>
              <w:shd w:fill="b8cce4"/>
            </w:pPr>
            <w:r>
              <w:rPr>
                <w:b/>
                <w:shd w:fill="b8cce4"/>
              </w:rPr>
              <w:t xml:space="preserve">Failure</w:t>
            </w:r>
          </w:p>
        </w:tc>
        <w:tc>
          <w:tcPr>
            <w:tcW w:w="2970" w:type="dxa"/>
            <w:shd w:fill="b8cce4"/>
            <w:tcBorders>
              <w:left w:val="single"/>
              <w:right w:val="single"/>
              <w:top w:val="single"/>
              <w:bottom w:val="single"/>
            </w:tcBorders>
          </w:tcPr>
          <w:p>
            <w:pPr>
              <w:pStyle w:val="_Normal"/>
              <w:jc w:val="center"/>
              <w:shd w:fill="b8cce4"/>
            </w:pPr>
            <w:r>
              <w:rPr>
                <w:b/>
                <w:shd w:fill="b8cce4"/>
              </w:rPr>
              <w:t xml:space="preserve">Solution</w:t>
            </w:r>
          </w:p>
        </w:tc>
      </w:tr>
      <w:tr>
        <w:trPr/>
        <w:tc>
          <w:tcPr>
            <w:tcW w:w="1530" w:type="dxa"/>
            <w:tcBorders>
              <w:left w:val="single"/>
              <w:right w:val="single"/>
              <w:top w:val="single"/>
              <w:bottom w:val="single"/>
            </w:tcBorders>
          </w:tcPr>
          <w:p>
            <w:pPr>
              <w:pStyle w:val="_Normal"/>
              <w:jc w:val="center"/>
            </w:pPr>
            <w:r>
              <w:rPr/>
              <w:t xml:space="preserve">S-BUY-1</w:t>
            </w:r>
          </w:p>
        </w:tc>
        <w:tc>
          <w:tcPr>
            <w:tcW w:w="1980" w:type="dxa"/>
            <w:tcBorders>
              <w:left w:val="single"/>
              <w:right w:val="single"/>
              <w:top w:val="single"/>
              <w:bottom w:val="single"/>
            </w:tcBorders>
          </w:tcPr>
          <w:p>
            <w:pPr>
              <w:pStyle w:val="_Normal"/>
              <w:jc w:val="left"/>
            </w:pPr>
            <w:r>
              <w:rPr/>
              <w:t xml:space="preserve">To test that BUY transaction is aborted if DVD title does not exist in database.</w:t>
            </w:r>
          </w:p>
        </w:tc>
        <w:tc>
          <w:tcPr>
            <w:tcW w:w="3240" w:type="dxa"/>
            <w:tcBorders>
              <w:left w:val="single"/>
              <w:right w:val="single"/>
              <w:top w:val="single"/>
              <w:bottom w:val="single"/>
            </w:tcBorders>
          </w:tcPr>
          <w:p>
            <w:pPr>
              <w:pStyle w:val="_Normal"/>
              <w:jc w:val="left"/>
            </w:pPr>
            <w:r>
              <w:rPr/>
              <w:t xml:space="preserve">There was some problem in formatting of the transaction file and output file of this test case result in error thrown by the automatic testing script.</w:t>
            </w:r>
          </w:p>
        </w:tc>
        <w:tc>
          <w:tcPr>
            <w:tcW w:w="2970" w:type="dxa"/>
            <w:tcBorders>
              <w:left w:val="single"/>
              <w:right w:val="single"/>
              <w:top w:val="single"/>
              <w:bottom w:val="single"/>
            </w:tcBorders>
          </w:tcPr>
          <w:p>
            <w:pPr>
              <w:pStyle w:val="_Normal"/>
              <w:jc w:val="left"/>
            </w:pPr>
            <w:r>
              <w:rPr/>
              <w:t xml:space="preserve">The test case was re-written and after second run of bash script none of the error was thrown by this test case.</w:t>
            </w:r>
          </w:p>
        </w:tc>
      </w:tr>
      <w:tr>
        <w:trPr/>
        <w:tc>
          <w:tcPr>
            <w:tcW w:w="1530" w:type="dxa"/>
            <w:tcBorders>
              <w:left w:val="single"/>
              <w:right w:val="single"/>
              <w:top w:val="single"/>
              <w:bottom w:val="single"/>
            </w:tcBorders>
          </w:tcPr>
          <w:p>
            <w:pPr>
              <w:jc w:val="center"/>
            </w:pPr>
            <w:r>
              <w:rPr/>
              <w:t xml:space="preserve">S-BUY-5</w:t>
            </w:r>
          </w:p>
        </w:tc>
        <w:tc>
          <w:tcPr>
            <w:tcW w:w="1980" w:type="dxa"/>
            <w:tcBorders>
              <w:left w:val="single"/>
              <w:right w:val="single"/>
              <w:top w:val="single"/>
              <w:bottom w:val="single"/>
            </w:tcBorders>
          </w:tcPr>
          <w:p>
            <w:pPr>
              <w:jc w:val="left"/>
            </w:pPr>
            <w:r>
              <w:rPr/>
              <w:t xml:space="preserve">To test that BUY transaction is not allowed without log-in or opening a session.</w:t>
            </w:r>
          </w:p>
        </w:tc>
        <w:tc>
          <w:tcPr>
            <w:tcW w:w="3240" w:type="dxa"/>
            <w:tcBorders>
              <w:left w:val="single"/>
              <w:right w:val="single"/>
              <w:top w:val="single"/>
              <w:bottom w:val="single"/>
            </w:tcBorders>
          </w:tcPr>
          <w:p>
            <w:pPr/>
            <w:r>
              <w:rPr/>
              <w:t xml:space="preserve">The test run fine except that it created a blank transaction file. After reviewing the requirement document again, it was clear that transaction file must be created only after log-out from current session. The same problem was persistent in Admin mode as well. </w:t>
            </w:r>
          </w:p>
        </w:tc>
        <w:tc>
          <w:tcPr>
            <w:tcW w:w="2970" w:type="dxa"/>
            <w:tcBorders>
              <w:left w:val="single"/>
              <w:right w:val="single"/>
              <w:top w:val="single"/>
              <w:bottom w:val="single"/>
            </w:tcBorders>
          </w:tcPr>
          <w:p>
            <w:pPr/>
            <w:r>
              <w:rPr/>
              <w:t xml:space="preserve">In terms of code problem was that it always creates a transaction file without any prior checking of previous session. The code was easily fixed by making an initializing the first session as NULL. Only after success-full log-in transaction the session variable would become non-null. </w:t>
            </w:r>
          </w:p>
        </w:tc>
      </w:tr>
      <w:tr>
        <w:trPr/>
        <w:tc>
          <w:tcPr>
            <w:tcW w:w="1530" w:type="dxa"/>
            <w:tcBorders>
              <w:left w:val="single"/>
              <w:right w:val="single"/>
              <w:top w:val="single"/>
              <w:bottom w:val="single"/>
            </w:tcBorders>
          </w:tcPr>
          <w:p>
            <w:pPr>
              <w:jc w:val="center"/>
            </w:pPr>
            <w:r>
              <w:rPr/>
              <w:t xml:space="preserve">S-RETURN-4</w:t>
            </w:r>
          </w:p>
        </w:tc>
        <w:tc>
          <w:tcPr>
            <w:tcW w:w="1980" w:type="dxa"/>
            <w:tcBorders>
              <w:left w:val="single"/>
              <w:right w:val="single"/>
              <w:top w:val="single"/>
              <w:bottom w:val="single"/>
            </w:tcBorders>
          </w:tcPr>
          <w:p>
            <w:pPr>
              <w:jc w:val="left"/>
            </w:pPr>
            <w:r>
              <w:rPr/>
              <w:t xml:space="preserve">Test that returned DVDs are added to inventory in current session.</w:t>
            </w:r>
          </w:p>
        </w:tc>
        <w:tc>
          <w:tcPr>
            <w:tcW w:w="3240" w:type="dxa"/>
            <w:tcBorders>
              <w:left w:val="single"/>
              <w:right w:val="single"/>
              <w:top w:val="single"/>
              <w:bottom w:val="single"/>
            </w:tcBorders>
          </w:tcPr>
          <w:p>
            <w:pPr/>
            <w:r>
              <w:rPr/>
              <w:t xml:space="preserve">The DVD were added to the inventory but surprisingly RETURN transaction was aborted if there were zero DVDs that is to be returned. By zero we mean that DVD does exist in database but with zero quantity. As per the requirement document, system must accept the transaction and increase the quantity of DVDs available.</w:t>
            </w:r>
          </w:p>
        </w:tc>
        <w:tc>
          <w:tcPr>
            <w:tcW w:w="2970" w:type="dxa"/>
            <w:tcBorders>
              <w:left w:val="single"/>
              <w:right w:val="single"/>
              <w:top w:val="single"/>
              <w:bottom w:val="single"/>
            </w:tcBorders>
          </w:tcPr>
          <w:p>
            <w:pPr/>
            <w:r>
              <w:rPr/>
              <w:t xml:space="preserve">Problem was unwanted if statement within the code that was throwing an error then DVD title were zero. We removed that if statement and added another statement which prevents the DVD quantity to go beyond the maximum allowed limit of 999.</w:t>
            </w:r>
          </w:p>
        </w:tc>
      </w:tr>
      <w:tr>
        <w:trPr/>
        <w:tc>
          <w:tcPr>
            <w:tcW w:w="1530" w:type="dxa"/>
            <w:tcBorders>
              <w:left w:val="single"/>
              <w:right w:val="single"/>
              <w:top w:val="single"/>
              <w:bottom w:val="single"/>
            </w:tcBorders>
          </w:tcPr>
          <w:p>
            <w:pPr>
              <w:jc w:val="center"/>
            </w:pPr>
            <w:r>
              <w:rPr/>
              <w:t xml:space="preserve">S-RETURN-6</w:t>
            </w:r>
          </w:p>
        </w:tc>
        <w:tc>
          <w:tcPr>
            <w:tcW w:w="1980" w:type="dxa"/>
            <w:tcBorders>
              <w:left w:val="single"/>
              <w:right w:val="single"/>
              <w:top w:val="single"/>
              <w:bottom w:val="single"/>
            </w:tcBorders>
          </w:tcPr>
          <w:p>
            <w:pPr>
              <w:jc w:val="left"/>
            </w:pPr>
            <w:r>
              <w:rPr/>
              <w:t xml:space="preserve">Test that RETURN transaction gracefully handles negative quantity of DVDs.</w:t>
            </w:r>
          </w:p>
        </w:tc>
        <w:tc>
          <w:tcPr>
            <w:tcW w:w="3240" w:type="dxa"/>
            <w:tcBorders>
              <w:left w:val="single"/>
              <w:right w:val="single"/>
              <w:top w:val="single"/>
              <w:bottom w:val="single"/>
            </w:tcBorders>
          </w:tcPr>
          <w:p>
            <w:pPr/>
            <w:r>
              <w:rPr/>
              <w:t xml:space="preserve">The negative quantity of DVDs was accepted without throwing any error.</w:t>
            </w:r>
          </w:p>
        </w:tc>
        <w:tc>
          <w:tcPr>
            <w:tcW w:w="2970" w:type="dxa"/>
            <w:tcBorders>
              <w:left w:val="single"/>
              <w:right w:val="single"/>
              <w:top w:val="single"/>
              <w:bottom w:val="single"/>
            </w:tcBorders>
          </w:tcPr>
          <w:p>
            <w:pPr/>
            <w:r>
              <w:rPr/>
              <w:t xml:space="preserve">Added simple if statement in code to deal with a situation where negative or zero quantity was passed.</w:t>
            </w:r>
          </w:p>
        </w:tc>
      </w:tr>
      <w:tr>
        <w:trPr/>
        <w:tc>
          <w:tcPr>
            <w:tcW w:w="1530" w:type="dxa"/>
            <w:tcBorders>
              <w:left w:val="single"/>
              <w:right w:val="single"/>
              <w:top w:val="single"/>
              <w:bottom w:val="single"/>
            </w:tcBorders>
          </w:tcPr>
          <w:p>
            <w:pPr>
              <w:jc w:val="center"/>
            </w:pPr>
            <w:r>
              <w:rPr/>
              <w:t xml:space="preserve">S-BUY-1</w:t>
            </w:r>
          </w:p>
        </w:tc>
        <w:tc>
          <w:tcPr>
            <w:tcW w:w="1980" w:type="dxa"/>
            <w:tcBorders>
              <w:left w:val="single"/>
              <w:right w:val="single"/>
              <w:top w:val="single"/>
              <w:bottom w:val="single"/>
            </w:tcBorders>
          </w:tcPr>
          <w:p>
            <w:pPr>
              <w:jc w:val="left"/>
            </w:pPr>
            <w:r>
              <w:rPr/>
              <w:t xml:space="preserve">Test that BUY transaction is aborted if DVD title does not exist in database. </w:t>
            </w:r>
          </w:p>
        </w:tc>
        <w:tc>
          <w:tcPr>
            <w:tcW w:w="3240" w:type="dxa"/>
            <w:tcBorders>
              <w:left w:val="single"/>
              <w:right w:val="single"/>
              <w:top w:val="single"/>
              <w:bottom w:val="single"/>
            </w:tcBorders>
          </w:tcPr>
          <w:p>
            <w:pPr/>
            <w:r>
              <w:rPr/>
              <w:t xml:space="preserve">The </w:t>
            </w:r>
          </w:p>
        </w:tc>
        <w:tc>
          <w:tcPr>
            <w:tcW w:w="2970" w:type="dxa"/>
            <w:tcBorders>
              <w:left w:val="single"/>
              <w:right w:val="single"/>
              <w:top w:val="single"/>
              <w:bottom w:val="single"/>
            </w:tcBorders>
          </w:tcPr>
          <w:p>
            <w:pPr/>
          </w:p>
        </w:tc>
      </w:tr>
    </w:tbl>
    <w:p>
      <w:pPr>
        <w:pStyle w:val="_Normal"/>
      </w:pPr>
    </w:p>
    <w:sectPr>
      <w:pgSz w:w="12240" w:h="15840" w:orient="portrait"/>
      <w:pgMar w:top="1440" w:left="1440" w:right="1440" w:bottom="1440"/>
    </w:sectPr>
  </w:body>
</w:document>
</file>

<file path=word/endnotes.xml><?xml version="1.0" encoding="utf-8"?>
<w:endnotes xmlns:w="http://schemas.openxmlformats.org/wordprocessingml/2006/main"/>
</file>

<file path=word/footnotes.xml><?xml version="1.0" encoding="utf-8"?>
<w:footnotes xmlns:w="http://schemas.openxmlformats.org/wordprocessingml/2006/main"/>
</file>

<file path=word/numbering.xml><?xml version="1.0" encoding="utf-8"?>
<w:numbering xmlns:w="http://schemas.openxmlformats.org/wordprocessingml/2006/main">
  <w:abstractNum w:abstractNumId="1111033111">
    <w:multiLevelType w:val="hybridMultilevel"/>
    <w:lvl w:ilvl="0">
      <w:start w:val="1"/>
      <w:numFmt w:val="lowerRoman"/>
      <w:lvlText w:val="%1."/>
      <w:rPr>
        <w:rFonts w:ascii="Times New Roman" w:cs="Times New Roman" w:hAnsi="Times New Roman"/>
      </w:rPr>
    </w:lvl>
    <w:lvl w:ilvl="1">
      <w:start w:val="1"/>
      <w:numFmt w:val="decimal"/>
      <w:lvlText w:val="%2."/>
      <w:rPr>
        <w:rFonts w:ascii="Times New Roman" w:cs="Times New Roman" w:hAnsi="Times New Roman"/>
      </w:rPr>
    </w:lvl>
    <w:lvl w:ilvl="2">
      <w:start w:val="1"/>
      <w:numFmt w:val="lowerLetter"/>
      <w:lvlText w:val="%3."/>
      <w:rPr>
        <w:rFonts w:ascii="Times New Roman" w:cs="Times New Roman" w:hAnsi="Times New Roman"/>
      </w:rPr>
    </w:lvl>
    <w:lvl w:ilvl="3">
      <w:start w:val="1"/>
      <w:numFmt w:val="lowerRoman"/>
      <w:lvlText w:val="%4."/>
      <w:rPr>
        <w:rFonts w:ascii="Times New Roman" w:cs="Times New Roman" w:hAnsi="Times New Roman"/>
      </w:rPr>
    </w:lvl>
    <w:lvl w:ilvl="4">
      <w:start w:val="1"/>
      <w:numFmt w:val="decimal"/>
      <w:lvlText w:val="%5."/>
      <w:rPr>
        <w:rFonts w:ascii="Times New Roman" w:cs="Times New Roman" w:hAnsi="Times New Roman"/>
      </w:rPr>
    </w:lvl>
    <w:lvl w:ilvl="5">
      <w:start w:val="1"/>
      <w:numFmt w:val="lowerLetter"/>
      <w:lvlText w:val="%6."/>
      <w:rPr>
        <w:rFonts w:ascii="Times New Roman" w:cs="Times New Roman" w:hAnsi="Times New Roman"/>
      </w:rPr>
    </w:lvl>
    <w:lvl w:ilvl="6">
      <w:start w:val="1"/>
      <w:numFmt w:val="lowerRoman"/>
      <w:lvlText w:val="%7."/>
      <w:rPr>
        <w:rFonts w:ascii="Times New Roman" w:cs="Times New Roman" w:hAnsi="Times New Roman"/>
      </w:rPr>
    </w:lvl>
    <w:lvl w:ilvl="7">
      <w:start w:val="1"/>
      <w:numFmt w:val="decimal"/>
      <w:lvlText w:val="%8."/>
      <w:rPr>
        <w:rFonts w:ascii="Times New Roman" w:cs="Times New Roman" w:hAnsi="Times New Roman"/>
      </w:rPr>
    </w:lvl>
    <w:lvl w:ilvl="8">
      <w:start w:val="1"/>
      <w:numFmt w:val="lowerLetter"/>
      <w:lvlText w:val="%9."/>
      <w:rPr>
        <w:rFonts w:ascii="Times New Roman" w:cs="Times New Roman" w:hAnsi="Times New Roman"/>
      </w:rPr>
    </w:lvl>
  </w:abstractNum>
  <w:num w:numId="1111033111">
    <w:abstractNumId w:val="1111033111"/>
  </w:num>
</w:numbering>
</file>

<file path=word/settings.xml><?xml version="1.0" encoding="utf-8"?>
<w:settings xmlns:r="http://schemas.openxmlformats.org/officeDocument/2006/relationships" xmlns:w="http://schemas.openxmlformats.org/wordprocessingml/2006/main"/>
</file>

<file path=word/styles.xml><?xml version="1.0" encoding="utf-8"?>
<w:styles xmlns:r="http://schemas.openxmlformats.org/officeDocument/2006/relationships" xmlns:w="http://schemas.openxmlformats.org/wordprocessingml/2006/main">
  <w:style w:styleId="Balloon Text">
    <w:name w:val="Balloon Text"/>
    <w:basedOn w:val="_Normal"/>
    <w:pPr>
      <w:spacing w:line="240" w:lineRule="auto"/>
    </w:pPr>
    <w:rPr>
      <w:sz w:val="16"/>
      <w:rFonts w:ascii="Tahoma" w:cs="Tahoma" w:hAnsi="Tahoma"/>
    </w:rPr>
  </w:style>
  <w:style w:styleId="Balloon Text Char">
    <w:name w:val="Balloon Text Char"/>
    <w:basedOn w:val="Default Paragraph Font"/>
    <w:pPr/>
    <w:rPr>
      <w:sz w:val="16"/>
      <w:rFonts w:ascii="Tahoma" w:cs="Tahoma" w:hAnsi="Tahoma"/>
    </w:rPr>
  </w:style>
  <w:style w:styleId="Block Text">
    <w:name w:val="Block Text"/>
    <w:basedOn w:val="_Normal"/>
    <w:pPr>
      <w:ind w:left="1440"/>
      <w:ind w:right="1440"/>
      <w:spacing w:after="120"/>
    </w:pPr>
    <w:rPr/>
  </w:style>
  <w:style w:styleId="Box List">
    <w:name w:val="Box List"/>
    <w:basedOn w:val="_Normal"/>
    <w:pPr>
      <w:ind w:hanging="432"/>
      <w:ind w:left="720"/>
    </w:pPr>
    <w:rPr/>
  </w:style>
  <w:style w:styleId="Bullet List">
    <w:name w:val="Bullet List"/>
    <w:basedOn w:val="_Normal"/>
    <w:pPr>
      <w:ind w:hanging="432"/>
      <w:ind w:left="720"/>
    </w:pPr>
    <w:rPr/>
  </w:style>
  <w:style w:styleId="Chapter Heading">
    <w:name w:val="Chapter Heading"/>
    <w:basedOn w:val="Numbered Heading 1"/>
    <w:next w:val="_Normal"/>
    <w:pPr/>
    <w:rPr/>
  </w:style>
  <w:style w:styleId="Contents 1">
    <w:name w:val="Contents 1"/>
    <w:basedOn w:val="_Normal"/>
    <w:next w:val="_Normal"/>
    <w:pPr>
      <w:ind w:hanging="432"/>
      <w:ind w:left="720"/>
    </w:pPr>
    <w:rPr/>
  </w:style>
  <w:style w:styleId="Contents 2">
    <w:name w:val="Contents 2"/>
    <w:basedOn w:val="_Normal"/>
    <w:next w:val="_Normal"/>
    <w:pPr>
      <w:ind w:hanging="432"/>
      <w:ind w:left="1440"/>
    </w:pPr>
    <w:rPr/>
  </w:style>
  <w:style w:styleId="Contents 3">
    <w:name w:val="Contents 3"/>
    <w:basedOn w:val="_Normal"/>
    <w:next w:val="_Normal"/>
    <w:pPr>
      <w:ind w:hanging="432"/>
      <w:ind w:left="2160"/>
    </w:pPr>
    <w:rPr/>
  </w:style>
  <w:style w:styleId="Contents 4">
    <w:name w:val="Contents 4"/>
    <w:basedOn w:val="_Normal"/>
    <w:next w:val="_Normal"/>
    <w:pPr>
      <w:ind w:hanging="432"/>
      <w:ind w:left="2880"/>
    </w:pPr>
    <w:rPr/>
  </w:style>
  <w:style w:styleId="Contents Header">
    <w:name w:val="Contents Header"/>
    <w:basedOn w:val="_Normal"/>
    <w:next w:val="_Normal"/>
    <w:pPr>
      <w:jc w:val="center"/>
      <w:spacing w:after="120"/>
      <w:spacing w:before="240"/>
    </w:pPr>
    <w:rPr>
      <w:b/>
      <w:sz w:val="32"/>
      <w:rFonts w:ascii="Liberation Sans" w:cs="Liberation Sans" w:hAnsi="Liberation Sans"/>
    </w:rPr>
  </w:style>
  <w:style w:styleId="Dashed List">
    <w:name w:val="Dashed List"/>
    <w:basedOn w:val="_Normal"/>
    <w:pPr>
      <w:ind w:hanging="432"/>
      <w:ind w:left="720"/>
    </w:pPr>
    <w:rPr/>
  </w:style>
  <w:style w:styleId="Default Paragraph Font">
    <w:name w:val="Default Paragraph Font"/>
    <w:basedOn w:val="_Normal"/>
    <w:pPr/>
    <w:rPr/>
  </w:style>
  <w:style w:styleId="Diamond List">
    <w:name w:val="Diamond List"/>
    <w:basedOn w:val="_Normal"/>
    <w:pPr>
      <w:ind w:hanging="432"/>
      <w:ind w:left="720"/>
    </w:pPr>
    <w:rPr/>
  </w:style>
  <w:style w:styleId="Endnote Reference">
    <w:name w:val="Endnote Reference"/>
    <w:basedOn w:val="_Normal"/>
    <w:pPr/>
    <w:rPr>
      <w:sz w:val="20"/>
      <w:vertAlign w:val="superscript"/>
    </w:rPr>
  </w:style>
  <w:style w:styleId="Endnote Text">
    <w:name w:val="Endnote Text"/>
    <w:basedOn w:val="_Normal"/>
    <w:pPr/>
    <w:rPr/>
  </w:style>
  <w:style w:styleId="Footnote Reference">
    <w:name w:val="Footnote Reference"/>
    <w:basedOn w:val="_Normal"/>
    <w:pPr/>
    <w:rPr>
      <w:sz w:val="20"/>
      <w:vertAlign w:val="superscript"/>
    </w:rPr>
  </w:style>
  <w:style w:styleId="Footnote Text">
    <w:name w:val="Footnote Text"/>
    <w:basedOn w:val="_Normal"/>
    <w:pPr/>
    <w:rPr>
      <w:sz w:val="20"/>
    </w:rPr>
  </w:style>
  <w:style w:styleId="Hand List">
    <w:name w:val="Hand List"/>
    <w:basedOn w:val="_Normal"/>
    <w:pPr>
      <w:ind w:hanging="432"/>
      <w:ind w:left="720"/>
    </w:pPr>
    <w:rPr/>
  </w:style>
  <w:style w:styleId="Heading 1">
    <w:name w:val="Heading 1"/>
    <w:basedOn w:val="_Normal"/>
    <w:next w:val="_Normal"/>
    <w:pPr>
      <w:spacing w:after="60"/>
      <w:spacing w:before="440"/>
    </w:pPr>
    <w:rPr>
      <w:b/>
      <w:sz w:val="34"/>
      <w:rFonts w:ascii="Liberation Sans" w:cs="Liberation Sans" w:hAnsi="Liberation Sans"/>
    </w:rPr>
  </w:style>
  <w:style w:styleId="Heading 1 Char">
    <w:name w:val="Heading 1 Char"/>
    <w:basedOn w:val="Default Paragraph Font"/>
    <w:pPr/>
    <w:rPr/>
  </w:style>
  <w:style w:styleId="Heading 2">
    <w:name w:val="Heading 2"/>
    <w:basedOn w:val="_Normal"/>
    <w:next w:val="_Normal"/>
    <w:pPr>
      <w:spacing w:after="60"/>
      <w:spacing w:before="440"/>
    </w:pPr>
    <w:rPr>
      <w:b/>
      <w:sz w:val="28"/>
      <w:rFonts w:ascii="Liberation Sans" w:cs="Liberation Sans" w:hAnsi="Liberation Sans"/>
    </w:rPr>
  </w:style>
  <w:style w:styleId="Heading 3">
    <w:name w:val="Heading 3"/>
    <w:basedOn w:val="_Normal"/>
    <w:next w:val="_Normal"/>
    <w:pPr>
      <w:spacing w:after="60"/>
      <w:spacing w:before="440"/>
    </w:pPr>
    <w:rPr>
      <w:b/>
      <w:sz w:val="24"/>
      <w:rFonts w:ascii="Liberation Sans" w:cs="Liberation Sans" w:hAnsi="Liberation Sans"/>
    </w:rPr>
  </w:style>
  <w:style w:styleId="Heading 4">
    <w:name w:val="Heading 4"/>
    <w:basedOn w:val="_Normal"/>
    <w:next w:val="_Normal"/>
    <w:pPr>
      <w:spacing w:after="60"/>
      <w:spacing w:before="440"/>
    </w:pPr>
    <w:rPr>
      <w:b/>
      <w:sz w:val="24"/>
      <w:rFonts w:ascii="Liberation Sans" w:cs="Liberation Sans" w:hAnsi="Liberation Sans"/>
    </w:rPr>
  </w:style>
  <w:style w:styleId="Heart List">
    <w:name w:val="Heart List"/>
    <w:basedOn w:val="_Normal"/>
    <w:pPr>
      <w:ind w:hanging="432"/>
      <w:ind w:left="720"/>
    </w:pPr>
    <w:rPr/>
  </w:style>
  <w:style w:styleId="Implies List">
    <w:name w:val="Implies List"/>
    <w:basedOn w:val="_Normal"/>
    <w:pPr>
      <w:ind w:hanging="432"/>
      <w:ind w:left="720"/>
    </w:pPr>
    <w:rPr/>
  </w:style>
  <w:style w:styleId="List Paragraph">
    <w:name w:val="List Paragraph"/>
    <w:basedOn w:val="_Normal"/>
    <w:pPr>
      <w:ind w:left="720"/>
    </w:pPr>
    <w:rPr/>
  </w:style>
  <w:style w:styleId="Lower Case List">
    <w:name w:val="Lower Case List"/>
    <w:basedOn w:val="Numbered List"/>
    <w:pPr>
      <w:ind w:hanging="432"/>
      <w:ind w:left="720"/>
    </w:pPr>
    <w:rPr/>
  </w:style>
  <w:style w:styleId="Lower Roman List">
    <w:name w:val="Lower Roman List"/>
    <w:basedOn w:val="_Normal"/>
    <w:pPr>
      <w:ind w:hanging="432"/>
      <w:ind w:left="720"/>
    </w:pPr>
    <w:rPr/>
  </w:style>
  <w:style w:styleId="No List">
    <w:name w:val="No List"/>
    <w:basedOn w:val="_Normal"/>
    <w:pPr/>
    <w:rPr/>
  </w:style>
  <w:style w:styleId="No Spacing">
    <w:name w:val="No Spacing"/>
    <w:basedOn w:val="_Normal"/>
    <w:pPr>
      <w:spacing w:line="240" w:lineRule="auto"/>
    </w:pPr>
    <w:rPr/>
  </w:style>
  <w:style w:styleId="Normal">
    <w:name w:val="Normal"/>
    <w:basedOn w:val="Normal"/>
    <w:pPr/>
    <w:rPr/>
  </w:style>
  <w:style w:styleId="Normal Table">
    <w:name w:val="Normal Table"/>
    <w:basedOn w:val="_Normal"/>
    <w:pPr/>
    <w:rPr/>
  </w:style>
  <w:style w:styleId="Numbered Heading 1">
    <w:name w:val="Numbered Heading 1"/>
    <w:basedOn w:val="Heading 1"/>
    <w:next w:val="_Normal"/>
    <w:pPr/>
    <w:rPr/>
  </w:style>
  <w:style w:styleId="Numbered Heading 2">
    <w:name w:val="Numbered Heading 2"/>
    <w:basedOn w:val="Heading 2"/>
    <w:next w:val="_Normal"/>
    <w:pPr/>
    <w:rPr/>
  </w:style>
  <w:style w:styleId="Numbered Heading 3">
    <w:name w:val="Numbered Heading 3"/>
    <w:basedOn w:val="Heading 3"/>
    <w:next w:val="_Normal"/>
    <w:pPr/>
    <w:rPr/>
  </w:style>
  <w:style w:styleId="Numbered List">
    <w:name w:val="Numbered List"/>
    <w:basedOn w:val="_Normal"/>
    <w:pPr>
      <w:ind w:hanging="432"/>
      <w:ind w:left="720"/>
    </w:pPr>
    <w:rPr/>
  </w:style>
  <w:style w:styleId="Plain Text">
    <w:name w:val="Plain Text"/>
    <w:basedOn w:val="_Normal"/>
    <w:pPr/>
    <w:rPr>
      <w:rFonts w:ascii="Courier New" w:cs="Courier New" w:hAnsi="Courier New"/>
    </w:rPr>
  </w:style>
  <w:style w:styleId="Reference">
    <w:name w:val="Reference"/>
    <w:basedOn w:val="_Normal"/>
    <w:pPr/>
    <w:rPr>
      <w:sz w:val="20"/>
    </w:rPr>
  </w:style>
  <w:style w:styleId="Section Heading">
    <w:name w:val="Section Heading"/>
    <w:basedOn w:val="Numbered Heading 1"/>
    <w:next w:val="_Normal"/>
    <w:pPr/>
    <w:rPr/>
  </w:style>
  <w:style w:styleId="Square List">
    <w:name w:val="Square List"/>
    <w:basedOn w:val="_Normal"/>
    <w:pPr>
      <w:ind w:hanging="432"/>
      <w:ind w:left="720"/>
    </w:pPr>
    <w:rPr/>
  </w:style>
  <w:style w:styleId="Star List">
    <w:name w:val="Star List"/>
    <w:basedOn w:val="_Normal"/>
    <w:pPr>
      <w:ind w:hanging="432"/>
      <w:ind w:left="720"/>
    </w:pPr>
    <w:rPr/>
  </w:style>
  <w:style w:styleId="Table Grid">
    <w:name w:val="Table Grid"/>
    <w:basedOn w:val="Normal Table"/>
    <w:pPr>
      <w:spacing w:line="240" w:lineRule="auto"/>
    </w:pPr>
    <w:rPr/>
  </w:style>
  <w:style w:styleId="Tick List">
    <w:name w:val="Tick List"/>
    <w:basedOn w:val="_Normal"/>
    <w:pPr>
      <w:ind w:hanging="432"/>
      <w:ind w:left="720"/>
    </w:pPr>
    <w:rPr/>
  </w:style>
  <w:style w:styleId="Triangle List">
    <w:name w:val="Triangle List"/>
    <w:basedOn w:val="_Normal"/>
    <w:pPr>
      <w:ind w:hanging="432"/>
      <w:ind w:left="720"/>
    </w:pPr>
    <w:rPr/>
  </w:style>
  <w:style w:styleId="Upper Case List">
    <w:name w:val="Upper Case List"/>
    <w:basedOn w:val="Numbered List"/>
    <w:pPr>
      <w:ind w:hanging="432"/>
      <w:ind w:left="720"/>
    </w:pPr>
    <w:rPr/>
  </w:style>
  <w:style w:styleId="Upper Roman List">
    <w:name w:val="Upper Roman List"/>
    <w:basedOn w:val="Numbered List"/>
    <w:pPr>
      <w:ind w:hanging="432"/>
      <w:ind w:left="720"/>
    </w:pPr>
    <w:rPr/>
  </w:style>
  <w:style w:styleId="_Normal">
    <w:name w:val="_Normal"/>
    <w:basedOn w:val="_Normal"/>
    <w:pPr/>
    <w:rPr/>
  </w:style>
  <w:style w:styleId="heading 1">
    <w:name w:val="heading 1"/>
    <w:basedOn w:val="_Normal"/>
    <w:next w:val="_Normal"/>
    <w:pPr>
      <w:spacing w:before="480"/>
    </w:pPr>
    <w:rPr/>
  </w:style>
  <w:docDefaults>
    <w:pPrDefault>
      <w:pPr>
        <w:pStyle w:val="Normal"/>
      </w:pPr>
    </w:pPrDefault>
    <w:rPrDefault>
      <w:rPr>
        <w:rStyle w:val="Normal"/>
      </w:rPr>
    </w:rPrDefault>
  </w:docDefaults>
</w:styles>
</file>

<file path=word/_rels/document.xml.rels><?xml version="1.0" encoding="UTF-8" standalone="ye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footnotes" Target="footnotes.xml"/><Relationship Id="rId5" Type="http://schemas.openxmlformats.org/officeDocument/2006/relationships/endnotes" Target="endnotes.xml"/></Relationships>
</file>