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81C5" w14:textId="07780A3B" w:rsidR="00FF0647" w:rsidRPr="00B56FC0" w:rsidRDefault="00000000">
      <w:pPr>
        <w:spacing w:before="360" w:after="160"/>
        <w:rPr>
          <w:color w:val="auto"/>
        </w:rPr>
      </w:pPr>
      <w:r w:rsidRPr="00B56FC0">
        <w:rPr>
          <w:b/>
          <w:color w:val="auto"/>
          <w:sz w:val="40"/>
        </w:rPr>
        <w:t>Software Requirements Specification (SRS)</w:t>
      </w:r>
      <w:r w:rsidR="008F37EF" w:rsidRPr="00B56FC0">
        <w:rPr>
          <w:b/>
          <w:color w:val="auto"/>
          <w:sz w:val="40"/>
        </w:rPr>
        <w:br/>
        <w:t>For Digital Port Clearance System</w:t>
      </w:r>
    </w:p>
    <w:p w14:paraId="32D4FA67" w14:textId="232D306F" w:rsidR="00FF0647" w:rsidRPr="00B56FC0" w:rsidRDefault="00000000" w:rsidP="008F37EF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New Mangalore Port Authority (NMPA)</w:t>
      </w:r>
    </w:p>
    <w:p w14:paraId="2F971B09" w14:textId="77777777" w:rsidR="00FF0647" w:rsidRPr="00B56FC0" w:rsidRDefault="00000000">
      <w:pPr>
        <w:spacing w:before="280"/>
        <w:rPr>
          <w:color w:val="auto"/>
        </w:rPr>
      </w:pPr>
      <w:r w:rsidRPr="00B56FC0">
        <w:rPr>
          <w:b/>
          <w:color w:val="auto"/>
          <w:sz w:val="30"/>
        </w:rPr>
        <w:t>2.1. Introduction</w:t>
      </w:r>
    </w:p>
    <w:p w14:paraId="52F4E509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2.1.1. Purpose</w:t>
      </w:r>
    </w:p>
    <w:p w14:paraId="18037006" w14:textId="2AD285F4" w:rsidR="00FF0647" w:rsidRPr="00B56FC0" w:rsidRDefault="00000000">
      <w:pPr>
        <w:rPr>
          <w:color w:val="auto"/>
        </w:rPr>
      </w:pPr>
      <w:r w:rsidRPr="00B56FC0">
        <w:rPr>
          <w:color w:val="auto"/>
        </w:rPr>
        <w:t xml:space="preserve">This Software Requirements Specification (SRS) document defines the comprehensive software, operational, and security requirements for </w:t>
      </w:r>
      <w:r w:rsidR="00617842" w:rsidRPr="00B56FC0">
        <w:rPr>
          <w:b/>
          <w:color w:val="auto"/>
        </w:rPr>
        <w:t>Digital Port Clearnce System</w:t>
      </w:r>
      <w:r w:rsidRPr="00B56FC0">
        <w:rPr>
          <w:color w:val="auto"/>
        </w:rPr>
        <w:t xml:space="preserve">. Designed specifically for the </w:t>
      </w:r>
      <w:r w:rsidRPr="00B56FC0">
        <w:rPr>
          <w:b/>
          <w:color w:val="auto"/>
        </w:rPr>
        <w:t>New Mangalore Port Authority (NMPA)</w:t>
      </w:r>
      <w:r w:rsidRPr="00B56FC0">
        <w:rPr>
          <w:color w:val="auto"/>
        </w:rPr>
        <w:t>, this system digitizes, centralizes, and automates the multi-department clearance workflow required for vessels arriving at and departing from New Mangalore Port.</w:t>
      </w:r>
    </w:p>
    <w:p w14:paraId="56ED6348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2.1.2. Scope</w:t>
      </w:r>
    </w:p>
    <w:p w14:paraId="6C069779" w14:textId="3CAA2374" w:rsidR="00FF0647" w:rsidRPr="00B56FC0" w:rsidRDefault="004F59DF">
      <w:pPr>
        <w:rPr>
          <w:color w:val="auto"/>
        </w:rPr>
      </w:pPr>
      <w:r w:rsidRPr="00B56FC0">
        <w:rPr>
          <w:b/>
          <w:color w:val="auto"/>
        </w:rPr>
        <w:t xml:space="preserve">The </w:t>
      </w:r>
      <w:r w:rsidRPr="00B56FC0">
        <w:rPr>
          <w:b/>
          <w:color w:val="auto"/>
        </w:rPr>
        <w:t>Digital Port Clearnce System</w:t>
      </w:r>
      <w:r w:rsidRPr="00B56FC0">
        <w:rPr>
          <w:color w:val="auto"/>
        </w:rPr>
        <w:t xml:space="preserve"> </w:t>
      </w:r>
      <w:r w:rsidR="00000000" w:rsidRPr="00B56FC0">
        <w:rPr>
          <w:color w:val="auto"/>
        </w:rPr>
        <w:t>platform is a web-based, role-restricted Single Window Portal that serves as a shared environment for Ship Agents, Port Authorities, Customs Officers, and Port Health Officers. The system manages:</w:t>
      </w:r>
    </w:p>
    <w:p w14:paraId="53EDE063" w14:textId="77777777" w:rsidR="00FF0647" w:rsidRPr="00B56FC0" w:rsidRDefault="00000000">
      <w:pPr>
        <w:pStyle w:val="ListNumber"/>
        <w:spacing w:after="60"/>
        <w:rPr>
          <w:color w:val="auto"/>
        </w:rPr>
      </w:pPr>
      <w:r w:rsidRPr="00B56FC0">
        <w:rPr>
          <w:b/>
          <w:color w:val="auto"/>
        </w:rPr>
        <w:t>User Authentication &amp; Administration</w:t>
      </w:r>
      <w:r w:rsidRPr="00B56FC0">
        <w:rPr>
          <w:color w:val="auto"/>
        </w:rPr>
        <w:t>: Multi-factor authentication, administrative approvals, and account provisioning.</w:t>
      </w:r>
    </w:p>
    <w:p w14:paraId="67C6114D" w14:textId="77777777" w:rsidR="00FF0647" w:rsidRPr="00B56FC0" w:rsidRDefault="00000000">
      <w:pPr>
        <w:pStyle w:val="ListNumber"/>
        <w:spacing w:after="60"/>
        <w:rPr>
          <w:color w:val="auto"/>
        </w:rPr>
      </w:pPr>
      <w:r w:rsidRPr="00B56FC0">
        <w:rPr>
          <w:b/>
          <w:color w:val="auto"/>
        </w:rPr>
        <w:t>Vessel Registry</w:t>
      </w:r>
      <w:r w:rsidRPr="00B56FC0">
        <w:rPr>
          <w:color w:val="auto"/>
        </w:rPr>
        <w:t>: Detailed registration database of commercial vessels.</w:t>
      </w:r>
    </w:p>
    <w:p w14:paraId="3492A0EC" w14:textId="77777777" w:rsidR="00FF0647" w:rsidRPr="00B56FC0" w:rsidRDefault="00000000">
      <w:pPr>
        <w:pStyle w:val="ListNumber"/>
        <w:spacing w:after="60"/>
        <w:rPr>
          <w:color w:val="auto"/>
        </w:rPr>
      </w:pPr>
      <w:r w:rsidRPr="00B56FC0">
        <w:rPr>
          <w:b/>
          <w:color w:val="auto"/>
        </w:rPr>
        <w:t>Port Entry &amp; Clearance Workflows</w:t>
      </w:r>
      <w:r w:rsidRPr="00B56FC0">
        <w:rPr>
          <w:color w:val="auto"/>
        </w:rPr>
        <w:t>: Consolidated multi-department application, document upload, and evaluation pipelines.</w:t>
      </w:r>
    </w:p>
    <w:p w14:paraId="7834516D" w14:textId="77777777" w:rsidR="00FF0647" w:rsidRPr="00B56FC0" w:rsidRDefault="00000000">
      <w:pPr>
        <w:pStyle w:val="ListNumber"/>
        <w:spacing w:after="60"/>
        <w:rPr>
          <w:color w:val="auto"/>
        </w:rPr>
      </w:pPr>
      <w:r w:rsidRPr="00B56FC0">
        <w:rPr>
          <w:b/>
          <w:color w:val="auto"/>
        </w:rPr>
        <w:t>Certificate Generation &amp; Verification</w:t>
      </w:r>
      <w:r w:rsidRPr="00B56FC0">
        <w:rPr>
          <w:color w:val="auto"/>
        </w:rPr>
        <w:t>: High-fidelity, bilingual, dynamically generated PDF certificates featuring active cryptographic verification QR codes.</w:t>
      </w:r>
    </w:p>
    <w:p w14:paraId="0A24BEAF" w14:textId="77777777" w:rsidR="00FF0647" w:rsidRPr="00B56FC0" w:rsidRDefault="00000000">
      <w:pPr>
        <w:pStyle w:val="ListNumber"/>
        <w:spacing w:after="60"/>
        <w:rPr>
          <w:color w:val="auto"/>
        </w:rPr>
      </w:pPr>
      <w:r w:rsidRPr="00B56FC0">
        <w:rPr>
          <w:b/>
          <w:color w:val="auto"/>
        </w:rPr>
        <w:t>Logs &amp; Security Audits</w:t>
      </w:r>
      <w:r w:rsidRPr="00B56FC0">
        <w:rPr>
          <w:color w:val="auto"/>
        </w:rPr>
        <w:t>: Non-repudiation tracking through system audit trails and operational log exports.</w:t>
      </w:r>
    </w:p>
    <w:p w14:paraId="3EB3EB42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2.1.3. Definitions, Acronyms, and Abbreviations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B56FC0" w:rsidRPr="00B56FC0" w14:paraId="3E498DC4" w14:textId="77777777">
        <w:trPr>
          <w:jc w:val="center"/>
        </w:trPr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75518D9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20"/>
              </w:rPr>
              <w:t>Abbreviation / Term</w:t>
            </w:r>
          </w:p>
        </w:tc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6A6F674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20"/>
              </w:rPr>
              <w:t>Definition</w:t>
            </w:r>
          </w:p>
        </w:tc>
      </w:tr>
      <w:tr w:rsidR="00B56FC0" w:rsidRPr="00B56FC0" w14:paraId="22334474" w14:textId="77777777">
        <w:trPr>
          <w:jc w:val="center"/>
        </w:trPr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D078F0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19"/>
              </w:rPr>
              <w:t>NMPA</w:t>
            </w:r>
          </w:p>
        </w:tc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BC55C6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color w:val="auto"/>
                <w:sz w:val="19"/>
              </w:rPr>
              <w:t>New Mangalore Port Authority</w:t>
            </w:r>
          </w:p>
        </w:tc>
      </w:tr>
      <w:tr w:rsidR="00B56FC0" w:rsidRPr="00B56FC0" w14:paraId="334FA895" w14:textId="77777777">
        <w:trPr>
          <w:jc w:val="center"/>
        </w:trPr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3D5E079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19"/>
              </w:rPr>
              <w:t>SRS</w:t>
            </w:r>
          </w:p>
        </w:tc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F113CA0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color w:val="auto"/>
                <w:sz w:val="19"/>
              </w:rPr>
              <w:t>Software Requirements Specification</w:t>
            </w:r>
          </w:p>
        </w:tc>
      </w:tr>
      <w:tr w:rsidR="00B56FC0" w:rsidRPr="00B56FC0" w14:paraId="73915ABD" w14:textId="77777777">
        <w:trPr>
          <w:jc w:val="center"/>
        </w:trPr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032988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19"/>
              </w:rPr>
              <w:t>SPA</w:t>
            </w:r>
          </w:p>
        </w:tc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5D123C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color w:val="auto"/>
                <w:sz w:val="19"/>
              </w:rPr>
              <w:t>Single-Page Application</w:t>
            </w:r>
          </w:p>
        </w:tc>
      </w:tr>
      <w:tr w:rsidR="00B56FC0" w:rsidRPr="00B56FC0" w14:paraId="1A3D68E0" w14:textId="77777777">
        <w:trPr>
          <w:jc w:val="center"/>
        </w:trPr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A5307C9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19"/>
              </w:rPr>
              <w:t>ETA / ETD</w:t>
            </w:r>
          </w:p>
        </w:tc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E5E7F10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color w:val="auto"/>
                <w:sz w:val="19"/>
              </w:rPr>
              <w:t>Estimated Time of Arrival / Estimated Time of Departure</w:t>
            </w:r>
          </w:p>
        </w:tc>
      </w:tr>
      <w:tr w:rsidR="00B56FC0" w:rsidRPr="00B56FC0" w14:paraId="03D5A1B2" w14:textId="77777777">
        <w:trPr>
          <w:jc w:val="center"/>
        </w:trPr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ED079B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19"/>
              </w:rPr>
              <w:t>ILH</w:t>
            </w:r>
          </w:p>
        </w:tc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49A1EB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color w:val="auto"/>
                <w:sz w:val="19"/>
              </w:rPr>
              <w:t>Indian Light House (Dues paid by ship owners for lighthouse upkeep)</w:t>
            </w:r>
          </w:p>
        </w:tc>
      </w:tr>
      <w:tr w:rsidR="00B56FC0" w:rsidRPr="00B56FC0" w14:paraId="5876A75F" w14:textId="77777777">
        <w:trPr>
          <w:jc w:val="center"/>
        </w:trPr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5A8DDAA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19"/>
              </w:rPr>
              <w:t>PHO</w:t>
            </w:r>
          </w:p>
        </w:tc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A4C9ED9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color w:val="auto"/>
                <w:sz w:val="19"/>
              </w:rPr>
              <w:t>Port Health Organisation / Port Health Officer</w:t>
            </w:r>
          </w:p>
        </w:tc>
      </w:tr>
      <w:tr w:rsidR="00B56FC0" w:rsidRPr="00B56FC0" w14:paraId="7A5AF3AD" w14:textId="77777777">
        <w:trPr>
          <w:jc w:val="center"/>
        </w:trPr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FFDEB9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19"/>
              </w:rPr>
              <w:t>2FA / TOTP</w:t>
            </w:r>
          </w:p>
        </w:tc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1038AC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color w:val="auto"/>
                <w:sz w:val="19"/>
              </w:rPr>
              <w:t>Two-Factor Authentication / Time-Based One-Time Password</w:t>
            </w:r>
          </w:p>
        </w:tc>
      </w:tr>
      <w:tr w:rsidR="00B56FC0" w:rsidRPr="00B56FC0" w14:paraId="0FE280A7" w14:textId="77777777">
        <w:trPr>
          <w:jc w:val="center"/>
        </w:trPr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E4321D9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19"/>
              </w:rPr>
              <w:t>IGM / EGM</w:t>
            </w:r>
          </w:p>
        </w:tc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07627D2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color w:val="auto"/>
                <w:sz w:val="19"/>
              </w:rPr>
              <w:t>Import General Manifest / Export General Manifest</w:t>
            </w:r>
          </w:p>
        </w:tc>
      </w:tr>
      <w:tr w:rsidR="00B56FC0" w:rsidRPr="00B56FC0" w14:paraId="60912EC6" w14:textId="77777777">
        <w:trPr>
          <w:jc w:val="center"/>
        </w:trPr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6E4694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19"/>
              </w:rPr>
              <w:t>MERN</w:t>
            </w:r>
          </w:p>
        </w:tc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9699A5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color w:val="auto"/>
                <w:sz w:val="19"/>
              </w:rPr>
              <w:t>MongoDB, Express, React, Node.js Tech Stack</w:t>
            </w:r>
          </w:p>
        </w:tc>
      </w:tr>
      <w:tr w:rsidR="00FF0647" w:rsidRPr="00B56FC0" w14:paraId="259057BB" w14:textId="77777777">
        <w:trPr>
          <w:jc w:val="center"/>
        </w:trPr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CBC47FC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b/>
                <w:color w:val="auto"/>
                <w:sz w:val="19"/>
              </w:rPr>
              <w:t>JWT</w:t>
            </w:r>
          </w:p>
        </w:tc>
        <w:tc>
          <w:tcPr>
            <w:tcW w:w="45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E225129" w14:textId="77777777" w:rsidR="00FF0647" w:rsidRPr="00B56FC0" w:rsidRDefault="00000000">
            <w:pPr>
              <w:spacing w:after="40" w:line="264" w:lineRule="auto"/>
              <w:rPr>
                <w:color w:val="auto"/>
              </w:rPr>
            </w:pPr>
            <w:r w:rsidRPr="00B56FC0">
              <w:rPr>
                <w:color w:val="auto"/>
                <w:sz w:val="19"/>
              </w:rPr>
              <w:t>JSON Web Token</w:t>
            </w:r>
          </w:p>
        </w:tc>
      </w:tr>
    </w:tbl>
    <w:p w14:paraId="2D825F80" w14:textId="77777777" w:rsidR="00FF0647" w:rsidRPr="00B56FC0" w:rsidRDefault="00FF0647">
      <w:pPr>
        <w:rPr>
          <w:color w:val="auto"/>
        </w:rPr>
      </w:pPr>
    </w:p>
    <w:p w14:paraId="7D967EAC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lastRenderedPageBreak/>
        <w:t>2.1.4. References</w:t>
      </w:r>
    </w:p>
    <w:p w14:paraId="11869023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i/>
          <w:color w:val="auto"/>
        </w:rPr>
        <w:t>Indian Port Health Rules, 1955</w:t>
      </w:r>
      <w:r w:rsidRPr="00B56FC0">
        <w:rPr>
          <w:color w:val="auto"/>
        </w:rPr>
        <w:t xml:space="preserve"> (Ministry of Health &amp; Family Welfare, Govt. of India).</w:t>
      </w:r>
    </w:p>
    <w:p w14:paraId="725447BC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i/>
          <w:color w:val="auto"/>
        </w:rPr>
        <w:t>International Health Regulations (IHR), 2005</w:t>
      </w:r>
      <w:r w:rsidRPr="00B56FC0">
        <w:rPr>
          <w:color w:val="auto"/>
        </w:rPr>
        <w:t xml:space="preserve"> (World Health Organization).</w:t>
      </w:r>
    </w:p>
    <w:p w14:paraId="2650D9E8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i/>
          <w:color w:val="auto"/>
        </w:rPr>
        <w:t>The Customs Act, 1962</w:t>
      </w:r>
      <w:r w:rsidRPr="00B56FC0">
        <w:rPr>
          <w:color w:val="auto"/>
        </w:rPr>
        <w:t xml:space="preserve"> (Ministry of Finance, Govt. of India).</w:t>
      </w:r>
    </w:p>
    <w:p w14:paraId="06C44E42" w14:textId="36D25E41" w:rsidR="00FF0647" w:rsidRPr="00B56FC0" w:rsidRDefault="00617842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 xml:space="preserve">Digital </w:t>
      </w:r>
      <w:r w:rsidR="004F59DF" w:rsidRPr="00B56FC0">
        <w:rPr>
          <w:color w:val="auto"/>
        </w:rPr>
        <w:t>clearance</w:t>
      </w:r>
      <w:r w:rsidR="00000000" w:rsidRPr="00B56FC0">
        <w:rPr>
          <w:color w:val="auto"/>
        </w:rPr>
        <w:t xml:space="preserve"> codebase repository files: </w:t>
      </w:r>
      <w:r w:rsidR="00000000" w:rsidRPr="00B56FC0">
        <w:rPr>
          <w:color w:val="auto"/>
          <w:u w:val="single"/>
        </w:rPr>
        <w:t>`App.jsx`</w:t>
      </w:r>
      <w:r w:rsidR="00000000" w:rsidRPr="00B56FC0">
        <w:rPr>
          <w:color w:val="auto"/>
        </w:rPr>
        <w:t xml:space="preserve">, </w:t>
      </w:r>
      <w:r w:rsidR="00000000" w:rsidRPr="00B56FC0">
        <w:rPr>
          <w:color w:val="auto"/>
          <w:u w:val="single"/>
        </w:rPr>
        <w:t>`ClearanceWorkflow.jsx`</w:t>
      </w:r>
      <w:r w:rsidR="00000000" w:rsidRPr="00B56FC0">
        <w:rPr>
          <w:color w:val="auto"/>
        </w:rPr>
        <w:t xml:space="preserve">, </w:t>
      </w:r>
      <w:r w:rsidR="00000000" w:rsidRPr="00B56FC0">
        <w:rPr>
          <w:color w:val="auto"/>
          <w:u w:val="single"/>
        </w:rPr>
        <w:t>`AuthContext.jsx`</w:t>
      </w:r>
      <w:r w:rsidR="00000000" w:rsidRPr="00B56FC0">
        <w:rPr>
          <w:color w:val="auto"/>
        </w:rPr>
        <w:t>.</w:t>
      </w:r>
    </w:p>
    <w:p w14:paraId="33FAFD90" w14:textId="77777777" w:rsidR="00FF0647" w:rsidRPr="00B56FC0" w:rsidRDefault="00FF0647">
      <w:pPr>
        <w:spacing w:after="240"/>
        <w:rPr>
          <w:color w:val="auto"/>
        </w:rPr>
      </w:pPr>
    </w:p>
    <w:p w14:paraId="3EDE5102" w14:textId="77777777" w:rsidR="00FF0647" w:rsidRPr="00B56FC0" w:rsidRDefault="00000000">
      <w:pPr>
        <w:spacing w:before="280"/>
        <w:rPr>
          <w:color w:val="auto"/>
        </w:rPr>
      </w:pPr>
      <w:r w:rsidRPr="00B56FC0">
        <w:rPr>
          <w:b/>
          <w:color w:val="auto"/>
          <w:sz w:val="30"/>
        </w:rPr>
        <w:t>2.2. Overall Description</w:t>
      </w:r>
    </w:p>
    <w:p w14:paraId="71D68F71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2.2.1. Product Perspective</w:t>
      </w:r>
    </w:p>
    <w:p w14:paraId="4F49DA76" w14:textId="25FA09E2" w:rsidR="00FF0647" w:rsidRPr="00B56FC0" w:rsidRDefault="00617842">
      <w:pPr>
        <w:rPr>
          <w:color w:val="auto"/>
        </w:rPr>
      </w:pPr>
      <w:r w:rsidRPr="00B56FC0">
        <w:rPr>
          <w:color w:val="auto"/>
        </w:rPr>
        <w:t xml:space="preserve">The Website </w:t>
      </w:r>
      <w:r w:rsidR="00000000" w:rsidRPr="00B56FC0">
        <w:rPr>
          <w:color w:val="auto"/>
        </w:rPr>
        <w:t xml:space="preserve">functions as an independent, secure National Maritime Single Window portal that connects local port agents with three major Government of India entities: the </w:t>
      </w:r>
      <w:r w:rsidR="00000000" w:rsidRPr="00B56FC0">
        <w:rPr>
          <w:b/>
          <w:color w:val="auto"/>
        </w:rPr>
        <w:t>Port Health Organisation</w:t>
      </w:r>
      <w:r w:rsidR="00000000" w:rsidRPr="00B56FC0">
        <w:rPr>
          <w:color w:val="auto"/>
        </w:rPr>
        <w:t xml:space="preserve">, the </w:t>
      </w:r>
      <w:r w:rsidR="00000000" w:rsidRPr="00B56FC0">
        <w:rPr>
          <w:b/>
          <w:color w:val="auto"/>
        </w:rPr>
        <w:t>Central Board of Indirect Taxes and Customs (CBIC)</w:t>
      </w:r>
      <w:r w:rsidR="00000000" w:rsidRPr="00B56FC0">
        <w:rPr>
          <w:color w:val="auto"/>
        </w:rPr>
        <w:t xml:space="preserve">, and the </w:t>
      </w:r>
      <w:r w:rsidR="00000000" w:rsidRPr="00B56FC0">
        <w:rPr>
          <w:b/>
          <w:color w:val="auto"/>
        </w:rPr>
        <w:t>New Mangalore Port Authority (NMPA) Traffic Control</w:t>
      </w:r>
      <w:r w:rsidR="00000000" w:rsidRPr="00B56FC0">
        <w:rPr>
          <w:color w:val="auto"/>
        </w:rPr>
        <w:t>.</w:t>
      </w:r>
    </w:p>
    <w:p w14:paraId="3A3A43AC" w14:textId="77777777" w:rsidR="00FF0647" w:rsidRPr="00B56FC0" w:rsidRDefault="00FF0647">
      <w:pPr>
        <w:spacing w:line="240" w:lineRule="auto"/>
        <w:rPr>
          <w:color w:val="auto"/>
        </w:rPr>
      </w:pPr>
    </w:p>
    <w:p w14:paraId="6842FE97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2.2.2. Product Functions</w:t>
      </w:r>
    </w:p>
    <w:p w14:paraId="6D2DD047" w14:textId="6AB4EE54" w:rsidR="00FF0647" w:rsidRPr="00B56FC0" w:rsidRDefault="00000000">
      <w:pPr>
        <w:rPr>
          <w:color w:val="auto"/>
        </w:rPr>
      </w:pPr>
      <w:r w:rsidRPr="00B56FC0">
        <w:rPr>
          <w:color w:val="auto"/>
        </w:rPr>
        <w:t xml:space="preserve">The primary features of the </w:t>
      </w:r>
      <w:r w:rsidR="00617842" w:rsidRPr="00B56FC0">
        <w:rPr>
          <w:color w:val="auto"/>
        </w:rPr>
        <w:t>Digital clearance</w:t>
      </w:r>
      <w:r w:rsidRPr="00B56FC0">
        <w:rPr>
          <w:color w:val="auto"/>
        </w:rPr>
        <w:t xml:space="preserve"> System are:</w:t>
      </w:r>
    </w:p>
    <w:p w14:paraId="119C2370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Government Identity &amp; Accessibility System</w:t>
      </w:r>
      <w:r w:rsidRPr="00B56FC0">
        <w:rPr>
          <w:color w:val="auto"/>
        </w:rPr>
        <w:t>: Integrating the official tricolor banner theme, Hindi/English bilingual UI, and dynamic font scale controls (A+, A, A-).</w:t>
      </w:r>
    </w:p>
    <w:p w14:paraId="2E084C0A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Two-Factor Authenticated User Console</w:t>
      </w:r>
      <w:r w:rsidRPr="00B56FC0">
        <w:rPr>
          <w:color w:val="auto"/>
        </w:rPr>
        <w:t>: Registration with mandatory administrator approval, bcrypt password hashing, and TOTP setup with Google Authenticator (QR code generator).</w:t>
      </w:r>
    </w:p>
    <w:p w14:paraId="0F59F8FF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Vessel Registry Management</w:t>
      </w:r>
      <w:r w:rsidRPr="00B56FC0">
        <w:rPr>
          <w:color w:val="auto"/>
        </w:rPr>
        <w:t>: Inputting and maintaining structural dimensions (Gross Registered Tonnage, Net Registered Tonnage), IMO numbers, flag states, and ownership details.</w:t>
      </w:r>
    </w:p>
    <w:p w14:paraId="09B20E8E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Consolidated Clearance Hub</w:t>
      </w:r>
      <w:r w:rsidRPr="00B56FC0">
        <w:rPr>
          <w:color w:val="auto"/>
        </w:rPr>
        <w:t>: Ship agents file single applications detailing captain credentials, arrival/departure timelines, crew and passenger statistics, cargo categories, and ILH receipt details (receipt numbers, paid amounts, validity limits).</w:t>
      </w:r>
    </w:p>
    <w:p w14:paraId="0EE50EBE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Cross-Department Clearance Stepper</w:t>
      </w:r>
      <w:r w:rsidRPr="00B56FC0">
        <w:rPr>
          <w:color w:val="auto"/>
        </w:rPr>
        <w:t>: A sequential routing mechanism (Health $\rightarrow$ Customs $\rightarrow$ Traffic Control) tracking approval statuses, reviewer notes, and clearances.</w:t>
      </w:r>
    </w:p>
    <w:p w14:paraId="0473487F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Authentic Certificate Generation</w:t>
      </w:r>
      <w:r w:rsidRPr="00B56FC0">
        <w:rPr>
          <w:color w:val="auto"/>
        </w:rPr>
        <w:t>: Dynamic rendering of certificates with simulated stamp styles, bilingual headers, and digital signature stamps.</w:t>
      </w:r>
    </w:p>
    <w:p w14:paraId="55B0EFD3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Public Certificate Verification Portal</w:t>
      </w:r>
      <w:r w:rsidRPr="00B56FC0">
        <w:rPr>
          <w:color w:val="auto"/>
        </w:rPr>
        <w:t>: A routing structure enabling external inspectors and boarding pilots to immediately verify certificates by scanning their QR codes.</w:t>
      </w:r>
    </w:p>
    <w:p w14:paraId="7FED5AA0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Operational Logs &amp; Audit Trail Console</w:t>
      </w:r>
      <w:r w:rsidRPr="00B56FC0">
        <w:rPr>
          <w:color w:val="auto"/>
        </w:rPr>
        <w:t>: A query interface monitoring user actions (logins, creations, status transitions) for security compliance.</w:t>
      </w:r>
    </w:p>
    <w:p w14:paraId="4FBA9852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2.2.3. User Characteristics</w:t>
      </w:r>
    </w:p>
    <w:p w14:paraId="447266B8" w14:textId="77777777" w:rsidR="00FF0647" w:rsidRPr="00B56FC0" w:rsidRDefault="00000000">
      <w:pPr>
        <w:pStyle w:val="ListNumber"/>
        <w:spacing w:after="60"/>
        <w:rPr>
          <w:color w:val="auto"/>
        </w:rPr>
      </w:pPr>
      <w:r w:rsidRPr="00B56FC0">
        <w:rPr>
          <w:b/>
          <w:color w:val="auto"/>
        </w:rPr>
        <w:t>System Administrator</w:t>
      </w:r>
      <w:r w:rsidRPr="00B56FC0">
        <w:rPr>
          <w:color w:val="auto"/>
        </w:rPr>
        <w:t>: Oversees user provisioning, reviews registration requests, configures 2FA keys, and audits logs. High technical expertise.</w:t>
      </w:r>
    </w:p>
    <w:p w14:paraId="73DB6E04" w14:textId="77777777" w:rsidR="00FF0647" w:rsidRPr="00B56FC0" w:rsidRDefault="00000000">
      <w:pPr>
        <w:pStyle w:val="ListNumber"/>
        <w:spacing w:after="60"/>
        <w:rPr>
          <w:color w:val="auto"/>
        </w:rPr>
      </w:pPr>
      <w:r w:rsidRPr="00B56FC0">
        <w:rPr>
          <w:b/>
          <w:color w:val="auto"/>
        </w:rPr>
        <w:t>Ship Agent Account</w:t>
      </w:r>
      <w:r w:rsidRPr="00B56FC0">
        <w:rPr>
          <w:color w:val="auto"/>
        </w:rPr>
        <w:t>: Enrolls vessels in the registry and files entry applications on behalf of shipping lines. Moderate technical expertise.</w:t>
      </w:r>
    </w:p>
    <w:p w14:paraId="4418931A" w14:textId="77777777" w:rsidR="00FF0647" w:rsidRPr="00B56FC0" w:rsidRDefault="00000000">
      <w:pPr>
        <w:pStyle w:val="ListNumber"/>
        <w:spacing w:after="60"/>
        <w:rPr>
          <w:color w:val="auto"/>
        </w:rPr>
      </w:pPr>
      <w:r w:rsidRPr="00B56FC0">
        <w:rPr>
          <w:b/>
          <w:color w:val="auto"/>
        </w:rPr>
        <w:lastRenderedPageBreak/>
        <w:t>Health Department (PHO)</w:t>
      </w:r>
      <w:r w:rsidRPr="00B56FC0">
        <w:rPr>
          <w:color w:val="auto"/>
        </w:rPr>
        <w:t>: Port Health Officers verifying health logs, sanitization lists, and issuing health certificates. Basic to moderate technical expertise.</w:t>
      </w:r>
    </w:p>
    <w:p w14:paraId="7DD02BD3" w14:textId="77777777" w:rsidR="00FF0647" w:rsidRPr="00B56FC0" w:rsidRDefault="00000000">
      <w:pPr>
        <w:pStyle w:val="ListNumber"/>
        <w:spacing w:after="60"/>
        <w:rPr>
          <w:color w:val="auto"/>
        </w:rPr>
      </w:pPr>
      <w:r w:rsidRPr="00B56FC0">
        <w:rPr>
          <w:b/>
          <w:color w:val="auto"/>
        </w:rPr>
        <w:t>Customs Department</w:t>
      </w:r>
      <w:r w:rsidRPr="00B56FC0">
        <w:rPr>
          <w:color w:val="auto"/>
        </w:rPr>
        <w:t>: Customs Officers checking cargo manifests, manifest declarations, and ILH payments to issue port clearance. Basic to moderate technical expertise.</w:t>
      </w:r>
    </w:p>
    <w:p w14:paraId="362E469F" w14:textId="77777777" w:rsidR="00FF0647" w:rsidRPr="00B56FC0" w:rsidRDefault="00000000">
      <w:pPr>
        <w:pStyle w:val="ListNumber"/>
        <w:spacing w:after="60"/>
        <w:rPr>
          <w:color w:val="auto"/>
        </w:rPr>
      </w:pPr>
      <w:r w:rsidRPr="00B56FC0">
        <w:rPr>
          <w:b/>
          <w:color w:val="auto"/>
        </w:rPr>
        <w:t>Port Authority Node (Traffic Control)</w:t>
      </w:r>
      <w:r w:rsidRPr="00B56FC0">
        <w:rPr>
          <w:color w:val="auto"/>
        </w:rPr>
        <w:t>: Traffic directors managing berth availability, piloting logs, and issuing the final permission to dock/sail. Basic to moderate technical expertise.</w:t>
      </w:r>
    </w:p>
    <w:p w14:paraId="28581D1A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2.2.4. General Constraints</w:t>
      </w:r>
    </w:p>
    <w:p w14:paraId="57613208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Session Inactivity Timeout</w:t>
      </w:r>
      <w:r w:rsidRPr="00B56FC0">
        <w:rPr>
          <w:color w:val="auto"/>
        </w:rPr>
        <w:t>: The system forces a logout if no activity is detected for 60 seconds to secure shared work terminals.</w:t>
      </w:r>
    </w:p>
    <w:p w14:paraId="46C9309A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Technical Framework Limits</w:t>
      </w:r>
      <w:r w:rsidRPr="00B56FC0">
        <w:rPr>
          <w:color w:val="auto"/>
        </w:rPr>
        <w:t>: Designed as a Single Page Application using Vite + React. Standard styles are managed through optimized vanilla CSS.</w:t>
      </w:r>
    </w:p>
    <w:p w14:paraId="2F5A59AA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Audit Trails Compliance</w:t>
      </w:r>
      <w:r w:rsidRPr="00B56FC0">
        <w:rPr>
          <w:color w:val="auto"/>
        </w:rPr>
        <w:t>: Under Indian cybersecurity laws, all security actions must be recorded on a MongoDB backend without any deletion APIs exposed to clients.</w:t>
      </w:r>
    </w:p>
    <w:p w14:paraId="382EA0CE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Language Support</w:t>
      </w:r>
      <w:r w:rsidRPr="00B56FC0">
        <w:rPr>
          <w:color w:val="auto"/>
        </w:rPr>
        <w:t>: All static resources and database status descriptors must support English-to-Hindi mapping.</w:t>
      </w:r>
    </w:p>
    <w:p w14:paraId="6FDBD4B3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2.2.5. Assumptions</w:t>
      </w:r>
    </w:p>
    <w:p w14:paraId="5F7BDD5F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Users have mobile devices to run standard TOTP authenticators.</w:t>
      </w:r>
    </w:p>
    <w:p w14:paraId="2DE87994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Port authorities have active internet access to query the MongoDB backend.</w:t>
      </w:r>
    </w:p>
    <w:p w14:paraId="4A8CE41A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Active QR codes pointing to verification URLs rely on client browser availability.</w:t>
      </w:r>
    </w:p>
    <w:p w14:paraId="1A17A246" w14:textId="77777777" w:rsidR="00FF0647" w:rsidRPr="00B56FC0" w:rsidRDefault="00FF0647">
      <w:pPr>
        <w:spacing w:after="240"/>
        <w:rPr>
          <w:color w:val="auto"/>
        </w:rPr>
      </w:pPr>
    </w:p>
    <w:p w14:paraId="17B90F54" w14:textId="77777777" w:rsidR="00FF0647" w:rsidRPr="00B56FC0" w:rsidRDefault="00000000">
      <w:pPr>
        <w:spacing w:before="280"/>
        <w:rPr>
          <w:color w:val="auto"/>
        </w:rPr>
      </w:pPr>
      <w:r w:rsidRPr="00B56FC0">
        <w:rPr>
          <w:b/>
          <w:color w:val="auto"/>
          <w:sz w:val="30"/>
        </w:rPr>
        <w:t>2.3. Special Requirements</w:t>
      </w:r>
    </w:p>
    <w:p w14:paraId="318DD053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2.3.1. Language &amp; Accessibility</w:t>
      </w:r>
    </w:p>
    <w:p w14:paraId="287DCC95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Bilingual Translation Support</w:t>
      </w:r>
      <w:r w:rsidRPr="00B56FC0">
        <w:rPr>
          <w:color w:val="auto"/>
        </w:rPr>
        <w:t xml:space="preserve">: Global translation mapper in </w:t>
      </w:r>
      <w:r w:rsidRPr="00B56FC0">
        <w:rPr>
          <w:color w:val="auto"/>
          <w:u w:val="single"/>
        </w:rPr>
        <w:t>`AuthContext.jsx`</w:t>
      </w:r>
      <w:r w:rsidRPr="00B56FC0">
        <w:rPr>
          <w:color w:val="auto"/>
        </w:rPr>
        <w:t xml:space="preserve"> maps UI labels in both English and Hindi.</w:t>
      </w:r>
    </w:p>
    <w:p w14:paraId="7D1E2E17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Font-Size Adjustments</w:t>
      </w:r>
      <w:r w:rsidRPr="00B56FC0">
        <w:rPr>
          <w:color w:val="auto"/>
        </w:rPr>
        <w:t>: Root CSS mapping dynamically shifts sizes between 14px (A-), 16px (A), and 18px (A+) without breaking layout columns.</w:t>
      </w:r>
    </w:p>
    <w:p w14:paraId="09DB30E1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2.3.2. Official Branding Guidelines</w:t>
      </w:r>
    </w:p>
    <w:p w14:paraId="38EED96B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Tricolor Stripe Banner</w:t>
      </w:r>
      <w:r w:rsidRPr="00B56FC0">
        <w:rPr>
          <w:color w:val="auto"/>
        </w:rPr>
        <w:t>: Header must reflect the official colors: Saffron (#FF9933), White (#FFFFFF), and Green (#138808) with the text "भारत सरकार | GOVERNMENT OF INDIA" and "सत्यमेव जयते".</w:t>
      </w:r>
    </w:p>
    <w:p w14:paraId="3E17A1C2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Theme Switching</w:t>
      </w:r>
      <w:r w:rsidRPr="00B56FC0">
        <w:rPr>
          <w:color w:val="auto"/>
        </w:rPr>
        <w:t>: Flexible dark-mode override via root CSS (</w:t>
      </w:r>
      <w:r w:rsidRPr="00B56FC0">
        <w:rPr>
          <w:rFonts w:ascii="Consolas" w:hAnsi="Consolas"/>
          <w:color w:val="auto"/>
          <w:sz w:val="19"/>
        </w:rPr>
        <w:t>data-theme="dark"</w:t>
      </w:r>
      <w:r w:rsidRPr="00B56FC0">
        <w:rPr>
          <w:color w:val="auto"/>
        </w:rPr>
        <w:t>).</w:t>
      </w:r>
    </w:p>
    <w:p w14:paraId="2BA558AF" w14:textId="77777777" w:rsidR="00FF0647" w:rsidRPr="00B56FC0" w:rsidRDefault="00FF0647">
      <w:pPr>
        <w:spacing w:after="240"/>
        <w:rPr>
          <w:color w:val="auto"/>
        </w:rPr>
      </w:pPr>
    </w:p>
    <w:p w14:paraId="0147F6D0" w14:textId="77777777" w:rsidR="00FF0647" w:rsidRPr="00B56FC0" w:rsidRDefault="00000000">
      <w:pPr>
        <w:spacing w:before="280"/>
        <w:rPr>
          <w:color w:val="auto"/>
        </w:rPr>
      </w:pPr>
      <w:r w:rsidRPr="00B56FC0">
        <w:rPr>
          <w:b/>
          <w:color w:val="auto"/>
          <w:sz w:val="30"/>
        </w:rPr>
        <w:t>2.4. Functional Requirements</w:t>
      </w:r>
    </w:p>
    <w:p w14:paraId="40D436BF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2.4.1. Module 1: User Authentication &amp; Administration</w:t>
      </w:r>
    </w:p>
    <w:p w14:paraId="2845052C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FR-1.1</w:t>
      </w:r>
      <w:r w:rsidRPr="00B56FC0">
        <w:rPr>
          <w:color w:val="auto"/>
        </w:rPr>
        <w:t>: Users can register with a username, password, email, and role selection.</w:t>
      </w:r>
    </w:p>
    <w:p w14:paraId="7AE4285F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FR-1.2</w:t>
      </w:r>
      <w:r w:rsidRPr="00B56FC0">
        <w:rPr>
          <w:color w:val="auto"/>
        </w:rPr>
        <w:t xml:space="preserve">: All new registrations must be initialized in a </w:t>
      </w:r>
      <w:r w:rsidRPr="00B56FC0">
        <w:rPr>
          <w:rFonts w:ascii="Consolas" w:hAnsi="Consolas"/>
          <w:color w:val="auto"/>
          <w:sz w:val="19"/>
        </w:rPr>
        <w:t>pending</w:t>
      </w:r>
      <w:r w:rsidRPr="00B56FC0">
        <w:rPr>
          <w:color w:val="auto"/>
        </w:rPr>
        <w:t xml:space="preserve"> state, preventing access until approved by an administrator.</w:t>
      </w:r>
    </w:p>
    <w:p w14:paraId="1DEDB7FB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FR-1.3</w:t>
      </w:r>
      <w:r w:rsidRPr="00B56FC0">
        <w:rPr>
          <w:color w:val="auto"/>
        </w:rPr>
        <w:t>: Administrators can view a user roster, approve pending registrations, reject them, or toggle 2FA configurations.</w:t>
      </w:r>
    </w:p>
    <w:p w14:paraId="43B7C836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lastRenderedPageBreak/>
        <w:t>FR-1.4</w:t>
      </w:r>
      <w:r w:rsidRPr="00B56FC0">
        <w:rPr>
          <w:color w:val="auto"/>
        </w:rPr>
        <w:t>: On registration, the system generates a random 16-character Base32 string and a QR code pointing to a Google Authenticator URL schema (</w:t>
      </w:r>
      <w:r w:rsidRPr="00B56FC0">
        <w:rPr>
          <w:rFonts w:ascii="Consolas" w:hAnsi="Consolas"/>
          <w:color w:val="auto"/>
          <w:sz w:val="19"/>
        </w:rPr>
        <w:t>otpauth://totp/...</w:t>
      </w:r>
      <w:r w:rsidRPr="00B56FC0">
        <w:rPr>
          <w:color w:val="auto"/>
        </w:rPr>
        <w:t>).</w:t>
      </w:r>
    </w:p>
    <w:p w14:paraId="7C88AA03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FR-1.5</w:t>
      </w:r>
      <w:r w:rsidRPr="00B56FC0">
        <w:rPr>
          <w:color w:val="auto"/>
        </w:rPr>
        <w:t>: Upon login with valid credentials, if 2FA is active, the system requires a 6-digit TOTP input before returning a JWT.</w:t>
      </w:r>
    </w:p>
    <w:p w14:paraId="21EF3299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FR-1.6</w:t>
      </w:r>
      <w:r w:rsidRPr="00B56FC0">
        <w:rPr>
          <w:color w:val="auto"/>
        </w:rPr>
        <w:t>: Background threads monitor user movements and trigger an automatic logout alert after 60 seconds of zero interaction.</w:t>
      </w:r>
    </w:p>
    <w:p w14:paraId="7074D4A5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2.4.2. Module 2: Vessel Registry</w:t>
      </w:r>
    </w:p>
    <w:p w14:paraId="4D0EBF91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FR-2.1</w:t>
      </w:r>
      <w:r w:rsidRPr="00B56FC0">
        <w:rPr>
          <w:color w:val="auto"/>
        </w:rPr>
        <w:t>: Ship Agents can record new vessels, supplying the vessel's name, IMO number, flag state, vessel type, ownership details, GRT, and NRT.</w:t>
      </w:r>
    </w:p>
    <w:p w14:paraId="49D800CE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FR-2.2</w:t>
      </w:r>
      <w:r w:rsidRPr="00B56FC0">
        <w:rPr>
          <w:color w:val="auto"/>
        </w:rPr>
        <w:t>: The backend validates IMO uniqueness, ensuring duplicate registries do not occur.</w:t>
      </w:r>
    </w:p>
    <w:p w14:paraId="7EA3C496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FR-2.3</w:t>
      </w:r>
      <w:r w:rsidRPr="00B56FC0">
        <w:rPr>
          <w:color w:val="auto"/>
        </w:rPr>
        <w:t>: Vessels registered by an agent are bound to their user ID, allowing agents to select only their verified ships during journey submissions.</w:t>
      </w:r>
    </w:p>
    <w:p w14:paraId="6BB9A1F4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2.4.3. Module 3: Clearance Workflow Hub</w:t>
      </w:r>
    </w:p>
    <w:p w14:paraId="4B870A65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FR-3.1</w:t>
      </w:r>
      <w:r w:rsidRPr="00B56FC0">
        <w:rPr>
          <w:color w:val="auto"/>
        </w:rPr>
        <w:t>: Ship Agents submit a voyage entry application, linking it to a registered vessel. Additional required fields are:</w:t>
      </w:r>
    </w:p>
    <w:p w14:paraId="16A6AF2B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Last Port of Origin &amp; Destination Port</w:t>
      </w:r>
    </w:p>
    <w:p w14:paraId="139ABC5F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ETA and ETD timestamps</w:t>
      </w:r>
    </w:p>
    <w:p w14:paraId="32394162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Commander/Captain Name</w:t>
      </w:r>
    </w:p>
    <w:p w14:paraId="598E2145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Cargo Category (Ballast, Crude Oil, Container Cargo, General Cargo, LNG, LPG)</w:t>
      </w:r>
    </w:p>
    <w:p w14:paraId="3C9F37A6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Crew Count and Passenger Count</w:t>
      </w:r>
    </w:p>
    <w:p w14:paraId="43269E24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ILH Receipt details (Receipt Number, Paid Date, Amount in INR, Valid From/To)</w:t>
      </w:r>
    </w:p>
    <w:p w14:paraId="3B8DA5D1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Base64 encoded file attachments (IGM, Health Declaration, Cargo Manifests)</w:t>
      </w:r>
    </w:p>
    <w:p w14:paraId="441F1B7E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FR-3.2</w:t>
      </w:r>
      <w:r w:rsidRPr="00B56FC0">
        <w:rPr>
          <w:color w:val="auto"/>
        </w:rPr>
        <w:t>: A multi-department evaluation board displays clearances across three distinct columns: Health Department, Customs Department, and Port Traffic Control.</w:t>
      </w:r>
    </w:p>
    <w:p w14:paraId="786E7F12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FR-3.3</w:t>
      </w:r>
      <w:r w:rsidRPr="00B56FC0">
        <w:rPr>
          <w:color w:val="auto"/>
        </w:rPr>
        <w:t>: Department users see applications pending their review. When editing an application, they submit an approval status (</w:t>
      </w:r>
      <w:r w:rsidRPr="00B56FC0">
        <w:rPr>
          <w:rFonts w:ascii="Consolas" w:hAnsi="Consolas"/>
          <w:color w:val="auto"/>
          <w:sz w:val="19"/>
        </w:rPr>
        <w:t>Approved</w:t>
      </w:r>
      <w:r w:rsidRPr="00B56FC0">
        <w:rPr>
          <w:color w:val="auto"/>
        </w:rPr>
        <w:t>/</w:t>
      </w:r>
      <w:r w:rsidRPr="00B56FC0">
        <w:rPr>
          <w:rFonts w:ascii="Consolas" w:hAnsi="Consolas"/>
          <w:color w:val="auto"/>
          <w:sz w:val="19"/>
        </w:rPr>
        <w:t>Rejected</w:t>
      </w:r>
      <w:r w:rsidRPr="00B56FC0">
        <w:rPr>
          <w:color w:val="auto"/>
        </w:rPr>
        <w:t>) along with a mandatory review note.</w:t>
      </w:r>
    </w:p>
    <w:p w14:paraId="420DCEA0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FR-3.4</w:t>
      </w:r>
      <w:r w:rsidRPr="00B56FC0">
        <w:rPr>
          <w:color w:val="auto"/>
        </w:rPr>
        <w:t xml:space="preserve">: When all three departments (Health, Customs, Traffic) mark an application as Approved, the journey's global status transitions to </w:t>
      </w:r>
      <w:r w:rsidRPr="00B56FC0">
        <w:rPr>
          <w:rFonts w:ascii="Consolas" w:hAnsi="Consolas"/>
          <w:color w:val="auto"/>
          <w:sz w:val="19"/>
        </w:rPr>
        <w:t>Cleared</w:t>
      </w:r>
      <w:r w:rsidRPr="00B56FC0">
        <w:rPr>
          <w:color w:val="auto"/>
        </w:rPr>
        <w:t xml:space="preserve">. If any department rejects the application, the global status transitions to </w:t>
      </w:r>
      <w:r w:rsidRPr="00B56FC0">
        <w:rPr>
          <w:rFonts w:ascii="Consolas" w:hAnsi="Consolas"/>
          <w:color w:val="auto"/>
          <w:sz w:val="19"/>
        </w:rPr>
        <w:t>Rejected</w:t>
      </w:r>
      <w:r w:rsidRPr="00B56FC0">
        <w:rPr>
          <w:color w:val="auto"/>
        </w:rPr>
        <w:t>.</w:t>
      </w:r>
    </w:p>
    <w:p w14:paraId="26BC97FC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2.4.4. Module 4: Certificate Generation &amp; Verification</w:t>
      </w:r>
    </w:p>
    <w:p w14:paraId="2C1F5971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FR-4.1</w:t>
      </w:r>
      <w:r w:rsidRPr="00B56FC0">
        <w:rPr>
          <w:color w:val="auto"/>
        </w:rPr>
        <w:t>: The system dynamically generates official PDF files using client-side jsPDF rendering.</w:t>
      </w:r>
    </w:p>
    <w:p w14:paraId="49B7150C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FR-4.2</w:t>
      </w:r>
      <w:r w:rsidRPr="00B56FC0">
        <w:rPr>
          <w:color w:val="auto"/>
        </w:rPr>
        <w:t xml:space="preserve">: </w:t>
      </w:r>
      <w:r w:rsidRPr="00B56FC0">
        <w:rPr>
          <w:b/>
          <w:color w:val="auto"/>
        </w:rPr>
        <w:t>Certificate of Health Clearance</w:t>
      </w:r>
      <w:r w:rsidRPr="00B56FC0">
        <w:rPr>
          <w:color w:val="auto"/>
        </w:rPr>
        <w:t>:</w:t>
      </w:r>
    </w:p>
    <w:p w14:paraId="0FAF54C4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Green background theme with double border lines.</w:t>
      </w:r>
    </w:p>
    <w:p w14:paraId="545389CA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Contains PHO headers, bilingual texts, Indian emblem, and Port Health Officer signature block.</w:t>
      </w:r>
    </w:p>
    <w:p w14:paraId="23D9F921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Features an active verification QR code linking to the verification endpoint.</w:t>
      </w:r>
    </w:p>
    <w:p w14:paraId="7C372C4B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FR-4.3</w:t>
      </w:r>
      <w:r w:rsidRPr="00B56FC0">
        <w:rPr>
          <w:color w:val="auto"/>
        </w:rPr>
        <w:t xml:space="preserve">: </w:t>
      </w:r>
      <w:r w:rsidRPr="00B56FC0">
        <w:rPr>
          <w:b/>
          <w:color w:val="auto"/>
        </w:rPr>
        <w:t>Port Clearance Certificate</w:t>
      </w:r>
      <w:r w:rsidRPr="00B56FC0">
        <w:rPr>
          <w:color w:val="auto"/>
        </w:rPr>
        <w:t>:</w:t>
      </w:r>
    </w:p>
    <w:p w14:paraId="6BAB3A1F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Valid for 72 hours.</w:t>
      </w:r>
    </w:p>
    <w:p w14:paraId="22E1A14A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Features CBIC/Customs Header in English and Hindi, official logo, and Certificate Number/Date.</w:t>
      </w:r>
    </w:p>
    <w:p w14:paraId="44F54842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Details cargo type, crew size, GRT/NRT, and ILH dues validation.</w:t>
      </w:r>
    </w:p>
    <w:p w14:paraId="10E1E48C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Shows a digital signature box for the Assistant Commissioner of Customs.</w:t>
      </w:r>
    </w:p>
    <w:p w14:paraId="450976CC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lastRenderedPageBreak/>
        <w:t>FR-4.4</w:t>
      </w:r>
      <w:r w:rsidRPr="00B56FC0">
        <w:rPr>
          <w:color w:val="auto"/>
        </w:rPr>
        <w:t>: The verification portal is a publicly accessible route (</w:t>
      </w:r>
      <w:r w:rsidRPr="00B56FC0">
        <w:rPr>
          <w:rFonts w:ascii="Consolas" w:hAnsi="Consolas"/>
          <w:color w:val="auto"/>
          <w:sz w:val="19"/>
        </w:rPr>
        <w:t>#/verify-certificate/:journeyId</w:t>
      </w:r>
      <w:r w:rsidRPr="00B56FC0">
        <w:rPr>
          <w:color w:val="auto"/>
        </w:rPr>
        <w:t>) that does not require login. It fetches the journey details from the backend and confirms the validity of the certificate in real time.</w:t>
      </w:r>
    </w:p>
    <w:p w14:paraId="171F42D5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2.4.5. Module 5: Audit Logs &amp; System Trails</w:t>
      </w:r>
    </w:p>
    <w:p w14:paraId="2553AD3D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FR-5.1</w:t>
      </w:r>
      <w:r w:rsidRPr="00B56FC0">
        <w:rPr>
          <w:color w:val="auto"/>
        </w:rPr>
        <w:t>: Every user transaction (login, user registration, vessel addition, journey update, department approval) must append a permanent entry to the audit logs collection.</w:t>
      </w:r>
    </w:p>
    <w:p w14:paraId="1629B80F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FR-5.2</w:t>
      </w:r>
      <w:r w:rsidRPr="00B56FC0">
        <w:rPr>
          <w:color w:val="auto"/>
        </w:rPr>
        <w:t>: Administrators and Port Authorities can query, filter, search, and export the audit database.</w:t>
      </w:r>
    </w:p>
    <w:p w14:paraId="5986C215" w14:textId="77777777" w:rsidR="00FF0647" w:rsidRPr="00B56FC0" w:rsidRDefault="00FF0647">
      <w:pPr>
        <w:spacing w:after="240"/>
        <w:rPr>
          <w:color w:val="auto"/>
        </w:rPr>
      </w:pPr>
    </w:p>
    <w:p w14:paraId="21D08708" w14:textId="77777777" w:rsidR="00FF0647" w:rsidRPr="00B56FC0" w:rsidRDefault="00000000">
      <w:pPr>
        <w:spacing w:before="280"/>
        <w:rPr>
          <w:color w:val="auto"/>
        </w:rPr>
      </w:pPr>
      <w:r w:rsidRPr="00B56FC0">
        <w:rPr>
          <w:b/>
          <w:color w:val="auto"/>
          <w:sz w:val="30"/>
        </w:rPr>
        <w:t>2.5. Design Constraints</w:t>
      </w:r>
    </w:p>
    <w:p w14:paraId="57D90ADB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2.5.1. Front-end Architecture</w:t>
      </w:r>
    </w:p>
    <w:p w14:paraId="3C82624E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 xml:space="preserve">Built as a React SPA with </w:t>
      </w:r>
      <w:r w:rsidRPr="00B56FC0">
        <w:rPr>
          <w:b/>
          <w:color w:val="auto"/>
        </w:rPr>
        <w:t>Vite</w:t>
      </w:r>
      <w:r w:rsidRPr="00B56FC0">
        <w:rPr>
          <w:color w:val="auto"/>
        </w:rPr>
        <w:t xml:space="preserve"> development server mapping.</w:t>
      </w:r>
    </w:p>
    <w:p w14:paraId="71020FA4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 xml:space="preserve">Utilizes </w:t>
      </w:r>
      <w:r w:rsidRPr="00B56FC0">
        <w:rPr>
          <w:b/>
          <w:color w:val="auto"/>
        </w:rPr>
        <w:t>React Router DOM</w:t>
      </w:r>
      <w:r w:rsidRPr="00B56FC0">
        <w:rPr>
          <w:color w:val="auto"/>
        </w:rPr>
        <w:t xml:space="preserve"> with </w:t>
      </w:r>
      <w:r w:rsidRPr="00B56FC0">
        <w:rPr>
          <w:rFonts w:ascii="Consolas" w:hAnsi="Consolas"/>
          <w:color w:val="auto"/>
          <w:sz w:val="19"/>
        </w:rPr>
        <w:t>HashRouter</w:t>
      </w:r>
      <w:r w:rsidRPr="00B56FC0">
        <w:rPr>
          <w:color w:val="auto"/>
        </w:rPr>
        <w:t xml:space="preserve"> to prevent server-side fallback issues during static deployment.</w:t>
      </w:r>
    </w:p>
    <w:p w14:paraId="771F0774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Standardized component styling built with vanilla CSS featuring high-performance glassmorphism gradients and variable declarations.</w:t>
      </w:r>
    </w:p>
    <w:p w14:paraId="7C6DD729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 xml:space="preserve">Icon sets rendered via SVG using </w:t>
      </w:r>
      <w:r w:rsidRPr="00B56FC0">
        <w:rPr>
          <w:b/>
          <w:color w:val="auto"/>
        </w:rPr>
        <w:t>Lucide React</w:t>
      </w:r>
      <w:r w:rsidRPr="00B56FC0">
        <w:rPr>
          <w:color w:val="auto"/>
        </w:rPr>
        <w:t>.</w:t>
      </w:r>
    </w:p>
    <w:p w14:paraId="1CE44100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2.5.2. Back-end Architecture</w:t>
      </w:r>
    </w:p>
    <w:p w14:paraId="7B9E4F46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 xml:space="preserve">Run on </w:t>
      </w:r>
      <w:r w:rsidRPr="00B56FC0">
        <w:rPr>
          <w:b/>
          <w:color w:val="auto"/>
        </w:rPr>
        <w:t>Node.js</w:t>
      </w:r>
      <w:r w:rsidRPr="00B56FC0">
        <w:rPr>
          <w:color w:val="auto"/>
        </w:rPr>
        <w:t xml:space="preserve"> using the </w:t>
      </w:r>
      <w:r w:rsidRPr="00B56FC0">
        <w:rPr>
          <w:b/>
          <w:color w:val="auto"/>
        </w:rPr>
        <w:t>Express</w:t>
      </w:r>
      <w:r w:rsidRPr="00B56FC0">
        <w:rPr>
          <w:color w:val="auto"/>
        </w:rPr>
        <w:t xml:space="preserve"> framework.</w:t>
      </w:r>
    </w:p>
    <w:p w14:paraId="03542C11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 xml:space="preserve">Connection to </w:t>
      </w:r>
      <w:r w:rsidRPr="00B56FC0">
        <w:rPr>
          <w:b/>
          <w:color w:val="auto"/>
        </w:rPr>
        <w:t>MongoDB Atlas</w:t>
      </w:r>
      <w:r w:rsidRPr="00B56FC0">
        <w:rPr>
          <w:color w:val="auto"/>
        </w:rPr>
        <w:t xml:space="preserve"> database via </w:t>
      </w:r>
      <w:r w:rsidRPr="00B56FC0">
        <w:rPr>
          <w:b/>
          <w:color w:val="auto"/>
        </w:rPr>
        <w:t>Mongoose ORM</w:t>
      </w:r>
      <w:r w:rsidRPr="00B56FC0">
        <w:rPr>
          <w:color w:val="auto"/>
        </w:rPr>
        <w:t>.</w:t>
      </w:r>
    </w:p>
    <w:p w14:paraId="4F2B3090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 xml:space="preserve">State validation, cryptographical signing, and auth tokens managed via </w:t>
      </w:r>
      <w:r w:rsidRPr="00B56FC0">
        <w:rPr>
          <w:b/>
          <w:color w:val="auto"/>
        </w:rPr>
        <w:t>bcryptjs</w:t>
      </w:r>
      <w:r w:rsidRPr="00B56FC0">
        <w:rPr>
          <w:color w:val="auto"/>
        </w:rPr>
        <w:t xml:space="preserve"> and </w:t>
      </w:r>
      <w:r w:rsidRPr="00B56FC0">
        <w:rPr>
          <w:b/>
          <w:color w:val="auto"/>
        </w:rPr>
        <w:t>jsonwebtoken</w:t>
      </w:r>
      <w:r w:rsidRPr="00B56FC0">
        <w:rPr>
          <w:color w:val="auto"/>
        </w:rPr>
        <w:t>.</w:t>
      </w:r>
    </w:p>
    <w:p w14:paraId="46F2DA7B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 xml:space="preserve">Two-factor generator checks handled securely in the backend route via </w:t>
      </w:r>
      <w:r w:rsidRPr="00B56FC0">
        <w:rPr>
          <w:rFonts w:ascii="Consolas" w:hAnsi="Consolas"/>
          <w:color w:val="auto"/>
          <w:sz w:val="19"/>
        </w:rPr>
        <w:t>totp-generator</w:t>
      </w:r>
      <w:r w:rsidRPr="00B56FC0">
        <w:rPr>
          <w:color w:val="auto"/>
        </w:rPr>
        <w:t>.</w:t>
      </w:r>
    </w:p>
    <w:p w14:paraId="6DB48D2D" w14:textId="77777777" w:rsidR="00FF0647" w:rsidRPr="00B56FC0" w:rsidRDefault="00FF0647">
      <w:pPr>
        <w:spacing w:after="240"/>
        <w:rPr>
          <w:color w:val="auto"/>
        </w:rPr>
      </w:pPr>
    </w:p>
    <w:p w14:paraId="4298F826" w14:textId="77777777" w:rsidR="00FF0647" w:rsidRPr="00B56FC0" w:rsidRDefault="00000000">
      <w:pPr>
        <w:spacing w:before="280"/>
        <w:rPr>
          <w:color w:val="auto"/>
        </w:rPr>
      </w:pPr>
      <w:r w:rsidRPr="00B56FC0">
        <w:rPr>
          <w:b/>
          <w:color w:val="auto"/>
          <w:sz w:val="30"/>
        </w:rPr>
        <w:t>2.6. System Attributes</w:t>
      </w:r>
    </w:p>
    <w:p w14:paraId="0174ACF0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2.6.1. Security</w:t>
      </w:r>
    </w:p>
    <w:p w14:paraId="741B3293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2FA Enforcement</w:t>
      </w:r>
      <w:r w:rsidRPr="00B56FC0">
        <w:rPr>
          <w:color w:val="auto"/>
        </w:rPr>
        <w:t>: Mandatory TOTP security verification prevents identity theft on accounts.</w:t>
      </w:r>
    </w:p>
    <w:p w14:paraId="527024DE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JWT Authentication</w:t>
      </w:r>
      <w:r w:rsidRPr="00B56FC0">
        <w:rPr>
          <w:color w:val="auto"/>
        </w:rPr>
        <w:t>: Secure REST endpoints verified using HTTP Bearer headers.</w:t>
      </w:r>
    </w:p>
    <w:p w14:paraId="33433A95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Password Hashing</w:t>
      </w:r>
      <w:r w:rsidRPr="00B56FC0">
        <w:rPr>
          <w:color w:val="auto"/>
        </w:rPr>
        <w:t>: Bcrypt salt generation rounds set to 10.</w:t>
      </w:r>
    </w:p>
    <w:p w14:paraId="352B291E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Auto-Logout Security</w:t>
      </w:r>
      <w:r w:rsidRPr="00B56FC0">
        <w:rPr>
          <w:color w:val="auto"/>
        </w:rPr>
        <w:t>: Automatic 60-second inactivity session cleanup.</w:t>
      </w:r>
    </w:p>
    <w:p w14:paraId="53D52636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2.6.2. Reliability &amp; Availability</w:t>
      </w:r>
    </w:p>
    <w:p w14:paraId="3327B5F1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Health Route Check</w:t>
      </w:r>
      <w:r w:rsidRPr="00B56FC0">
        <w:rPr>
          <w:color w:val="auto"/>
        </w:rPr>
        <w:t xml:space="preserve">: </w:t>
      </w:r>
      <w:r w:rsidRPr="00B56FC0">
        <w:rPr>
          <w:rFonts w:ascii="Consolas" w:hAnsi="Consolas"/>
          <w:color w:val="auto"/>
          <w:sz w:val="19"/>
        </w:rPr>
        <w:t>/health</w:t>
      </w:r>
      <w:r w:rsidRPr="00B56FC0">
        <w:rPr>
          <w:color w:val="auto"/>
        </w:rPr>
        <w:t xml:space="preserve"> endpoint exposes DB connectivity state to service managers.</w:t>
      </w:r>
    </w:p>
    <w:p w14:paraId="157BAD9A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b/>
          <w:color w:val="auto"/>
        </w:rPr>
        <w:t>Background Sync Checking</w:t>
      </w:r>
      <w:r w:rsidRPr="00B56FC0">
        <w:rPr>
          <w:color w:val="auto"/>
        </w:rPr>
        <w:t>: The client runs a background polling daemon (every 6 seconds for changes and 5 seconds for workflow lists) to maintain synchronization with MongoDB.</w:t>
      </w:r>
    </w:p>
    <w:p w14:paraId="45AB86B7" w14:textId="77777777" w:rsidR="004F59DF" w:rsidRPr="00B56FC0" w:rsidRDefault="004F59DF" w:rsidP="004F59DF">
      <w:pPr>
        <w:pStyle w:val="ListBullet"/>
        <w:numPr>
          <w:ilvl w:val="0"/>
          <w:numId w:val="0"/>
        </w:numPr>
        <w:spacing w:after="60"/>
        <w:ind w:left="360" w:hanging="360"/>
        <w:rPr>
          <w:color w:val="auto"/>
        </w:rPr>
      </w:pPr>
    </w:p>
    <w:p w14:paraId="41880D2B" w14:textId="77777777" w:rsidR="004F59DF" w:rsidRPr="00B56FC0" w:rsidRDefault="004F59DF" w:rsidP="004F59DF">
      <w:pPr>
        <w:pStyle w:val="ListBullet"/>
        <w:numPr>
          <w:ilvl w:val="0"/>
          <w:numId w:val="0"/>
        </w:numPr>
        <w:spacing w:after="60"/>
        <w:ind w:left="360" w:hanging="360"/>
        <w:rPr>
          <w:color w:val="auto"/>
        </w:rPr>
      </w:pPr>
    </w:p>
    <w:p w14:paraId="68D5DBB5" w14:textId="77777777" w:rsidR="004F59DF" w:rsidRPr="00B56FC0" w:rsidRDefault="004F59DF" w:rsidP="004F59DF">
      <w:pPr>
        <w:pStyle w:val="ListBullet"/>
        <w:numPr>
          <w:ilvl w:val="0"/>
          <w:numId w:val="0"/>
        </w:numPr>
        <w:spacing w:after="60"/>
        <w:ind w:left="360" w:hanging="360"/>
        <w:rPr>
          <w:color w:val="auto"/>
        </w:rPr>
      </w:pPr>
    </w:p>
    <w:p w14:paraId="44BFB89F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lastRenderedPageBreak/>
        <w:t>2.6.3. Usability</w:t>
      </w:r>
    </w:p>
    <w:p w14:paraId="0A1A9723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Responsive design grid accommodates standard tablet screens and desktop monitors.</w:t>
      </w:r>
    </w:p>
    <w:p w14:paraId="3924D85B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>Supports accessibility font sizing and a low-glare dark mode option.</w:t>
      </w:r>
    </w:p>
    <w:p w14:paraId="558CEF34" w14:textId="77777777" w:rsidR="00FF0647" w:rsidRPr="00B56FC0" w:rsidRDefault="00FF0647">
      <w:pPr>
        <w:spacing w:after="240"/>
        <w:rPr>
          <w:color w:val="auto"/>
        </w:rPr>
      </w:pPr>
    </w:p>
    <w:p w14:paraId="1AC1770F" w14:textId="77777777" w:rsidR="00FF0647" w:rsidRPr="00B56FC0" w:rsidRDefault="00000000">
      <w:pPr>
        <w:spacing w:before="280"/>
        <w:rPr>
          <w:color w:val="auto"/>
        </w:rPr>
      </w:pPr>
      <w:r w:rsidRPr="00B56FC0">
        <w:rPr>
          <w:b/>
          <w:color w:val="auto"/>
          <w:sz w:val="30"/>
        </w:rPr>
        <w:t>2.7. Other Requirements</w:t>
      </w:r>
    </w:p>
    <w:p w14:paraId="0B0133C6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2.7.1. Database Schema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FF0647" w:rsidRPr="00B56FC0" w14:paraId="56F0D86D" w14:textId="77777777">
        <w:trPr>
          <w:jc w:val="center"/>
        </w:trPr>
        <w:tc>
          <w:tcPr>
            <w:tcW w:w="90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82BE4AF" w14:textId="77777777" w:rsidR="00FF0647" w:rsidRPr="00B56FC0" w:rsidRDefault="00000000">
            <w:pPr>
              <w:spacing w:after="0" w:line="240" w:lineRule="auto"/>
              <w:rPr>
                <w:color w:val="auto"/>
              </w:rPr>
            </w:pPr>
            <w:r w:rsidRPr="00B56FC0">
              <w:rPr>
                <w:rFonts w:ascii="Consolas" w:hAnsi="Consolas"/>
                <w:color w:val="auto"/>
                <w:sz w:val="18"/>
              </w:rPr>
              <w:t>// User Schema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>const UserSchema = new mongoose.Schema({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username: { type: String, required: true, unique: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password: { type: String,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email: { type: String,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role: { type: String, required: true, enum: ['System Administrator', 'Ship Agent Account', 'Port Authority Node', 'Customs Department', 'Health Department']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status: { type: String, required: true, enum: ['pending', 'approved', 'rejected'], default: 'pending'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twoFactorSecret: { type: String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is2FAEnabled: { type: Boolean, default: true }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>});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>// Vessel Schema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>const VesselSchema = new mongoose.Schema({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name: { type: String,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imoNumber: { type: String,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flagState: { type: String,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vesselType: { type: String,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ownerDetails: { type: String,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grt: { type: Number, required: false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nrt: { type: Number, required: false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userId: { type: String, required: false }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>});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>// Journey Schema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>const JourneySchema = new mongoose.Schema({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vessel: { type: Object,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lastPortOfCall: { type: String,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eta: { type: Date,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etd: { type: Date,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status: { type: String, default: 'In Progress'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clearances: {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    customs: { type: String, default: 'Pending'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    health: { type: String, default: 'Pending'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    traffic: { type: String, default: 'Pending' }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notes: {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    customs: { type: String, default: ''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    health: { type: String, default: ''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    traffic: { type: String, default: '' }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documents: [{ type: String }],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captainName: { type: String, default: ''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destinationPort: { type: String, default: ''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cargoType: { type: String, default: 'BALLAST'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crewCount: { type: Number, default: 0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passengerCount: { type: Number, default: 0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ilhReceiptNo: { type: String, default: ''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ilhPaidDate: { type: Date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ilhAmount: { type: Number, default: 0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ilhValidFrom: { type: Date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ilhValidTo: { type: Date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</w:r>
            <w:r w:rsidRPr="00B56FC0">
              <w:rPr>
                <w:rFonts w:ascii="Consolas" w:hAnsi="Consolas"/>
                <w:color w:val="auto"/>
                <w:sz w:val="18"/>
              </w:rPr>
              <w:lastRenderedPageBreak/>
              <w:t xml:space="preserve">    healthCertificateNo: { type: String, default: ''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healthClearanceDate: { type: Date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portClearanceNo: { type: String, default: ''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</w:t>
            </w:r>
            <w:proofErr w:type="spellStart"/>
            <w:r w:rsidRPr="00B56FC0">
              <w:rPr>
                <w:rFonts w:ascii="Consolas" w:hAnsi="Consolas"/>
                <w:color w:val="auto"/>
                <w:sz w:val="18"/>
              </w:rPr>
              <w:t>portClearanceDate</w:t>
            </w:r>
            <w:proofErr w:type="spellEnd"/>
            <w:r w:rsidRPr="00B56FC0">
              <w:rPr>
                <w:rFonts w:ascii="Consolas" w:hAnsi="Consolas"/>
                <w:color w:val="auto"/>
                <w:sz w:val="18"/>
              </w:rPr>
              <w:t>: { type: Date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userId: { type: String, required: false }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>});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>// Audit Trail Schema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>const AuditTrailSchema = new mongoose.Schema({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timestamp: { type: Date, default: Date.now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user: { type: String, required: true },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 xml:space="preserve">    action: { type: String, required: true }</w:t>
            </w:r>
            <w:r w:rsidRPr="00B56FC0">
              <w:rPr>
                <w:rFonts w:ascii="Consolas" w:hAnsi="Consolas"/>
                <w:color w:val="auto"/>
                <w:sz w:val="18"/>
              </w:rPr>
              <w:br/>
              <w:t>});</w:t>
            </w:r>
          </w:p>
        </w:tc>
      </w:tr>
    </w:tbl>
    <w:p w14:paraId="70ABB90B" w14:textId="77777777" w:rsidR="00FF0647" w:rsidRPr="00B56FC0" w:rsidRDefault="00FF0647">
      <w:pPr>
        <w:spacing w:line="240" w:lineRule="auto"/>
        <w:rPr>
          <w:color w:val="auto"/>
        </w:rPr>
      </w:pPr>
    </w:p>
    <w:p w14:paraId="06E6C6F9" w14:textId="77777777" w:rsidR="00FF0647" w:rsidRPr="00B56FC0" w:rsidRDefault="00000000">
      <w:pPr>
        <w:spacing w:before="240" w:after="80"/>
        <w:rPr>
          <w:color w:val="auto"/>
        </w:rPr>
      </w:pPr>
      <w:r w:rsidRPr="00B56FC0">
        <w:rPr>
          <w:b/>
          <w:color w:val="auto"/>
          <w:sz w:val="25"/>
        </w:rPr>
        <w:t>2.7.2. Deployment</w:t>
      </w:r>
    </w:p>
    <w:p w14:paraId="5E6BE831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 xml:space="preserve">Front-end: Static distribution build optimized via </w:t>
      </w:r>
      <w:r w:rsidRPr="00B56FC0">
        <w:rPr>
          <w:rFonts w:ascii="Consolas" w:hAnsi="Consolas"/>
          <w:color w:val="auto"/>
          <w:sz w:val="19"/>
        </w:rPr>
        <w:t>vite build</w:t>
      </w:r>
      <w:r w:rsidRPr="00B56FC0">
        <w:rPr>
          <w:color w:val="auto"/>
        </w:rPr>
        <w:t>, served through the backend server as static middleware.</w:t>
      </w:r>
    </w:p>
    <w:p w14:paraId="6CB7804E" w14:textId="77777777" w:rsidR="00FF0647" w:rsidRPr="00B56FC0" w:rsidRDefault="00000000">
      <w:pPr>
        <w:pStyle w:val="ListBullet"/>
        <w:spacing w:after="60"/>
        <w:rPr>
          <w:color w:val="auto"/>
        </w:rPr>
      </w:pPr>
      <w:r w:rsidRPr="00B56FC0">
        <w:rPr>
          <w:color w:val="auto"/>
        </w:rPr>
        <w:t xml:space="preserve">Back-end: Run using environment variables configuring </w:t>
      </w:r>
      <w:r w:rsidRPr="00B56FC0">
        <w:rPr>
          <w:rFonts w:ascii="Consolas" w:hAnsi="Consolas"/>
          <w:color w:val="auto"/>
          <w:sz w:val="19"/>
        </w:rPr>
        <w:t>PORT</w:t>
      </w:r>
      <w:r w:rsidRPr="00B56FC0">
        <w:rPr>
          <w:color w:val="auto"/>
        </w:rPr>
        <w:t xml:space="preserve">, </w:t>
      </w:r>
      <w:r w:rsidRPr="00B56FC0">
        <w:rPr>
          <w:rFonts w:ascii="Consolas" w:hAnsi="Consolas"/>
          <w:color w:val="auto"/>
          <w:sz w:val="19"/>
        </w:rPr>
        <w:t>JWT_SECRET</w:t>
      </w:r>
      <w:r w:rsidRPr="00B56FC0">
        <w:rPr>
          <w:color w:val="auto"/>
        </w:rPr>
        <w:t xml:space="preserve">, and </w:t>
      </w:r>
      <w:r w:rsidRPr="00B56FC0">
        <w:rPr>
          <w:rFonts w:ascii="Consolas" w:hAnsi="Consolas"/>
          <w:color w:val="auto"/>
          <w:sz w:val="19"/>
        </w:rPr>
        <w:t>MONGODB_URI</w:t>
      </w:r>
      <w:r w:rsidRPr="00B56FC0">
        <w:rPr>
          <w:color w:val="auto"/>
        </w:rPr>
        <w:t>.</w:t>
      </w:r>
    </w:p>
    <w:sectPr w:rsidR="00FF0647" w:rsidRPr="00B56FC0" w:rsidSect="00034616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3E6A" w14:textId="77777777" w:rsidR="00F53D3E" w:rsidRDefault="00F53D3E">
      <w:pPr>
        <w:spacing w:after="0" w:line="240" w:lineRule="auto"/>
      </w:pPr>
      <w:r>
        <w:separator/>
      </w:r>
    </w:p>
  </w:endnote>
  <w:endnote w:type="continuationSeparator" w:id="0">
    <w:p w14:paraId="36E3D852" w14:textId="77777777" w:rsidR="00F53D3E" w:rsidRDefault="00F53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908AC" w14:textId="1E3A6EAD" w:rsidR="00FF0647" w:rsidRDefault="00617842" w:rsidP="00617842">
    <w:pPr>
      <w:pStyle w:val="Footer"/>
      <w:jc w:val="center"/>
    </w:pPr>
    <w:r>
      <w:rPr>
        <w:color w:val="64748B"/>
        <w:sz w:val="17"/>
      </w:rPr>
      <w:t>St. Agnes College (Autonomous) – Mangalore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BFF2" w14:textId="77777777" w:rsidR="00F53D3E" w:rsidRDefault="00F53D3E">
      <w:pPr>
        <w:spacing w:after="0" w:line="240" w:lineRule="auto"/>
      </w:pPr>
      <w:r>
        <w:separator/>
      </w:r>
    </w:p>
  </w:footnote>
  <w:footnote w:type="continuationSeparator" w:id="0">
    <w:p w14:paraId="131397E9" w14:textId="77777777" w:rsidR="00F53D3E" w:rsidRDefault="00F53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B32C1" w14:textId="05C32BBA" w:rsidR="00FF0647" w:rsidRDefault="00617842">
    <w:pPr>
      <w:pStyle w:val="Header"/>
      <w:jc w:val="right"/>
    </w:pPr>
    <w:r>
      <w:rPr>
        <w:color w:val="64748B"/>
        <w:sz w:val="17"/>
      </w:rPr>
      <w:t xml:space="preserve">Digital </w:t>
    </w:r>
    <w:r>
      <w:rPr>
        <w:color w:val="64748B"/>
        <w:sz w:val="17"/>
      </w:rPr>
      <w:t>Port</w:t>
    </w:r>
    <w:r>
      <w:rPr>
        <w:color w:val="64748B"/>
        <w:sz w:val="17"/>
      </w:rPr>
      <w:t xml:space="preserve"> clearance</w:t>
    </w:r>
    <w:r w:rsidR="00000000">
      <w:rPr>
        <w:color w:val="64748B"/>
        <w:sz w:val="17"/>
      </w:rPr>
      <w:t xml:space="preserve"> System — SRS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361881">
    <w:abstractNumId w:val="8"/>
  </w:num>
  <w:num w:numId="2" w16cid:durableId="126970324">
    <w:abstractNumId w:val="6"/>
  </w:num>
  <w:num w:numId="3" w16cid:durableId="1241787598">
    <w:abstractNumId w:val="5"/>
  </w:num>
  <w:num w:numId="4" w16cid:durableId="2030451770">
    <w:abstractNumId w:val="4"/>
  </w:num>
  <w:num w:numId="5" w16cid:durableId="382557730">
    <w:abstractNumId w:val="7"/>
  </w:num>
  <w:num w:numId="6" w16cid:durableId="1572036659">
    <w:abstractNumId w:val="3"/>
  </w:num>
  <w:num w:numId="7" w16cid:durableId="1006443013">
    <w:abstractNumId w:val="2"/>
  </w:num>
  <w:num w:numId="8" w16cid:durableId="304892092">
    <w:abstractNumId w:val="1"/>
  </w:num>
  <w:num w:numId="9" w16cid:durableId="62462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4AF"/>
    <w:rsid w:val="0029639D"/>
    <w:rsid w:val="00326F90"/>
    <w:rsid w:val="003E3EBA"/>
    <w:rsid w:val="00436923"/>
    <w:rsid w:val="004F59DF"/>
    <w:rsid w:val="00617842"/>
    <w:rsid w:val="008F37EF"/>
    <w:rsid w:val="00AA1D8D"/>
    <w:rsid w:val="00AE1509"/>
    <w:rsid w:val="00B47730"/>
    <w:rsid w:val="00B5398E"/>
    <w:rsid w:val="00B56FC0"/>
    <w:rsid w:val="00CB0664"/>
    <w:rsid w:val="00DE4130"/>
    <w:rsid w:val="00F53D3E"/>
    <w:rsid w:val="00FC693F"/>
    <w:rsid w:val="00FF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57031"/>
  <w14:defaultImageDpi w14:val="300"/>
  <w15:docId w15:val="{5630B8D5-7793-40FC-A1B3-1ED81A4DA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Nishanth Poojary</cp:lastModifiedBy>
  <cp:revision>14</cp:revision>
  <cp:lastPrinted>2026-06-01T17:12:00Z</cp:lastPrinted>
  <dcterms:created xsi:type="dcterms:W3CDTF">2013-12-23T23:15:00Z</dcterms:created>
  <dcterms:modified xsi:type="dcterms:W3CDTF">2026-06-01T17:25:00Z</dcterms:modified>
  <cp:category/>
</cp:coreProperties>
</file>