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5F"/>
          <w:sz w:val="40"/>
          <w:szCs w:val="40"/>
        </w:rPr>
        <w:t xml:space="preserve">NHAI Karnataka Road Accountability Tracker</w:t>
      </w:r>
    </w:p>
    <w:p>
      <w:pPr>
        <w:spacing w:after="40"/>
      </w:pPr>
      <w:r>
        <w:rPr>
          <w:rFonts w:ascii="Calibri" w:cs="Calibri" w:eastAsia="Calibri" w:hAnsi="Calibri"/>
          <w:i/>
          <w:iCs/>
          <w:color w:val="555555"/>
          <w:sz w:val="24"/>
          <w:szCs w:val="24"/>
        </w:rPr>
        <w:t xml:space="preserve">Database Schema Design v3 — Snapshot / Canonical Split</w:t>
      </w:r>
    </w:p>
    <w:p>
      <w:pPr>
        <w:spacing w:after="400"/>
      </w:pPr>
      <w:r>
        <w:rPr>
          <w:rFonts w:ascii="Calibri" w:cs="Calibri" w:eastAsia="Calibri" w:hAnsi="Calibri"/>
          <w:color w:val="777777"/>
          <w:sz w:val="20"/>
          <w:szCs w:val="20"/>
        </w:rPr>
        <w:t xml:space="preserve">Covers all four NHAI MIS source reports (Under Implementation, Completed &amp; PCC/PCOD Issued, Awarded But Not Started, Balance For Award) and is designed to survive recurring monthly re-ingestion and eventual nationwide scope, not just a one-time merge.</w:t>
      </w:r>
    </w:p>
    <w:p>
      <w:pPr>
        <w:pStyle w:val="Heading1"/>
        <w:spacing w:after="160" w:before="320"/>
      </w:pPr>
      <w:r>
        <w:t xml:space="preserve">1. What Changed From v2, And Why</w:t>
      </w:r>
    </w:p>
    <w:p>
      <w:pPr>
        <w:spacing w:after="160"/>
      </w:pPr>
      <w:r>
        <w:rPr>
          <w:rFonts w:ascii="Calibri" w:cs="Calibri" w:eastAsia="Calibri" w:hAnsi="Calibri"/>
          <w:sz w:val="22"/>
          <w:szCs w:val="22"/>
        </w:rPr>
        <w:t xml:space="preserve">Schema v2 solved the problem of ingesting four differently-shaped source documents into one consistent structure. It did not solve a different problem: the same real-world highway project can appear across multiple monthly snapshots, in different pipeline stages, under a different Sr. No. each time. Left as-is, v2 would treat every monthly re-ingestion as a set of brand new projects, permanently fragmenting a project's history across disconnected rows the moment the project moves from, say, Balance For Award to Awarded But Not Started.</w:t>
      </w:r>
    </w:p>
    <w:p>
      <w:pPr>
        <w:spacing w:after="160"/>
      </w:pPr>
      <w:r>
        <w:rPr>
          <w:rFonts w:ascii="Calibri" w:cs="Calibri" w:eastAsia="Calibri" w:hAnsi="Calibri"/>
          <w:sz w:val="22"/>
          <w:szCs w:val="22"/>
        </w:rPr>
        <w:t xml:space="preserve">v3 does not discard v2. Every table from v2 — entities, project_entities, project_nh_numbers, modes, project_quality_flags, project_states — is retained exactly as designed. What changes is the role of the old “projects” table: it is renamed project_snapshots and demoted from “the project” to “one dated record of what a source document said about a project.” A new layer sits above it to represent the project itself, independent of any single document.</w:t>
      </w:r>
    </w:p>
    <w:p>
      <w:pPr>
        <w:pBdr>
          <w:left w:val="single" w:color="1F4E5F" w:sz="24" w:space="8"/>
        </w:pBdr>
        <w:shd w:fill="EDF3F5" w:val="clear"/>
        <w:spacing w:after="200" w:before="120"/>
        <w:ind w:left="200" w:right="200"/>
      </w:pPr>
      <w:r>
        <w:rPr>
          <w:rFonts w:ascii="Calibri" w:cs="Calibri" w:eastAsia="Calibri" w:hAnsi="Calibri"/>
          <w:i/>
          <w:iCs/>
          <w:color w:val="1F4E5F"/>
          <w:sz w:val="22"/>
          <w:szCs w:val="22"/>
        </w:rPr>
        <w:t xml:space="preserve">Guiding principle: a snapshot is immutable and never edited or merged — it is a permanent record of what a specific PDF said on a specific date. The canonical layer is the interpretation on top of it, and interpretations are allowed to be revised.</w:t>
      </w:r>
    </w:p>
    <w:p>
      <w:pPr>
        <w:pStyle w:val="Heading1"/>
        <w:spacing w:after="160" w:before="320"/>
      </w:pPr>
      <w:r>
        <w:t xml:space="preserve">2. The Two-Layer Model</w:t>
      </w:r>
    </w:p>
    <w:p>
      <w:pPr>
        <w:pStyle w:val="Heading2"/>
        <w:spacing w:after="120" w:before="260"/>
      </w:pPr>
      <w:r>
        <w:t xml:space="preserve">Layer 1 — project_snapshots (what a document said)</w:t>
      </w:r>
    </w:p>
    <w:p>
      <w:pPr>
        <w:spacing w:after="160"/>
      </w:pPr>
      <w:r>
        <w:rPr>
          <w:rFonts w:ascii="Calibri" w:cs="Calibri" w:eastAsia="Calibri" w:hAnsi="Calibri"/>
          <w:sz w:val="22"/>
          <w:szCs w:val="22"/>
        </w:rPr>
        <w:t xml:space="preserve">One row per (source document, Sr. No., snapshot date). Every monthly PDF pull adds new rows here; nothing already written is ever changed. This is the audit trail — the raw material every other table is built from.</w:t>
      </w:r>
    </w:p>
    <w:p>
      <w:pPr>
        <w:pStyle w:val="Heading2"/>
        <w:spacing w:after="120" w:before="260"/>
      </w:pPr>
      <w:r>
        <w:t xml:space="preserve">Layer 2 — canonical_projects (what we currently believe is true)</w:t>
      </w:r>
    </w:p>
    <w:p>
      <w:pPr>
        <w:spacing w:after="160"/>
      </w:pPr>
      <w:r>
        <w:rPr>
          <w:rFonts w:ascii="Calibri" w:cs="Calibri" w:eastAsia="Calibri" w:hAnsi="Calibri"/>
          <w:sz w:val="22"/>
          <w:szCs w:val="22"/>
        </w:rPr>
        <w:t xml:space="preserve">One row per real-world physical highway project. This is the table the public map and site actually query. It holds the current best-known status, corridor, NH numbers, and linked entities — derived from whichever snapshot is currently the most recent and trusted for that project.</w:t>
      </w:r>
    </w:p>
    <w:p>
      <w:pPr>
        <w:pStyle w:val="Heading2"/>
        <w:spacing w:after="120" w:before="260"/>
      </w:pPr>
      <w:r>
        <w:t xml:space="preserve">The link between them</w:t>
      </w:r>
    </w:p>
    <w:p>
      <w:pPr>
        <w:spacing w:after="160"/>
      </w:pPr>
      <w:r>
        <w:rPr>
          <w:rFonts w:ascii="Calibri" w:cs="Calibri" w:eastAsia="Calibri" w:hAnsi="Calibri"/>
          <w:sz w:val="22"/>
          <w:szCs w:val="22"/>
        </w:rPr>
        <w:t xml:space="preserve">Each snapshot carries a nullable canonical_project_id. A snapshot is linked to a canonical project either automatically (high-confidence match) or after manual review (medium-confidence match). An unlinked snapshot simply becomes a new canonical project.</w:t>
      </w:r>
    </w:p>
    <w:p>
      <w:pPr>
        <w:pStyle w:val="Heading1"/>
        <w:spacing w:after="160" w:before="320"/>
      </w:pPr>
      <w:r>
        <w:t xml:space="preserve">3. Matching Logic — How Snapshots Get Linked</w:t>
      </w:r>
    </w:p>
    <w:p>
      <w:pPr>
        <w:spacing w:after="160"/>
      </w:pPr>
      <w:r>
        <w:rPr>
          <w:rFonts w:ascii="Calibri" w:cs="Calibri" w:eastAsia="Calibri" w:hAnsi="Calibri"/>
          <w:sz w:val="22"/>
          <w:szCs w:val="22"/>
        </w:rPr>
        <w:t xml:space="preserve">The guiding rule mirrors every parsing decision made so far in this project: flag uncertainty rather than silently resolve it. A wrongful merge (declaring two different real projects the same one) is worse than a wrongful split (a harmless duplicate awaiting review) — a bad merge can hide a genuine delay or misattribute which contractor actually did the work. Bias toward caution.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250"/>
        <w:gridCol w:w="2500"/>
      </w:tblGrid>
      <w:tr>
        <w:tc>
          <w:tcPr>
            <w:tcW w:type="dxa" w:w="16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Confidence</w:t>
            </w:r>
          </w:p>
        </w:tc>
        <w:tc>
          <w:tcPr>
            <w:tcW w:type="dxa" w:w="525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Criteria</w:t>
            </w:r>
          </w:p>
        </w:tc>
        <w:tc>
          <w:tcPr>
            <w:tcW w:type="dxa" w:w="25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Action</w:t>
            </w:r>
          </w:p>
        </w:tc>
      </w:tr>
      <w:tr>
        <w:tc>
          <w:tcPr>
            <w:tcW w:type="dxa" w:w="16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High</w:t>
            </w:r>
          </w:p>
        </w:tc>
        <w:tc>
          <w:tcPr>
            <w:tcW w:type="dxa" w:w="5250"/>
            <w:tcMar>
              <w:top w:type="dxa" w:w="80"/>
              <w:left w:type="dxa" w:w="120"/>
              <w:bottom w:type="dxa" w:w="80"/>
              <w:right w:type="dxa" w:w="120"/>
            </w:tcMar>
          </w:tcPr>
          <w:p>
            <w:r>
              <w:rPr>
                <w:rFonts w:ascii="Calibri" w:cs="Calibri" w:eastAsia="Calibri" w:hAnsi="Calibri"/>
                <w:b w:val="false"/>
                <w:bCs w:val="false"/>
                <w:color w:val="1F1F1F"/>
                <w:sz w:val="19"/>
                <w:szCs w:val="19"/>
              </w:rPr>
              <w:t xml:space="preserve">Same state + same NH number(s) + chainage ranges overlapping by a large margin (e.g. &gt;70%)</w:t>
            </w:r>
          </w:p>
        </w:tc>
        <w:tc>
          <w:tcPr>
            <w:tcW w:type="dxa" w:w="2500"/>
            <w:tcMar>
              <w:top w:type="dxa" w:w="80"/>
              <w:left w:type="dxa" w:w="120"/>
              <w:bottom w:type="dxa" w:w="80"/>
              <w:right w:type="dxa" w:w="120"/>
            </w:tcMar>
          </w:tcPr>
          <w:p>
            <w:r>
              <w:rPr>
                <w:rFonts w:ascii="Calibri" w:cs="Calibri" w:eastAsia="Calibri" w:hAnsi="Calibri"/>
                <w:b w:val="false"/>
                <w:bCs w:val="false"/>
                <w:color w:val="1F1F1F"/>
                <w:sz w:val="19"/>
                <w:szCs w:val="19"/>
              </w:rPr>
              <w:t xml:space="preserve">Auto-link to canonical project</w:t>
            </w:r>
          </w:p>
        </w:tc>
      </w:tr>
      <w:tr>
        <w:tc>
          <w:tcPr>
            <w:tcW w:type="dxa" w:w="16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Medium</w:t>
            </w:r>
          </w:p>
        </w:tc>
        <w:tc>
          <w:tcPr>
            <w:tcW w:type="dxa" w:w="5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Same state + same NH, but chainage doesn't cleanly overlap, or corridor-name similarity is high while NH is absent/TBD on one side</w:t>
            </w:r>
          </w:p>
        </w:tc>
        <w:tc>
          <w:tcPr>
            <w:tcW w:type="dxa" w:w="25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Send to match_review_queue for manual confirmation</w:t>
            </w:r>
          </w:p>
        </w:tc>
      </w:tr>
      <w:tr>
        <w:tc>
          <w:tcPr>
            <w:tcW w:type="dxa" w:w="16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None</w:t>
            </w:r>
          </w:p>
        </w:tc>
        <w:tc>
          <w:tcPr>
            <w:tcW w:type="dxa" w:w="5250"/>
            <w:tcMar>
              <w:top w:type="dxa" w:w="80"/>
              <w:left w:type="dxa" w:w="120"/>
              <w:bottom w:type="dxa" w:w="80"/>
              <w:right w:type="dxa" w:w="120"/>
            </w:tcMar>
          </w:tcPr>
          <w:p>
            <w:r>
              <w:rPr>
                <w:rFonts w:ascii="Calibri" w:cs="Calibri" w:eastAsia="Calibri" w:hAnsi="Calibri"/>
                <w:b w:val="false"/>
                <w:bCs w:val="false"/>
                <w:color w:val="1F1F1F"/>
                <w:sz w:val="19"/>
                <w:szCs w:val="19"/>
              </w:rPr>
              <w:t xml:space="preserve">No plausible match found</w:t>
            </w:r>
          </w:p>
        </w:tc>
        <w:tc>
          <w:tcPr>
            <w:tcW w:type="dxa" w:w="2500"/>
            <w:tcMar>
              <w:top w:type="dxa" w:w="80"/>
              <w:left w:type="dxa" w:w="120"/>
              <w:bottom w:type="dxa" w:w="80"/>
              <w:right w:type="dxa" w:w="120"/>
            </w:tcMar>
          </w:tcPr>
          <w:p>
            <w:r>
              <w:rPr>
                <w:rFonts w:ascii="Calibri" w:cs="Calibri" w:eastAsia="Calibri" w:hAnsi="Calibri"/>
                <w:b w:val="false"/>
                <w:bCs w:val="false"/>
                <w:color w:val="1F1F1F"/>
                <w:sz w:val="19"/>
                <w:szCs w:val="19"/>
              </w:rPr>
              <w:t xml:space="preserve">Create a new canonical project</w:t>
            </w:r>
          </w:p>
        </w:tc>
      </w:tr>
    </w:tbl>
    <w:p>
      <w:pPr>
        <w:spacing w:after="160"/>
      </w:pPr>
      <w:r>
        <w:rPr>
          <w:rFonts w:ascii="Calibri" w:cs="Calibri" w:eastAsia="Calibri" w:hAnsi="Calibri"/>
          <w:sz w:val="22"/>
          <w:szCs w:val="22"/>
        </w:rPr>
        <w:t xml:space="preserve">Same-state filtering is a hard prerequisite before any name or NH-number comparison runs — not an optional refinement. NH-44 alone passes through Karnataka, Telangana, Tamil Nadu, and Uttar Pradesh; matching on NH number without a state filter first would start merging unrelated projects from opposite ends of the country the moment scope goes nationwide. project_states already provides this filter.</w:t>
      </w:r>
    </w:p>
    <w:p>
      <w:pPr>
        <w:pStyle w:val="Heading1"/>
        <w:spacing w:after="160" w:before="320"/>
      </w:pPr>
      <w:r>
        <w:t xml:space="preserve">4. Schema</w:t>
      </w:r>
    </w:p>
    <w:p>
      <w:pPr>
        <w:pStyle w:val="Heading2"/>
        <w:spacing w:after="120" w:before="260"/>
      </w:pPr>
      <w:r>
        <w:t xml:space="preserve">project_snapshots  (formerly ‘projects’ in v2 — all other v2 columns unchanged)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c>
          <w:tcPr>
            <w:tcW w:type="dxa" w:w="26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2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55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26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snapshot_key</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 PK</w:t>
            </w:r>
          </w:p>
        </w:tc>
        <w:tc>
          <w:tcPr>
            <w:tcW w:type="dxa" w:w="4550"/>
            <w:tcMar>
              <w:top w:type="dxa" w:w="80"/>
              <w:left w:type="dxa" w:w="120"/>
              <w:bottom w:type="dxa" w:w="80"/>
              <w:right w:type="dxa" w:w="120"/>
            </w:tcMar>
          </w:tcPr>
          <w:p>
            <w:r>
              <w:rPr>
                <w:rFonts w:ascii="Calibri" w:cs="Calibri" w:eastAsia="Calibri" w:hAnsi="Calibri"/>
                <w:b w:val="false"/>
                <w:bCs w:val="false"/>
                <w:color w:val="1F1F1F"/>
                <w:sz w:val="19"/>
                <w:szCs w:val="19"/>
              </w:rPr>
              <w:t xml:space="preserve">{DOCUMENT_CODE}-{sr_no}-{snapshot_date}, e.g. BAL-276-2026-08-01</w:t>
            </w:r>
          </w:p>
        </w:tc>
      </w:tr>
      <w:tr>
        <w:tc>
          <w:tcPr>
            <w:tcW w:type="dxa" w:w="26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sr_no_source</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INTEGER</w:t>
            </w:r>
          </w:p>
        </w:tc>
        <w:tc>
          <w:tcPr>
            <w:tcW w:type="dxa" w:w="45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Sr. No. as it appears in the source PDF for this snapshot</w:t>
            </w:r>
          </w:p>
        </w:tc>
      </w:tr>
      <w:tr>
        <w:tc>
          <w:tcPr>
            <w:tcW w:type="dxa" w:w="26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source_document</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550"/>
            <w:tcMar>
              <w:top w:type="dxa" w:w="80"/>
              <w:left w:type="dxa" w:w="120"/>
              <w:bottom w:type="dxa" w:w="80"/>
              <w:right w:type="dxa" w:w="120"/>
            </w:tcMar>
          </w:tcPr>
          <w:p>
            <w:r>
              <w:rPr>
                <w:rFonts w:ascii="Calibri" w:cs="Calibri" w:eastAsia="Calibri" w:hAnsi="Calibri"/>
                <w:b w:val="false"/>
                <w:bCs w:val="false"/>
                <w:color w:val="1F1F1F"/>
                <w:sz w:val="19"/>
                <w:szCs w:val="19"/>
              </w:rPr>
              <w:t xml:space="preserve">Source filename</w:t>
            </w:r>
          </w:p>
        </w:tc>
      </w:tr>
      <w:tr>
        <w:tc>
          <w:tcPr>
            <w:tcW w:type="dxa" w:w="26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snapshot_date</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DATE</w:t>
            </w:r>
          </w:p>
        </w:tc>
        <w:tc>
          <w:tcPr>
            <w:tcW w:type="dxa" w:w="45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The report's ‘Status as on’ date</w:t>
            </w:r>
          </w:p>
        </w:tc>
      </w:tr>
      <w:tr>
        <w:tc>
          <w:tcPr>
            <w:tcW w:type="dxa" w:w="26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status</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550"/>
            <w:tcMar>
              <w:top w:type="dxa" w:w="80"/>
              <w:left w:type="dxa" w:w="120"/>
              <w:bottom w:type="dxa" w:w="80"/>
              <w:right w:type="dxa" w:w="120"/>
            </w:tcMar>
          </w:tcPr>
          <w:p>
            <w:r>
              <w:rPr>
                <w:rFonts w:ascii="Calibri" w:cs="Calibri" w:eastAsia="Calibri" w:hAnsi="Calibri"/>
                <w:b w:val="false"/>
                <w:bCs w:val="false"/>
                <w:color w:val="1F1F1F"/>
                <w:sz w:val="19"/>
                <w:szCs w:val="19"/>
              </w:rPr>
              <w:t xml:space="preserve">Under Implementation | Completed &amp; PCC/PCOD Issued | Awarded But Not Started | Balance For Award</w:t>
            </w:r>
          </w:p>
        </w:tc>
      </w:tr>
      <w:tr>
        <w:tc>
          <w:tcPr>
            <w:tcW w:type="dxa" w:w="26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canonical_project_id</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TEXT FK, nullable</w:t>
            </w:r>
          </w:p>
        </w:tc>
        <w:tc>
          <w:tcPr>
            <w:tcW w:type="dxa" w:w="45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Set once matched — null means not yet linked / pending review</w:t>
            </w:r>
          </w:p>
        </w:tc>
      </w:tr>
      <w:tr>
        <w:tc>
          <w:tcPr>
            <w:tcW w:type="dxa" w:w="26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 all other columns unchanged from v2 )</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w:t>
            </w:r>
          </w:p>
        </w:tc>
        <w:tc>
          <w:tcPr>
            <w:tcW w:type="dxa" w:w="4550"/>
            <w:tcMar>
              <w:top w:type="dxa" w:w="80"/>
              <w:left w:type="dxa" w:w="120"/>
              <w:bottom w:type="dxa" w:w="80"/>
              <w:right w:type="dxa" w:w="120"/>
            </w:tcMar>
          </w:tcPr>
          <w:p>
            <w:r>
              <w:rPr>
                <w:rFonts w:ascii="Calibri" w:cs="Calibri" w:eastAsia="Calibri" w:hAnsi="Calibri"/>
                <w:b w:val="false"/>
                <w:bCs w:val="false"/>
                <w:color w:val="1F1F1F"/>
                <w:sz w:val="19"/>
                <w:szCs w:val="19"/>
              </w:rPr>
              <w:t xml:space="preserve">project_name_raw, corridor_name, total_length_km, chainage_start/end_km, loa_date_civil_work, appointed_date_contractor, total_awarded_cost_cr, mode_raw, is_concession, lanes fields, has_paved_shoulder, ingested_at</w:t>
            </w:r>
          </w:p>
        </w:tc>
      </w:tr>
    </w:tbl>
    <w:p>
      <w:pPr>
        <w:pStyle w:val="Heading2"/>
        <w:spacing w:after="120" w:before="260"/>
      </w:pPr>
      <w:r>
        <w:t xml:space="preserve">canonical_projects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50"/>
      </w:tblGrid>
      <w:tr>
        <w:tc>
          <w:tcPr>
            <w:tcW w:type="dxa" w:w="29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2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25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canonical_project_id</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 PK</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Stable identifier for the real-world project, independent of any document</w:t>
            </w:r>
          </w:p>
        </w:tc>
      </w:tr>
      <w:tr>
        <w:tc>
          <w:tcPr>
            <w:tcW w:type="dxa" w:w="29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current_status</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Copied forward from the most recent linked snapshot</w:t>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current_corridor_name</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Best-known corridor name</w:t>
            </w:r>
          </w:p>
        </w:tc>
      </w:tr>
      <w:tr>
        <w:tc>
          <w:tcPr>
            <w:tcW w:type="dxa" w:w="29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current_snapshot_key</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TEXT FK</w:t>
            </w:r>
          </w:p>
        </w:tc>
        <w:tc>
          <w:tcPr>
            <w:tcW w:type="dxa" w:w="4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Points to the most recent linked project_snapshots row</w:t>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first_seen_date</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DATE</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Earliest snapshot date linked to this project</w:t>
            </w:r>
          </w:p>
        </w:tc>
      </w:tr>
      <w:tr>
        <w:tc>
          <w:tcPr>
            <w:tcW w:type="dxa" w:w="29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last_seen_date</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DATE</w:t>
            </w:r>
          </w:p>
        </w:tc>
        <w:tc>
          <w:tcPr>
            <w:tcW w:type="dxa" w:w="4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Most recent snapshot date linked to this project</w:t>
            </w:r>
          </w:p>
        </w:tc>
      </w:tr>
    </w:tbl>
    <w:p>
      <w:pPr>
        <w:pStyle w:val="Heading2"/>
        <w:spacing w:after="120" w:before="260"/>
      </w:pPr>
      <w:r>
        <w:t xml:space="preserve">project_status_history</w:t>
      </w:r>
    </w:p>
    <w:p>
      <w:pPr>
        <w:spacing w:after="160"/>
      </w:pPr>
      <w:r>
        <w:rPr>
          <w:rFonts w:ascii="Calibri" w:cs="Calibri" w:eastAsia="Calibri" w:hAnsi="Calibri"/>
          <w:sz w:val="22"/>
          <w:szCs w:val="22"/>
        </w:rPr>
        <w:t xml:space="preserve">Produced automatically as a byproduct of linking — not extra work, and arguably the most valuable table in the whole schema for the tracker's actual public-accountability purpose. It answers questions like “how long did this project sit in Balance For Award before being awarded” or “has this project been stuck In Implementation past its expected 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50"/>
      </w:tblGrid>
      <w:tr>
        <w:tc>
          <w:tcPr>
            <w:tcW w:type="dxa" w:w="29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2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25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canonical_project_id</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 FK</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
            </w:r>
          </w:p>
        </w:tc>
      </w:tr>
      <w:tr>
        <w:tc>
          <w:tcPr>
            <w:tcW w:type="dxa" w:w="29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status</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source_document</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
            </w:r>
          </w:p>
        </w:tc>
      </w:tr>
      <w:tr>
        <w:tc>
          <w:tcPr>
            <w:tcW w:type="dxa" w:w="29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snapshot_date</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DATE</w:t>
            </w:r>
          </w:p>
        </w:tc>
        <w:tc>
          <w:tcPr>
            <w:tcW w:type="dxa" w:w="4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
            </w:r>
          </w:p>
        </w:tc>
      </w:tr>
    </w:tbl>
    <w:p>
      <w:pPr>
        <w:pStyle w:val="Heading2"/>
        <w:spacing w:after="120" w:before="260"/>
      </w:pPr>
      <w:r>
        <w:t xml:space="preserve">match_review_queue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50"/>
      </w:tblGrid>
      <w:tr>
        <w:tc>
          <w:tcPr>
            <w:tcW w:type="dxa" w:w="29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2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25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review_id</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INTEGER PK</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
            </w:r>
          </w:p>
        </w:tc>
      </w:tr>
      <w:tr>
        <w:tc>
          <w:tcPr>
            <w:tcW w:type="dxa" w:w="29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snapshot_key</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TEXT FK</w:t>
            </w:r>
          </w:p>
        </w:tc>
        <w:tc>
          <w:tcPr>
            <w:tcW w:type="dxa" w:w="4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The unlinked/uncertain snapshot</w:t>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candidate_canonical_project_id</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 FK</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Best-guess match, for human review</w:t>
            </w:r>
          </w:p>
        </w:tc>
      </w:tr>
      <w:tr>
        <w:tc>
          <w:tcPr>
            <w:tcW w:type="dxa" w:w="2900"/>
            <w:shd w:fill="F7F7F7" w:val="clear"/>
            <w:tcMar>
              <w:top w:type="dxa" w:w="80"/>
              <w:left w:type="dxa" w:w="120"/>
              <w:bottom w:type="dxa" w:w="80"/>
              <w:right w:type="dxa" w:w="120"/>
            </w:tcMar>
          </w:tcPr>
          <w:p>
            <w:r>
              <w:rPr>
                <w:rFonts w:ascii="Consolas" w:cs="Consolas" w:eastAsia="Consolas" w:hAnsi="Consolas"/>
                <w:b w:val="false"/>
                <w:bCs w:val="false"/>
                <w:color w:val="1F1F1F"/>
                <w:sz w:val="19"/>
                <w:szCs w:val="19"/>
              </w:rPr>
              <w:t xml:space="preserve">match_reason</w:t>
            </w:r>
          </w:p>
        </w:tc>
        <w:tc>
          <w:tcPr>
            <w:tcW w:type="dxa" w:w="220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250"/>
            <w:shd w:fill="F7F7F7" w:val="clear"/>
            <w:tcMar>
              <w:top w:type="dxa" w:w="80"/>
              <w:left w:type="dxa" w:w="120"/>
              <w:bottom w:type="dxa" w:w="80"/>
              <w:right w:type="dxa" w:w="120"/>
            </w:tcMar>
          </w:tcPr>
          <w:p>
            <w:r>
              <w:rPr>
                <w:rFonts w:ascii="Calibri" w:cs="Calibri" w:eastAsia="Calibri" w:hAnsi="Calibri"/>
                <w:b w:val="false"/>
                <w:bCs w:val="false"/>
                <w:color w:val="1F1F1F"/>
                <w:sz w:val="19"/>
                <w:szCs w:val="19"/>
              </w:rPr>
              <w:t xml:space="preserve">e.g. ‘corridor name similarity 0.86, NH missing on candidate’</w:t>
            </w:r>
          </w:p>
        </w:tc>
      </w:tr>
      <w:tr>
        <w:tc>
          <w:tcPr>
            <w:tcW w:type="dxa" w:w="2900"/>
            <w:tcMar>
              <w:top w:type="dxa" w:w="80"/>
              <w:left w:type="dxa" w:w="120"/>
              <w:bottom w:type="dxa" w:w="80"/>
              <w:right w:type="dxa" w:w="120"/>
            </w:tcMar>
          </w:tcPr>
          <w:p>
            <w:r>
              <w:rPr>
                <w:rFonts w:ascii="Consolas" w:cs="Consolas" w:eastAsia="Consolas" w:hAnsi="Consolas"/>
                <w:b w:val="false"/>
                <w:bCs w:val="false"/>
                <w:color w:val="1F1F1F"/>
                <w:sz w:val="19"/>
                <w:szCs w:val="19"/>
              </w:rPr>
              <w:t xml:space="preserve">resolution</w:t>
            </w:r>
          </w:p>
        </w:tc>
        <w:tc>
          <w:tcPr>
            <w:tcW w:type="dxa" w:w="2200"/>
            <w:tcMar>
              <w:top w:type="dxa" w:w="80"/>
              <w:left w:type="dxa" w:w="120"/>
              <w:bottom w:type="dxa" w:w="80"/>
              <w:right w:type="dxa" w:w="120"/>
            </w:tcMar>
          </w:tcPr>
          <w:p>
            <w:r>
              <w:rPr>
                <w:rFonts w:ascii="Calibri" w:cs="Calibri" w:eastAsia="Calibri" w:hAnsi="Calibri"/>
                <w:b w:val="false"/>
                <w:bCs w:val="false"/>
                <w:color w:val="1F1F1F"/>
                <w:sz w:val="19"/>
                <w:szCs w:val="19"/>
              </w:rPr>
              <w:t xml:space="preserve">TEXT</w:t>
            </w:r>
          </w:p>
        </w:tc>
        <w:tc>
          <w:tcPr>
            <w:tcW w:type="dxa" w:w="4250"/>
            <w:tcMar>
              <w:top w:type="dxa" w:w="80"/>
              <w:left w:type="dxa" w:w="120"/>
              <w:bottom w:type="dxa" w:w="80"/>
              <w:right w:type="dxa" w:w="120"/>
            </w:tcMar>
          </w:tcPr>
          <w:p>
            <w:r>
              <w:rPr>
                <w:rFonts w:ascii="Calibri" w:cs="Calibri" w:eastAsia="Calibri" w:hAnsi="Calibri"/>
                <w:b w:val="false"/>
                <w:bCs w:val="false"/>
                <w:color w:val="1F1F1F"/>
                <w:sz w:val="19"/>
                <w:szCs w:val="19"/>
              </w:rPr>
              <w:t xml:space="preserve">'confirmed' | 'rejected' | 'pending'</w:t>
            </w:r>
          </w:p>
        </w:tc>
      </w:tr>
    </w:tbl>
    <w:p>
      <w:pPr>
        <w:pStyle w:val="Heading2"/>
        <w:spacing w:after="120" w:before="260"/>
      </w:pPr>
      <w:r>
        <w:t xml:space="preserve">Unchanged from v2</w:t>
      </w:r>
    </w:p>
    <w:p>
      <w:pPr>
        <w:pStyle w:val="ListParagraph"/>
        <w:numPr>
          <w:ilvl w:val="0"/>
          <w:numId w:val="2"/>
        </w:numPr>
        <w:spacing w:after="80"/>
      </w:pPr>
      <w:r>
        <w:rPr>
          <w:rFonts w:ascii="Calibri" w:cs="Calibri" w:eastAsia="Calibri" w:hAnsi="Calibri"/>
          <w:sz w:val="22"/>
          <w:szCs w:val="22"/>
        </w:rPr>
        <w:t xml:space="preserve">entities, entity_aliases — contractor / concessionaire / dpr_consultant, with role on the junction</w:t>
      </w:r>
    </w:p>
    <w:p>
      <w:pPr>
        <w:pStyle w:val="ListParagraph"/>
        <w:numPr>
          <w:ilvl w:val="0"/>
          <w:numId w:val="2"/>
        </w:numPr>
        <w:spacing w:after="80"/>
      </w:pPr>
      <w:r>
        <w:rPr>
          <w:rFonts w:ascii="Calibri" w:cs="Calibri" w:eastAsia="Calibri" w:hAnsi="Calibri"/>
          <w:sz w:val="22"/>
          <w:szCs w:val="22"/>
        </w:rPr>
        <w:t xml:space="preserve">project_entities — now keyed against project_snapshots (or canonical_projects for current-state queries)</w:t>
      </w:r>
    </w:p>
    <w:p>
      <w:pPr>
        <w:pStyle w:val="ListParagraph"/>
        <w:numPr>
          <w:ilvl w:val="0"/>
          <w:numId w:val="2"/>
        </w:numPr>
        <w:spacing w:after="80"/>
      </w:pPr>
      <w:r>
        <w:rPr>
          <w:rFonts w:ascii="Calibri" w:cs="Calibri" w:eastAsia="Calibri" w:hAnsi="Calibri"/>
          <w:sz w:val="22"/>
          <w:szCs w:val="22"/>
        </w:rPr>
        <w:t xml:space="preserve">project_nh_numbers — multi-highway and State Highway handling</w:t>
      </w:r>
    </w:p>
    <w:p>
      <w:pPr>
        <w:pStyle w:val="ListParagraph"/>
        <w:numPr>
          <w:ilvl w:val="0"/>
          <w:numId w:val="2"/>
        </w:numPr>
        <w:spacing w:after="80"/>
      </w:pPr>
      <w:r>
        <w:rPr>
          <w:rFonts w:ascii="Calibri" w:cs="Calibri" w:eastAsia="Calibri" w:hAnsi="Calibri"/>
          <w:sz w:val="22"/>
          <w:szCs w:val="22"/>
        </w:rPr>
        <w:t xml:space="preserve">modes — insert-only lookup, not a hard enum</w:t>
      </w:r>
    </w:p>
    <w:p>
      <w:pPr>
        <w:pStyle w:val="ListParagraph"/>
        <w:numPr>
          <w:ilvl w:val="0"/>
          <w:numId w:val="2"/>
        </w:numPr>
        <w:spacing w:after="80"/>
      </w:pPr>
      <w:r>
        <w:rPr>
          <w:rFonts w:ascii="Calibri" w:cs="Calibri" w:eastAsia="Calibri" w:hAnsi="Calibri"/>
          <w:sz w:val="22"/>
          <w:szCs w:val="22"/>
        </w:rPr>
        <w:t xml:space="preserve">project_quality_flags — open-ended per-snapshot data-quality flags</w:t>
      </w:r>
    </w:p>
    <w:p>
      <w:pPr>
        <w:pStyle w:val="ListParagraph"/>
        <w:numPr>
          <w:ilvl w:val="0"/>
          <w:numId w:val="2"/>
        </w:numPr>
        <w:spacing w:after="80"/>
      </w:pPr>
      <w:r>
        <w:rPr>
          <w:rFonts w:ascii="Calibri" w:cs="Calibri" w:eastAsia="Calibri" w:hAnsi="Calibri"/>
          <w:sz w:val="22"/>
          <w:szCs w:val="22"/>
        </w:rPr>
        <w:t xml:space="preserve">project_states — multi-state junction, now also the hard filter for canonical matching</w:t>
      </w:r>
    </w:p>
    <w:p>
      <w:pPr>
        <w:pStyle w:val="ListParagraph"/>
        <w:numPr>
          <w:ilvl w:val="0"/>
          <w:numId w:val="2"/>
        </w:numPr>
        <w:spacing w:after="80"/>
      </w:pPr>
      <w:r>
        <w:rPr>
          <w:rFonts w:ascii="Calibri" w:cs="Calibri" w:eastAsia="Calibri" w:hAnsi="Calibri"/>
          <w:sz w:val="22"/>
          <w:szCs w:val="22"/>
        </w:rPr>
        <w:t xml:space="preserve">highway_geometry — cached OSM geometry per nh_number</w:t>
      </w:r>
    </w:p>
    <w:p>
      <w:pPr>
        <w:pStyle w:val="ListParagraph"/>
        <w:numPr>
          <w:ilvl w:val="0"/>
          <w:numId w:val="2"/>
        </w:numPr>
        <w:spacing w:after="80"/>
      </w:pPr>
      <w:r>
        <w:rPr>
          <w:rFonts w:ascii="Calibri" w:cs="Calibri" w:eastAsia="Calibri" w:hAnsi="Calibri"/>
          <w:sz w:val="22"/>
          <w:szCs w:val="22"/>
        </w:rPr>
        <w:t xml:space="preserve">engineers — reserved for RTI-sourced data, not yet populated</w:t>
      </w:r>
    </w:p>
    <w:p>
      <w:pPr>
        <w:pStyle w:val="Heading1"/>
        <w:spacing w:after="160" w:before="320"/>
      </w:pPr>
      <w:r>
        <w:t xml:space="preserve">5. What To Build Now vs. Later</w:t>
      </w:r>
    </w:p>
    <w:p>
      <w:pPr>
        <w:spacing w:after="160"/>
      </w:pPr>
      <w:r>
        <w:rPr>
          <w:rFonts w:ascii="Calibri" w:cs="Calibri" w:eastAsia="Calibri" w:hAnsi="Calibri"/>
          <w:sz w:val="22"/>
          <w:szCs w:val="22"/>
        </w:rPr>
        <w:t xml:space="preserve">There is only one snapshot per document today, so there is nothing yet to test a real matcher against — writing the matching algorithm now would be guesswork rather than engineering. What's worth doing immediately is locking this shape into schema.sql so the current four-document merge is built on it from the start, rather than retrofitting it under pressure at the first monthly re-ingestion:</w:t>
      </w:r>
    </w:p>
    <w:p>
      <w:pPr>
        <w:pStyle w:val="ListParagraph"/>
        <w:numPr>
          <w:ilvl w:val="0"/>
          <w:numId w:val="2"/>
        </w:numPr>
        <w:spacing w:after="80"/>
      </w:pPr>
      <w:r>
        <w:rPr>
          <w:rFonts w:ascii="Calibri" w:cs="Calibri" w:eastAsia="Calibri" w:hAnsi="Calibri"/>
          <w:sz w:val="22"/>
          <w:szCs w:val="22"/>
        </w:rPr>
        <w:t xml:space="preserve">Create project_snapshots, canonical_projects, project_status_history, and match_review_queue now, alongside the unchanged v2 tables.</w:t>
      </w:r>
    </w:p>
    <w:p>
      <w:pPr>
        <w:pStyle w:val="ListParagraph"/>
        <w:numPr>
          <w:ilvl w:val="0"/>
          <w:numId w:val="2"/>
        </w:numPr>
        <w:spacing w:after="80"/>
      </w:pPr>
      <w:r>
        <w:rPr>
          <w:rFonts w:ascii="Calibri" w:cs="Calibri" w:eastAsia="Calibri" w:hAnsi="Calibri"/>
          <w:sz w:val="22"/>
          <w:szCs w:val="22"/>
        </w:rPr>
        <w:t xml:space="preserve">For this initial merge, every snapshot can be linked 1:1 to a new canonical project automatically — all four documents share the same 01-Aug-2026 snapshot date, so no real matching decision exists yet.</w:t>
      </w:r>
    </w:p>
    <w:p>
      <w:pPr>
        <w:pStyle w:val="ListParagraph"/>
        <w:numPr>
          <w:ilvl w:val="0"/>
          <w:numId w:val="2"/>
        </w:numPr>
        <w:spacing w:after="80"/>
      </w:pPr>
      <w:r>
        <w:rPr>
          <w:rFonts w:ascii="Calibri" w:cs="Calibri" w:eastAsia="Calibri" w:hAnsi="Calibri"/>
          <w:sz w:val="22"/>
          <w:szCs w:val="22"/>
        </w:rPr>
        <w:t xml:space="preserve">Write the actual matching algorithm (chainage overlap %, corridor-name similarity via a library such as rapidfuzz) when the first genuine second snapshot arrives — a self-contained, testable piece of work against real duplicate/non-duplicate pairs, not theoretical ones.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2026-08-22T10:38:02.996Z</dcterms:created>
  <dcterms:modified xsi:type="dcterms:W3CDTF">2026-08-22T10:38:03.007Z</dcterms:modified>
</cp:coreProperties>
</file>

<file path=docProps/custom.xml><?xml version="1.0" encoding="utf-8"?>
<Properties xmlns="http://schemas.openxmlformats.org/officeDocument/2006/custom-properties" xmlns:vt="http://schemas.openxmlformats.org/officeDocument/2006/docPropsVTypes"/>
</file>