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7" w:lineRule="auto"/>
        <w:jc w:val="center"/>
        <w:rPr>
          <w:b w:val="1"/>
          <w:bCs w:val="1"/>
          <w:sz w:val="36"/>
          <w:szCs w:val="36"/>
        </w:rPr>
      </w:pPr>
      <w:r w:rsidDel="00000000" w:rsidR="00000000" w:rsidRPr="00000000">
        <w:rPr>
          <w:b w:val="1"/>
          <w:bCs w:val="1"/>
          <w:sz w:val="36"/>
          <w:szCs w:val="36"/>
          <w:rtl w:val="0"/>
        </w:rPr>
        <w:t xml:space="preserve">B.Tech. BCSE497J - Project-I</w:t>
      </w:r>
    </w:p>
    <w:p w:rsidR="00000000" w:rsidDel="00000000" w:rsidP="00000000" w:rsidRDefault="00000000" w:rsidRPr="00000000" w14:paraId="00000002">
      <w:pPr>
        <w:spacing w:before="57"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before="57" w:lineRule="auto"/>
        <w:jc w:val="center"/>
        <w:rPr>
          <w:b w:val="1"/>
          <w:bCs w:val="1"/>
          <w:sz w:val="36"/>
          <w:szCs w:val="36"/>
        </w:rPr>
      </w:pPr>
      <w:r>
        <w:rPr>
          <w:rFonts w:ascii="Times New Roman" w:hAnsi="Times New Roman"/>
          <w:b/>
          <w:sz w:val="32"/>
        </w:rPr>
        <w:t>SMART HEALTH RISK INDICATOR (SHRI): A BROWSER-NATIVE MULTIMODAL AI CLINICAL DECISION SUPPORT SYSTEM WITH UNCERTAINTY QUANTIFICATION AND EXPLAINABILITY</w:t>
      </w:r>
    </w:p>
    <w:p w:rsidR="00000000" w:rsidDel="00000000" w:rsidP="00000000" w:rsidRDefault="00000000" w:rsidRPr="00000000" w14:paraId="00000004">
      <w:pPr>
        <w:spacing w:before="57" w:lineRule="auto"/>
        <w:jc w:val="center"/>
        <w:rPr>
          <w:b w:val="1"/>
          <w:bCs w:val="1"/>
          <w:sz w:val="38"/>
          <w:szCs w:val="38"/>
        </w:rPr>
      </w:p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7">
      <w:pPr>
        <w:jc w:val="center"/>
        <w:rPr>
          <w:i w:val="1"/>
          <w:iCs w:val="1"/>
          <w:sz w:val="28"/>
          <w:szCs w:val="28"/>
        </w:rPr>
      </w:pPr>
      <w:r w:rsidDel="00000000" w:rsidR="00000000" w:rsidRPr="00000000">
        <w:rPr>
          <w:i w:val="1"/>
          <w:iCs w:val="1"/>
          <w:sz w:val="28"/>
          <w:szCs w:val="28"/>
          <w:rtl w:val="0"/>
        </w:rPr>
        <w:t xml:space="preserve">Submitted in partial fulfillment of the requirements for the degree of</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jc w:val="center"/>
        <w:rPr>
          <w:b w:val="1"/>
          <w:bCs w:val="1"/>
          <w:sz w:val="38"/>
          <w:szCs w:val="38"/>
        </w:rPr>
      </w:pPr>
      <w:r w:rsidDel="00000000" w:rsidR="00000000" w:rsidRPr="00000000">
        <w:rPr>
          <w:b w:val="1"/>
          <w:bCs w:val="1"/>
          <w:sz w:val="38"/>
          <w:szCs w:val="38"/>
          <w:rtl w:val="0"/>
        </w:rPr>
        <w:t xml:space="preserve">Bachelor of Technology</w:t>
      </w:r>
    </w:p>
    <w:p w:rsidR="00000000" w:rsidDel="00000000" w:rsidP="00000000" w:rsidRDefault="00000000" w:rsidRPr="00000000" w14:paraId="0000000A">
      <w:pPr>
        <w:jc w:val="center"/>
        <w:rPr>
          <w:b w:val="1"/>
          <w:bCs w:val="1"/>
          <w:sz w:val="12"/>
          <w:szCs w:val="12"/>
        </w:rPr>
      </w:pPr>
      <w:r w:rsidDel="00000000" w:rsidR="00000000" w:rsidRPr="00000000">
        <w:rPr>
          <w:rtl w:val="0"/>
        </w:rPr>
      </w:r>
    </w:p>
    <w:p w:rsidR="00000000" w:rsidDel="00000000" w:rsidP="00000000" w:rsidRDefault="00000000" w:rsidRPr="00000000" w14:paraId="0000000B">
      <w:pPr>
        <w:jc w:val="center"/>
        <w:rPr>
          <w:i w:val="1"/>
          <w:iCs w:val="1"/>
          <w:sz w:val="38"/>
          <w:szCs w:val="38"/>
        </w:rPr>
      </w:pPr>
      <w:r w:rsidDel="00000000" w:rsidR="00000000" w:rsidRPr="00000000">
        <w:rPr>
          <w:i w:val="1"/>
          <w:iCs w:val="1"/>
          <w:sz w:val="38"/>
          <w:szCs w:val="38"/>
          <w:rtl w:val="0"/>
        </w:rPr>
        <w:t xml:space="preserve">in</w:t>
      </w:r>
    </w:p>
    <w:p w:rsidR="00000000" w:rsidDel="00000000" w:rsidP="00000000" w:rsidRDefault="00000000" w:rsidRPr="00000000" w14:paraId="0000000C">
      <w:pPr>
        <w:tabs>
          <w:tab w:val="left" w:leader="none" w:pos="7455"/>
        </w:tabs>
        <w:rPr>
          <w:b w:val="1"/>
          <w:bCs w:val="1"/>
          <w:sz w:val="6"/>
          <w:szCs w:val="6"/>
        </w:rPr>
      </w:pPr>
      <w:r w:rsidDel="00000000" w:rsidR="00000000" w:rsidRPr="00000000">
        <w:rPr>
          <w:b w:val="1"/>
          <w:bCs w:val="1"/>
          <w:sz w:val="38"/>
          <w:szCs w:val="38"/>
          <w:rtl w:val="0"/>
        </w:rPr>
        <w:tab/>
      </w:r>
      <w:r w:rsidDel="00000000" w:rsidR="00000000" w:rsidRPr="00000000">
        <w:rPr>
          <w:rtl w:val="0"/>
        </w:rPr>
      </w:r>
    </w:p>
    <w:p w:rsidR="00000000" w:rsidDel="00000000" w:rsidP="00000000" w:rsidRDefault="00000000" w:rsidRPr="00000000" w14:paraId="0000000D">
      <w:pPr>
        <w:jc w:val="center"/>
        <w:rPr>
          <w:b w:val="1"/>
          <w:bCs w:val="1"/>
          <w:sz w:val="44"/>
          <w:szCs w:val="44"/>
        </w:rPr>
      </w:pPr>
      <w:r>
        <w:rPr>
          <w:rFonts w:ascii="Times New Roman" w:hAnsi="Times New Roman"/>
          <w:b/>
        </w:rPr>
        <w:t>Computer Science and Engineering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jc w:val="center"/>
        <w:rPr>
          <w:i w:val="1"/>
          <w:iCs w:val="1"/>
          <w:sz w:val="28"/>
          <w:szCs w:val="28"/>
        </w:rPr>
      </w:pPr>
      <w:r w:rsidDel="00000000" w:rsidR="00000000" w:rsidRPr="00000000">
        <w:rPr>
          <w:i w:val="1"/>
          <w:iCs w:val="1"/>
          <w:sz w:val="28"/>
          <w:szCs w:val="28"/>
          <w:rtl w:val="0"/>
        </w:rPr>
        <w:t xml:space="preserve">by</w:t>
      </w:r>
    </w:p>
    <w:p w:rsidR="00000000" w:rsidDel="00000000" w:rsidP="00000000" w:rsidRDefault="00000000" w:rsidRPr="00000000" w14:paraId="00000010">
      <w:pPr>
        <w:pStyle w:val="Heading2"/>
        <w:tabs>
          <w:tab w:val="left" w:leader="none" w:pos="2410"/>
          <w:tab w:val="center" w:leader="none" w:pos="4631"/>
          <w:tab w:val="left" w:leader="none" w:pos="5103"/>
          <w:tab w:val="left" w:leader="none" w:pos="5625"/>
        </w:tabs>
        <w:spacing w:before="164" w:lineRule="auto"/>
        <w:ind w:left="0" w:firstLine="0"/>
        <w:jc w:val="left"/>
        <w:rPr>
          <w:sz w:val="18"/>
          <w:szCs w:val="18"/>
        </w:rPr>
      </w:pPr>
      <w:r w:rsidDel="00000000" w:rsidR="00000000" w:rsidRPr="00000000">
        <w:rPr>
          <w:rtl w:val="0"/>
        </w:rPr>
        <w:tab/>
      </w:r>
      <w:r w:rsidDel="00000000" w:rsidR="00000000" w:rsidRPr="00000000">
        <w:rPr>
          <w:rtl w:val="0"/>
        </w:rPr>
      </w:r>
    </w:p>
    <w:tbl>
      <w:tblPr>
        <w:tblStyle w:val="Table1"/>
        <w:tblW w:w="694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01"/>
        <w:gridCol w:w="5245"/>
        <w:tblGridChange w:id="0">
          <w:tblGrid>
            <w:gridCol w:w="1701"/>
            <w:gridCol w:w="5245"/>
          </w:tblGrid>
        </w:tblGridChange>
      </w:tblGrid>
      <w:tr>
        <w:trPr>
          <w:cantSplit w:val="0"/>
          <w:tblHeader w:val="0"/>
        </w:trPr>
        <w:tc>
          <w:tcPr>
            <w:vAlign w:val="center"/>
          </w:tcPr>
          <w:p>
            <w:r>
              <w:rPr>
                <w:rFonts w:ascii="Times New Roman" w:hAnsi="Times New Roman"/>
                <w:b/>
                <w:sz w:val="22"/>
              </w:rPr>
              <w:t>23BCE0194</w:t>
            </w:r>
          </w:p>
        </w:tc>
        <w:tc>
          <w:tcPr/>
          <w:p>
            <w:r>
              <w:rPr>
                <w:rFonts w:ascii="Times New Roman" w:hAnsi="Times New Roman"/>
                <w:b/>
                <w:sz w:val="22"/>
              </w:rPr>
              <w:t>NISHANTH GOLAKOTI</w:t>
            </w:r>
          </w:p>
        </w:tc>
      </w:tr>
      <w:tr>
        <w:trPr>
          <w:cantSplit w:val="0"/>
          <w:tblHeader w:val="0"/>
        </w:trPr>
        <w:tc>
          <w:tcPr>
            <w:vAlign w:val="center"/>
          </w:tcPr>
          <w:p>
            <w:r>
              <w:rPr>
                <w:rFonts w:ascii="Times New Roman" w:hAnsi="Times New Roman"/>
                <w:b/>
                <w:sz w:val="22"/>
              </w:rPr>
              <w:t>23BCE0705</w:t>
            </w:r>
          </w:p>
        </w:tc>
        <w:tc>
          <w:tcPr/>
          <w:p>
            <w:r>
              <w:rPr>
                <w:rFonts w:ascii="Times New Roman" w:hAnsi="Times New Roman"/>
                <w:b/>
                <w:sz w:val="22"/>
              </w:rPr>
              <w:t>D.Y.N.D KARTHEEK</w:t>
            </w:r>
          </w:p>
        </w:tc>
      </w:tr>
      <w:tr>
        <w:trPr>
          <w:cantSplit w:val="0"/>
          <w:tblHeader w:val="0"/>
        </w:trPr>
        <w:tc>
          <w:tcPr>
            <w:vAlign w:val="center"/>
          </w:tcPr>
          <w:p>
            <w:r>
              <w:rPr>
                <w:rFonts w:ascii="Times New Roman" w:hAnsi="Times New Roman"/>
                <w:b/>
                <w:sz w:val="22"/>
              </w:rPr>
              <w:t>23BCE2075</w:t>
            </w:r>
          </w:p>
        </w:tc>
        <w:tc>
          <w:tcPr/>
          <w:p>
            <w:r>
              <w:rPr>
                <w:rFonts w:ascii="Times New Roman" w:hAnsi="Times New Roman"/>
                <w:b/>
                <w:sz w:val="22"/>
              </w:rPr>
              <w:t>PRANAV S REDDY</w:t>
            </w:r>
          </w:p>
        </w:tc>
      </w:tr>
    </w:tbl>
    <w:p w:rsidR="00000000" w:rsidDel="00000000" w:rsidP="00000000" w:rsidRDefault="00000000" w:rsidRPr="00000000" w14:paraId="00000017">
      <w:pPr>
        <w:spacing w:before="184" w:lineRule="auto"/>
        <w:jc w:val="center"/>
        <w:rPr>
          <w:b w:val="1"/>
          <w:bCs w:val="1"/>
          <w:sz w:val="32"/>
          <w:szCs w:val="32"/>
        </w:rPr>
      </w:p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spacing w:before="0" w:line="360" w:lineRule="auto"/>
        <w:ind w:left="0" w:right="-31" w:firstLine="0"/>
        <w:rPr>
          <w:b w:val="0"/>
          <w:bCs w:val="0"/>
          <w:sz w:val="24"/>
          <w:szCs w:val="24"/>
        </w:rPr>
      </w:pPr>
      <w:r w:rsidDel="00000000" w:rsidR="00000000" w:rsidRPr="00000000">
        <w:rPr>
          <w:rtl w:val="0"/>
        </w:rPr>
        <w:t xml:space="preserve">Under the Supervision of </w:t>
      </w:r>
      <w:r w:rsidDel="00000000" w:rsidR="00000000" w:rsidRPr="00000000">
        <w:rPr>
          <w:rtl w:val="0"/>
        </w:rPr>
      </w:r>
    </w:p>
    <w:tbl>
      <w:tblPr>
        <w:tblStyle w:val="Table2"/>
        <w:tblW w:w="737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1"/>
        <w:tblGridChange w:id="0">
          <w:tblGrid>
            <w:gridCol w:w="7371"/>
          </w:tblGrid>
        </w:tblGridChange>
      </w:tblGrid>
      <w:tr>
        <w:trPr>
          <w:cantSplit w:val="0"/>
          <w:tblHeader w:val="0"/>
        </w:trPr>
        <w:tc>
          <w:tcPr/>
          <w:p>
            <w:r>
              <w:rPr>
                <w:rFonts w:ascii="Times New Roman" w:hAnsi="Times New Roman"/>
                <w:sz w:val="22"/>
              </w:rPr>
              <w:t>Dr. GOPICHAND G</w:t>
            </w:r>
          </w:p>
        </w:tc>
      </w:tr>
      <w:tr>
        <w:trPr>
          <w:cantSplit w:val="0"/>
          <w:tblHeader w:val="0"/>
        </w:trPr>
        <w:tc>
          <w:tcPr/>
          <w:p>
            <w:r>
              <w:rPr>
                <w:rFonts w:ascii="Times New Roman" w:hAnsi="Times New Roman"/>
                <w:sz w:val="22"/>
              </w:rPr>
              <w:t>Associate Professor Grade - 1</w:t>
              <w:br/>
              <w:t>Department of Information Security</w:t>
            </w:r>
          </w:p>
        </w:tc>
      </w:tr>
      <w:tr>
        <w:trPr>
          <w:cantSplit w:val="0"/>
          <w:tblHeader w:val="0"/>
        </w:trPr>
        <w:tc>
          <w:tcPr/>
          <w:p>
            <w:r>
              <w:rPr>
                <w:rFonts w:ascii="Times New Roman" w:hAnsi="Times New Roman"/>
                <w:sz w:val="22"/>
              </w:rPr>
              <w:t>School of Computer Science and Engineering (SCOPE)</w:t>
            </w:r>
          </w:p>
        </w:tc>
      </w:tr>
    </w:tbl>
    <w:p w:rsidR="00000000" w:rsidDel="00000000" w:rsidP="00000000" w:rsidRDefault="00000000" w:rsidRPr="00000000" w14:paraId="0000001D">
      <w:pPr>
        <w:pStyle w:val="Heading2"/>
        <w:spacing w:before="0" w:line="360" w:lineRule="auto"/>
        <w:ind w:left="0" w:right="-31" w:firstLine="0"/>
        <w:rPr>
          <w:b w:val="0"/>
          <w:bCs w:val="0"/>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1113790</wp:posOffset>
            </wp:positionH>
            <wp:positionV relativeFrom="paragraph">
              <wp:posOffset>179705</wp:posOffset>
            </wp:positionV>
            <wp:extent cx="3500120" cy="971550"/>
            <wp:effectExtent b="0" l="0" r="0" t="0"/>
            <wp:wrapTopAndBottom distB="0" dist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00120" cy="971550"/>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footerReference r:id="rId7" w:type="default"/>
          <w:pgSz w:h="16840" w:w="11900" w:orient="portrait"/>
          <w:pgMar w:bottom="280" w:top="1380" w:left="1680" w:right="132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October 2026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DECLARATION</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480" w:right="10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We hereby declare that the project entitled "SMART HEALTH RISK INDICATOR (SHRI): A BROWSER-NATIVE MULTIMODAL AI CLINICAL DECISION SUPPORT SYSTEM WITH UNCERTAINTY QUANTIFICATION AND EXPLAINABILITY" submitted by us, for the award of the degree of Bachelor of Technology in Computer Science and Engineering to VIT is a record of bonafide work carried out by us under the supervision of Dr. GOPICHAND G, Associate Professor Grade - 1, School of Computer Science and Engineering (SCOPE).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102"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further declare that the work reported in this project has not been submitted and will not be submitted, either in part or in full, for the award of any other degree or diploma in this institute or any other institute or university.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0" w:before="90" w:line="360" w:lineRule="auto"/>
        <w:ind w:left="480" w:right="685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Place : Vellore</w:t>
        <w:br/>
        <w:t>Date  : 25-10-2026</w:t>
      </w:r>
    </w:p>
    <w:p w:rsidR="00000000" w:rsidDel="00000000" w:rsidP="00000000" w:rsidRDefault="00000000" w:rsidRPr="00000000" w14:paraId="0000002E">
      <w:pPr>
        <w:spacing w:before="2" w:lineRule="auto"/>
        <w:ind w:left="6024" w:firstLine="0"/>
        <w:rPr>
          <w:b w:val="1"/>
          <w:bCs w:val="1"/>
          <w:sz w:val="24"/>
          <w:szCs w:val="24"/>
        </w:rPr>
      </w:pPr>
      <w:r>
        <w:t>Signatures of the Candidates:</w:t>
        <w:br/>
        <w:t>1. NISHANTH GOLAKOTI (23BCE0194)</w:t>
        <w:br/>
        <w:t>2. D.Y.N.D KARTHEEK  (23BCE0705)</w:t>
        <w:br/>
        <w:t>3. PRANAV S REDDY     (23BCE2075)</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p>
    <w:p w:rsidR="00000000" w:rsidDel="00000000" w:rsidP="00000000" w:rsidRDefault="00000000" w:rsidRPr="00000000" w14:paraId="00000035">
      <w:pPr>
        <w:widowControl w:val="1"/>
        <w:spacing w:after="160" w:line="259"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CERTIFICATE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480" w:right="101"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This is to certify that the project entitled "SMART HEALTH RISK INDICATOR (SHRI): A BROWSER-NATIVE MULTIMODAL AI CLINICAL DECISION SUPPORT SYSTEM WITH UNCERTAINTY QUANTIFICATION AND EXPLAINABILITY" submitted by NISHANTH GOLAKOTI (23BCE0194), D.Y.N.D KARTHEEK (23BCE0705), and PRANAV S REDDY (23BCE2075), School of Computer Science and Engineering, VIT, for the award of the degree of Bachelor of Technology in Computer Science and Engineering, is a record of bonafide work carried out by them under my supervision during the academic year 2026, as per the VIT code of academic and research ethics.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80" w:right="103"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0" w:before="161"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Place : Vellore</w:t>
      </w:r>
    </w:p>
    <w:p w:rsidR="00000000" w:rsidDel="00000000" w:rsidP="00000000" w:rsidRDefault="00000000" w:rsidRPr="00000000" w14:paraId="00000041">
      <w:pPr>
        <w:tabs>
          <w:tab w:val="left" w:leader="none" w:pos="1199"/>
          <w:tab w:val="left" w:leader="none" w:pos="6239"/>
        </w:tabs>
        <w:spacing w:before="137" w:lineRule="auto"/>
        <w:ind w:left="480" w:firstLine="0"/>
        <w:rPr>
          <w:sz w:val="24"/>
          <w:szCs w:val="24"/>
        </w:rPr>
      </w:pPr>
      <w:r>
        <w:t>Date  : 25-10-2026</w:t>
      </w:r>
    </w:p>
    <w:p w:rsidR="00000000" w:rsidDel="00000000" w:rsidP="00000000" w:rsidRDefault="00000000" w:rsidRPr="00000000" w14:paraId="00000042">
      <w:pPr>
        <w:tabs>
          <w:tab w:val="left" w:leader="none" w:pos="1199"/>
          <w:tab w:val="left" w:leader="none" w:pos="6239"/>
        </w:tabs>
        <w:spacing w:before="137" w:lineRule="auto"/>
        <w:ind w:left="480" w:firstLine="0"/>
        <w:rPr>
          <w:sz w:val="24"/>
          <w:szCs w:val="24"/>
        </w:rPr>
      </w:pPr>
      <w:r w:rsidDel="00000000" w:rsidR="00000000" w:rsidRPr="00000000">
        <w:rPr>
          <w:rtl w:val="0"/>
        </w:rPr>
      </w:r>
    </w:p>
    <w:p w:rsidR="00000000" w:rsidDel="00000000" w:rsidP="00000000" w:rsidRDefault="00000000" w:rsidRPr="00000000" w14:paraId="00000043">
      <w:pPr>
        <w:tabs>
          <w:tab w:val="left" w:leader="none" w:pos="1199"/>
          <w:tab w:val="left" w:leader="none" w:pos="6239"/>
        </w:tabs>
        <w:spacing w:before="137" w:lineRule="auto"/>
        <w:ind w:left="480" w:firstLine="0"/>
        <w:rPr>
          <w:b w:val="1"/>
          <w:bCs w:val="1"/>
          <w:sz w:val="24"/>
          <w:szCs w:val="24"/>
        </w:rPr>
      </w:pPr>
      <w:r>
        <w:tab/>
        <w:tab/>
        <w:tab/>
        <w:t>Signature of the Guide:</w:t>
        <w:br/>
        <w:tab/>
        <w:tab/>
        <w:tab/>
        <w:t>Dr. GOPICHAND G</w:t>
        <w:br/>
        <w:tab/>
        <w:tab/>
        <w:tab/>
        <w:t>Associate Professor Grade - 1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4B">
      <w:pPr>
        <w:jc w:val="right"/>
        <w:rPr>
          <w:b w:val="1"/>
          <w:bCs w:val="1"/>
          <w:sz w:val="24"/>
          <w:szCs w:val="24"/>
        </w:rPr>
      </w:pPr>
      <w:r w:rsidDel="00000000" w:rsidR="00000000" w:rsidRPr="00000000">
        <w:rPr>
          <w:b w:val="1"/>
          <w:bCs w:val="1"/>
          <w:sz w:val="24"/>
          <w:szCs w:val="24"/>
          <w:rtl w:val="0"/>
        </w:rPr>
        <w:tab/>
        <w:tab/>
        <w:tab/>
        <w:tab/>
        <w:tab/>
        <w:tab/>
        <w:tab/>
        <w:t xml:space="preserve">      Examiner(s)</w:t>
      </w:r>
    </w:p>
    <w:p w:rsidR="00000000" w:rsidDel="00000000" w:rsidP="00000000" w:rsidRDefault="00000000" w:rsidRPr="00000000" w14:paraId="0000004C">
      <w:pPr>
        <w:jc w:val="right"/>
        <w:rPr>
          <w:b w:val="1"/>
          <w:bCs w:val="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441" w:lineRule="auto"/>
        <w:ind w:left="0" w:right="2781"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E">
      <w:pPr>
        <w:rPr>
          <w:sz w:val="24"/>
          <w:szCs w:val="24"/>
        </w:rPr>
      </w:p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441" w:lineRule="auto"/>
        <w:ind w:left="0" w:right="2781"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441" w:lineRule="auto"/>
        <w:ind w:left="0" w:right="2781"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441" w:lineRule="auto"/>
        <w:ind w:left="0" w:right="2781"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52">
      <w:pPr>
        <w:spacing w:line="360" w:lineRule="auto"/>
        <w:jc w:val="center"/>
        <w:rPr>
          <w:b w:val="1"/>
          <w:bCs w:val="1"/>
          <w:sz w:val="24"/>
          <w:szCs w:val="24"/>
          <w:highlight w:val="yellow"/>
        </w:rPr>
      </w:pPr>
      <w:r>
        <w:t>Dr. ANIL KUMAR K, Head of the Department</w:t>
      </w:r>
    </w:p>
    <w:p w:rsidR="00000000" w:rsidDel="00000000" w:rsidP="00000000" w:rsidRDefault="00000000" w:rsidRPr="00000000" w14:paraId="00000053">
      <w:pPr>
        <w:spacing w:line="360" w:lineRule="auto"/>
        <w:jc w:val="center"/>
        <w:rPr>
          <w:rFonts w:ascii="Verdana" w:cs="Verdana" w:eastAsia="Verdana" w:hAnsi="Verdana"/>
        </w:rPr>
      </w:pPr>
      <w:r>
        <w:t>Department of Information Security, School of Computer Science and Engineering (SCOPE)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firstLine="0"/>
        <w:jc w:val="center"/>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ACKNOWLEDGEMENTS</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widowControl w:val="1"/>
        <w:spacing w:line="360" w:lineRule="auto"/>
        <w:ind w:firstLine="372"/>
        <w:jc w:val="both"/>
        <w:rPr>
          <w:sz w:val="24"/>
          <w:szCs w:val="24"/>
        </w:rPr>
      </w:pPr>
      <w:r w:rsidDel="00000000" w:rsidR="00000000" w:rsidRPr="00000000">
        <w:rPr>
          <w:sz w:val="24"/>
          <w:szCs w:val="24"/>
          <w:rtl w:val="0"/>
        </w:rPr>
        <w:t xml:space="preserve">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rsidR="00000000" w:rsidDel="00000000" w:rsidP="00000000" w:rsidRDefault="00000000" w:rsidRPr="00000000" w14:paraId="00000059">
      <w:pPr>
        <w:widowControl w:val="1"/>
        <w:spacing w:line="360" w:lineRule="auto"/>
        <w:ind w:firstLine="372"/>
        <w:jc w:val="both"/>
        <w:rPr>
          <w:sz w:val="24"/>
          <w:szCs w:val="24"/>
        </w:rPr>
      </w:pPr>
      <w:r w:rsidDel="00000000" w:rsidR="00000000" w:rsidRPr="00000000">
        <w:rPr>
          <w:rtl w:val="0"/>
        </w:rPr>
      </w:r>
    </w:p>
    <w:p w:rsidR="00000000" w:rsidDel="00000000" w:rsidP="00000000" w:rsidRDefault="00000000" w:rsidRPr="00000000" w14:paraId="0000005A">
      <w:pPr>
        <w:widowControl w:val="1"/>
        <w:spacing w:line="360" w:lineRule="auto"/>
        <w:ind w:firstLine="372"/>
        <w:jc w:val="both"/>
        <w:rPr>
          <w:sz w:val="24"/>
          <w:szCs w:val="24"/>
        </w:rPr>
      </w:pPr>
      <w:r w:rsidDel="00000000" w:rsidR="00000000" w:rsidRPr="00000000">
        <w:rPr>
          <w:sz w:val="24"/>
          <w:szCs w:val="24"/>
          <w:rtl w:val="0"/>
        </w:rPr>
        <w:t xml:space="preserve">My sincere thanks to Dr. Jaisankar N,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rsidR="00000000" w:rsidDel="00000000" w:rsidP="00000000" w:rsidRDefault="00000000" w:rsidRPr="00000000" w14:paraId="0000005B">
      <w:pPr>
        <w:widowControl w:val="1"/>
        <w:spacing w:line="360" w:lineRule="auto"/>
        <w:ind w:firstLine="372"/>
        <w:jc w:val="both"/>
        <w:rPr>
          <w:sz w:val="24"/>
          <w:szCs w:val="24"/>
        </w:rPr>
      </w:pPr>
      <w:r w:rsidDel="00000000" w:rsidR="00000000" w:rsidRPr="00000000">
        <w:rPr>
          <w:rtl w:val="0"/>
        </w:rPr>
      </w:r>
    </w:p>
    <w:p w:rsidR="00000000" w:rsidDel="00000000" w:rsidP="00000000" w:rsidRDefault="00000000" w:rsidRPr="00000000" w14:paraId="0000005C">
      <w:pPr>
        <w:widowControl w:val="1"/>
        <w:spacing w:line="360" w:lineRule="auto"/>
        <w:ind w:firstLine="372"/>
        <w:jc w:val="both"/>
        <w:rPr>
          <w:sz w:val="24"/>
          <w:szCs w:val="24"/>
        </w:rPr>
      </w:pPr>
      <w:r>
        <w:t>I express my profound appreciation to Dr. Anil Kumar K, the Head of the Department of Information Security, for his insightful guidance, administrative leadership, and continuous encouragement throughout our academic trajectory.</w:t>
      </w:r>
    </w:p>
    <w:p w:rsidR="00000000" w:rsidDel="00000000" w:rsidP="00000000" w:rsidRDefault="00000000" w:rsidRPr="00000000" w14:paraId="0000005D">
      <w:pPr>
        <w:widowControl w:val="1"/>
        <w:spacing w:line="360" w:lineRule="auto"/>
        <w:ind w:firstLine="372"/>
        <w:jc w:val="both"/>
        <w:rPr>
          <w:sz w:val="24"/>
          <w:szCs w:val="24"/>
        </w:rPr>
      </w:pPr>
      <w:r w:rsidDel="00000000" w:rsidR="00000000" w:rsidRPr="00000000">
        <w:rPr>
          <w:rtl w:val="0"/>
        </w:rPr>
      </w:r>
    </w:p>
    <w:p w:rsidR="00000000" w:rsidDel="00000000" w:rsidP="00000000" w:rsidRDefault="00000000" w:rsidRPr="00000000" w14:paraId="0000005E">
      <w:pPr>
        <w:widowControl w:val="1"/>
        <w:spacing w:line="360" w:lineRule="auto"/>
        <w:ind w:firstLine="372"/>
        <w:jc w:val="both"/>
        <w:rPr>
          <w:sz w:val="24"/>
          <w:szCs w:val="24"/>
        </w:rPr>
      </w:pPr>
      <w:r>
        <w:t>I am immensely thankful to my project guide, Dr. Gopichand G, for his dedicated mentorship, technical guidance, and rigorous feedback. His deep expertise in explainable AI, privacy-preserving architectures, and scientific methodology has been pivotal in the successful completion of this project.</w:t>
      </w:r>
    </w:p>
    <w:p w:rsidR="00000000" w:rsidDel="00000000" w:rsidP="00000000" w:rsidRDefault="00000000" w:rsidRPr="00000000" w14:paraId="0000005F">
      <w:pPr>
        <w:widowControl w:val="1"/>
        <w:spacing w:line="360" w:lineRule="auto"/>
        <w:ind w:firstLine="372"/>
        <w:jc w:val="both"/>
        <w:rPr>
          <w:sz w:val="24"/>
          <w:szCs w:val="24"/>
        </w:rPr>
      </w:pPr>
      <w:r w:rsidDel="00000000" w:rsidR="00000000" w:rsidRPr="00000000">
        <w:rPr>
          <w:rtl w:val="0"/>
        </w:rPr>
      </w:r>
    </w:p>
    <w:p w:rsidR="00000000" w:rsidDel="00000000" w:rsidP="00000000" w:rsidRDefault="00000000" w:rsidRPr="00000000" w14:paraId="00000060">
      <w:pPr>
        <w:widowControl w:val="1"/>
        <w:spacing w:line="360" w:lineRule="auto"/>
        <w:ind w:firstLine="372"/>
        <w:jc w:val="both"/>
        <w:rPr>
          <w:b w:val="1"/>
          <w:bCs w:val="1"/>
          <w:sz w:val="24"/>
          <w:szCs w:val="24"/>
        </w:rPr>
      </w:pPr>
      <w:r w:rsidDel="00000000" w:rsidR="00000000" w:rsidRPr="00000000">
        <w:rPr>
          <w:sz w:val="24"/>
          <w:szCs w:val="24"/>
          <w:rtl w:val="0"/>
        </w:rPr>
        <w:t xml:space="preserve">Thank you all for your contributions and support.</w:t>
      </w:r>
      <w:r w:rsidDel="00000000" w:rsidR="00000000" w:rsidRPr="00000000">
        <w:rPr>
          <w:rtl w:val="0"/>
        </w:rPr>
      </w:r>
    </w:p>
    <w:p w:rsidR="00000000" w:rsidDel="00000000" w:rsidP="00000000" w:rsidRDefault="00000000" w:rsidRPr="00000000" w14:paraId="00000061">
      <w:pPr>
        <w:spacing w:before="2" w:lineRule="auto"/>
        <w:ind w:left="6024" w:firstLine="0"/>
        <w:rPr>
          <w:b w:val="1"/>
          <w:bCs w:val="1"/>
          <w:sz w:val="24"/>
          <w:szCs w:val="24"/>
        </w:rPr>
      </w:pPr>
      <w:r w:rsidDel="00000000" w:rsidR="00000000" w:rsidRPr="00000000">
        <w:rPr>
          <w:rtl w:val="0"/>
        </w:rPr>
      </w:r>
    </w:p>
    <w:p w:rsidR="00000000" w:rsidDel="00000000" w:rsidP="00000000" w:rsidRDefault="00000000" w:rsidRPr="00000000" w14:paraId="00000062">
      <w:pPr>
        <w:spacing w:before="2" w:lineRule="auto"/>
        <w:ind w:left="6024" w:firstLine="0"/>
        <w:rPr>
          <w:b w:val="1"/>
          <w:bCs w:val="1"/>
          <w:sz w:val="24"/>
          <w:szCs w:val="24"/>
        </w:rPr>
      </w:pPr>
      <w:r w:rsidDel="00000000" w:rsidR="00000000" w:rsidRPr="00000000">
        <w:rPr>
          <w:rtl w:val="0"/>
        </w:rPr>
      </w:r>
    </w:p>
    <w:p w:rsidR="00000000" w:rsidDel="00000000" w:rsidP="00000000" w:rsidRDefault="00000000" w:rsidRPr="00000000" w14:paraId="00000063">
      <w:pPr>
        <w:spacing w:before="2" w:lineRule="auto"/>
        <w:ind w:left="6024" w:firstLine="0"/>
        <w:rPr>
          <w:b w:val="1"/>
          <w:bCs w:val="1"/>
          <w:sz w:val="24"/>
          <w:szCs w:val="24"/>
        </w:rPr>
      </w:pPr>
      <w:r w:rsidDel="00000000" w:rsidR="00000000" w:rsidRPr="00000000">
        <w:rPr>
          <w:rtl w:val="0"/>
        </w:rPr>
      </w:r>
    </w:p>
    <w:p w:rsidR="00000000" w:rsidDel="00000000" w:rsidP="00000000" w:rsidRDefault="00000000" w:rsidRPr="00000000" w14:paraId="00000064">
      <w:pPr>
        <w:spacing w:before="2" w:lineRule="auto"/>
        <w:ind w:left="6024" w:firstLine="0"/>
        <w:rPr>
          <w:b w:val="1"/>
          <w:bCs w:val="1"/>
          <w:sz w:val="24"/>
          <w:szCs w:val="24"/>
        </w:rPr>
      </w:pPr>
      <w:r>
        <w:t>NISHANTH GOLAKOTI (23BCE0194)</w:t>
        <w:br/>
        <w:t>D.Y.N.D KARTHEEK (23BCE0705)</w:t>
        <w:br/>
        <w:t>PRANAV S REDDY (23BCE2075)</w:t>
      </w:r>
    </w:p>
    <w:p w:rsidR="00000000" w:rsidDel="00000000" w:rsidP="00000000" w:rsidRDefault="00000000" w:rsidRPr="00000000" w14:paraId="00000065">
      <w:pPr>
        <w:widowControl w:val="1"/>
        <w:spacing w:after="160" w:line="259"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before="2" w:lineRule="auto"/>
        <w:jc w:val="cente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67">
      <w:pPr>
        <w:tabs>
          <w:tab w:val="center" w:leader="none" w:pos="4452"/>
          <w:tab w:val="left" w:leader="none" w:pos="7560"/>
        </w:tabs>
        <w:spacing w:before="178" w:lineRule="auto"/>
        <w:ind w:left="9" w:right="4" w:firstLine="0"/>
        <w:rPr>
          <w:sz w:val="24"/>
          <w:szCs w:val="24"/>
        </w:rPr>
      </w:pPr>
      <w:r w:rsidDel="00000000" w:rsidR="00000000" w:rsidRPr="00000000">
        <w:rPr>
          <w:sz w:val="24"/>
          <w:szCs w:val="24"/>
          <w:rtl w:val="0"/>
        </w:rPr>
        <w:tab/>
        <w:t xml:space="preserve">&lt;Contents, Times New Roman 12, Line spacing 1.5&gt;</w:t>
        <w:tab/>
      </w:r>
    </w:p>
    <w:p w:rsidR="00000000" w:rsidDel="00000000" w:rsidP="00000000" w:rsidRDefault="00000000" w:rsidRPr="00000000" w14:paraId="00000068">
      <w:pPr>
        <w:tabs>
          <w:tab w:val="center" w:leader="none" w:pos="4452"/>
          <w:tab w:val="left" w:leader="none" w:pos="7560"/>
        </w:tabs>
        <w:spacing w:before="178" w:lineRule="auto"/>
        <w:ind w:left="9" w:right="4" w:firstLine="0"/>
        <w:rPr>
          <w:sz w:val="24"/>
          <w:szCs w:val="24"/>
        </w:rPr>
      </w:pPr>
      <w:r w:rsidDel="00000000" w:rsidR="00000000" w:rsidRPr="00000000">
        <w:rPr>
          <w:rtl w:val="0"/>
        </w:rPr>
      </w:r>
    </w:p>
    <w:tbl>
      <w:tblPr>
        <w:tblStyle w:val="Table3"/>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71"/>
        <w:gridCol w:w="5954"/>
        <w:gridCol w:w="1791"/>
        <w:tblGridChange w:id="0">
          <w:tblGrid>
            <w:gridCol w:w="1271"/>
            <w:gridCol w:w="5954"/>
            <w:gridCol w:w="1791"/>
          </w:tblGrid>
        </w:tblGridChange>
      </w:tblGrid>
      <w:tr>
        <w:trPr>
          <w:cantSplit w:val="0"/>
          <w:tblHeader w:val="0"/>
        </w:trPr>
        <w:tc>
          <w:tcPr/>
          <w:p w:rsidR="00000000" w:rsidDel="00000000" w:rsidP="00000000" w:rsidRDefault="00000000" w:rsidRPr="00000000" w14:paraId="00000069">
            <w:pPr>
              <w:spacing w:line="360" w:lineRule="auto"/>
              <w:jc w:val="center"/>
              <w:rPr>
                <w:b w:val="1"/>
                <w:bCs w:val="1"/>
                <w:sz w:val="24"/>
                <w:szCs w:val="24"/>
              </w:rPr>
            </w:pPr>
            <w:r w:rsidDel="00000000" w:rsidR="00000000" w:rsidRPr="00000000">
              <w:rPr>
                <w:b w:val="1"/>
                <w:bCs w:val="1"/>
                <w:sz w:val="24"/>
                <w:szCs w:val="24"/>
                <w:rtl w:val="0"/>
              </w:rPr>
              <w:t xml:space="preserve">Sl.No</w:t>
            </w:r>
          </w:p>
        </w:tc>
        <w:tc>
          <w:tcPr/>
          <w:p w:rsidR="00000000" w:rsidDel="00000000" w:rsidP="00000000" w:rsidRDefault="00000000" w:rsidRPr="00000000" w14:paraId="0000006A">
            <w:pPr>
              <w:spacing w:line="360" w:lineRule="auto"/>
              <w:jc w:val="center"/>
              <w:rPr>
                <w:b w:val="1"/>
                <w:bCs w:val="1"/>
                <w:sz w:val="24"/>
                <w:szCs w:val="24"/>
              </w:rPr>
            </w:pPr>
            <w:r w:rsidDel="00000000" w:rsidR="00000000" w:rsidRPr="00000000">
              <w:rPr>
                <w:b w:val="1"/>
                <w:bCs w:val="1"/>
                <w:sz w:val="24"/>
                <w:szCs w:val="24"/>
                <w:rtl w:val="0"/>
              </w:rPr>
              <w:t xml:space="preserve">Contents</w:t>
            </w:r>
          </w:p>
        </w:tc>
        <w:tc>
          <w:tcPr/>
          <w:p w:rsidR="00000000" w:rsidDel="00000000" w:rsidP="00000000" w:rsidRDefault="00000000" w:rsidRPr="00000000" w14:paraId="0000006B">
            <w:pPr>
              <w:spacing w:line="360" w:lineRule="auto"/>
              <w:jc w:val="center"/>
              <w:rPr>
                <w:b w:val="1"/>
                <w:bCs w:val="1"/>
                <w:sz w:val="24"/>
                <w:szCs w:val="24"/>
              </w:rPr>
            </w:pPr>
            <w:r w:rsidDel="00000000" w:rsidR="00000000" w:rsidRPr="00000000">
              <w:rPr>
                <w:b w:val="1"/>
                <w:bCs w:val="1"/>
                <w:sz w:val="24"/>
                <w:szCs w:val="24"/>
                <w:rtl w:val="0"/>
              </w:rPr>
              <w:t xml:space="preserve">Page No.</w:t>
            </w:r>
          </w:p>
        </w:tc>
      </w:tr>
      <w:tr>
        <w:trPr>
          <w:cantSplit w:val="0"/>
          <w:tblHeader w:val="0"/>
        </w:trPr>
        <w:tc>
          <w:tcPr/>
          <w:p>
            <w:r/>
          </w:p>
        </w:tc>
        <w:tc>
          <w:tcPr/>
          <w:p>
            <w:r>
              <w:t>Abstract</w:t>
            </w:r>
          </w:p>
        </w:tc>
        <w:tc>
          <w:tcPr/>
          <w:p>
            <w:r>
              <w:t>i</w:t>
            </w:r>
          </w:p>
        </w:tc>
      </w:tr>
      <w:tr>
        <w:trPr>
          <w:cantSplit w:val="0"/>
          <w:tblHeader w:val="0"/>
        </w:trPr>
        <w:tc>
          <w:tcPr/>
          <w:p>
            <w:r>
              <w:t>1.</w:t>
            </w:r>
          </w:p>
        </w:tc>
        <w:tc>
          <w:tcPr/>
          <w:p>
            <w:r>
              <w:t>INTRODUCTION</w:t>
            </w:r>
          </w:p>
        </w:tc>
        <w:tc>
          <w:tcPr/>
          <w:p>
            <w:r>
              <w:t>1</w:t>
            </w:r>
          </w:p>
        </w:tc>
      </w:tr>
      <w:tr>
        <w:trPr>
          <w:cantSplit w:val="0"/>
          <w:tblHeader w:val="0"/>
        </w:trPr>
        <w:tc>
          <w:tcPr/>
          <w:p>
            <w:r/>
          </w:p>
        </w:tc>
        <w:tc>
          <w:tcPr/>
          <w:p>
            <w:r>
              <w:t>1.1 Background</w:t>
            </w:r>
          </w:p>
        </w:tc>
        <w:tc>
          <w:tcPr/>
          <w:p>
            <w:r>
              <w:t>1</w:t>
            </w:r>
          </w:p>
        </w:tc>
      </w:tr>
      <w:tr>
        <w:trPr>
          <w:cantSplit w:val="0"/>
          <w:tblHeader w:val="0"/>
        </w:trPr>
        <w:tc>
          <w:tcPr/>
          <w:p>
            <w:r/>
          </w:p>
        </w:tc>
        <w:tc>
          <w:tcPr/>
          <w:p>
            <w:r>
              <w:t>1.2 Motivations</w:t>
            </w:r>
          </w:p>
        </w:tc>
        <w:tc>
          <w:tcPr/>
          <w:p>
            <w:r>
              <w:t>2</w:t>
            </w:r>
          </w:p>
        </w:tc>
      </w:tr>
      <w:tr>
        <w:trPr>
          <w:cantSplit w:val="0"/>
          <w:tblHeader w:val="0"/>
        </w:trPr>
        <w:tc>
          <w:tcPr/>
          <w:p>
            <w:r/>
          </w:p>
        </w:tc>
        <w:tc>
          <w:tcPr/>
          <w:p>
            <w:r>
              <w:t>1.3 Scope of the Project</w:t>
            </w:r>
          </w:p>
        </w:tc>
        <w:tc>
          <w:tcPr/>
          <w:p>
            <w:r>
              <w:t>3</w:t>
            </w:r>
          </w:p>
        </w:tc>
      </w:tr>
      <w:tr>
        <w:trPr>
          <w:cantSplit w:val="0"/>
          <w:tblHeader w:val="0"/>
        </w:trPr>
        <w:tc>
          <w:tcPr/>
          <w:p>
            <w:r>
              <w:t>2.</w:t>
            </w:r>
          </w:p>
        </w:tc>
        <w:tc>
          <w:tcPr/>
          <w:p>
            <w:r>
              <w:t>PROJECT DESCRIPTION AND GOALS</w:t>
            </w:r>
          </w:p>
        </w:tc>
        <w:tc>
          <w:tcPr/>
          <w:p>
            <w:r>
              <w:t>4</w:t>
            </w:r>
          </w:p>
        </w:tc>
      </w:tr>
      <w:tr>
        <w:trPr>
          <w:cantSplit w:val="0"/>
          <w:tblHeader w:val="0"/>
        </w:trPr>
        <w:tc>
          <w:tcPr/>
          <w:p>
            <w:r/>
          </w:p>
        </w:tc>
        <w:tc>
          <w:tcPr/>
          <w:p>
            <w:r>
              <w:t>2.1 Literature Review</w:t>
            </w:r>
          </w:p>
        </w:tc>
        <w:tc>
          <w:tcPr/>
          <w:p>
            <w:r>
              <w:t>4</w:t>
            </w:r>
          </w:p>
        </w:tc>
      </w:tr>
      <w:tr>
        <w:trPr>
          <w:cantSplit w:val="0"/>
          <w:tblHeader w:val="0"/>
        </w:trPr>
        <w:tc>
          <w:tcPr/>
          <w:p>
            <w:r/>
          </w:p>
        </w:tc>
        <w:tc>
          <w:tcPr/>
          <w:p>
            <w:r>
              <w:t>2.2 Research Gap</w:t>
            </w:r>
          </w:p>
        </w:tc>
        <w:tc>
          <w:tcPr/>
          <w:p>
            <w:r>
              <w:t>7</w:t>
            </w:r>
          </w:p>
        </w:tc>
      </w:tr>
      <w:tr>
        <w:trPr>
          <w:cantSplit w:val="0"/>
          <w:tblHeader w:val="0"/>
        </w:trPr>
        <w:tc>
          <w:tcPr/>
          <w:p>
            <w:r/>
          </w:p>
        </w:tc>
        <w:tc>
          <w:tcPr/>
          <w:p>
            <w:r>
              <w:t>2.3 Objectives</w:t>
            </w:r>
          </w:p>
        </w:tc>
        <w:tc>
          <w:tcPr/>
          <w:p>
            <w:r>
              <w:t>8</w:t>
            </w:r>
          </w:p>
        </w:tc>
      </w:tr>
      <w:tr>
        <w:trPr>
          <w:cantSplit w:val="0"/>
          <w:tblHeader w:val="0"/>
        </w:trPr>
        <w:tc>
          <w:tcPr/>
          <w:p>
            <w:r/>
          </w:p>
        </w:tc>
        <w:tc>
          <w:tcPr/>
          <w:p>
            <w:r>
              <w:t>2.4 Problem Statement</w:t>
            </w:r>
          </w:p>
        </w:tc>
        <w:tc>
          <w:tcPr/>
          <w:p>
            <w:r>
              <w:t>9</w:t>
            </w:r>
          </w:p>
        </w:tc>
      </w:tr>
      <w:tr>
        <w:trPr>
          <w:cantSplit w:val="0"/>
          <w:tblHeader w:val="0"/>
        </w:trPr>
        <w:tc>
          <w:tcPr/>
          <w:p>
            <w:r/>
          </w:p>
        </w:tc>
        <w:tc>
          <w:tcPr/>
          <w:p>
            <w:r>
              <w:t>2.5 Project Plan</w:t>
            </w:r>
          </w:p>
        </w:tc>
        <w:tc>
          <w:tcPr/>
          <w:p>
            <w:r>
              <w:t>9</w:t>
            </w:r>
          </w:p>
        </w:tc>
      </w:tr>
      <w:tr>
        <w:trPr>
          <w:cantSplit w:val="0"/>
          <w:tblHeader w:val="0"/>
        </w:trPr>
        <w:tc>
          <w:tcPr/>
          <w:p>
            <w:r>
              <w:t>3.</w:t>
            </w:r>
          </w:p>
        </w:tc>
        <w:tc>
          <w:tcPr/>
          <w:p>
            <w:r>
              <w:t>TECHNICAL SPECIFICATION</w:t>
            </w:r>
          </w:p>
        </w:tc>
        <w:tc>
          <w:tcPr/>
          <w:p>
            <w:r>
              <w:t>11</w:t>
            </w:r>
          </w:p>
        </w:tc>
      </w:tr>
      <w:tr>
        <w:trPr>
          <w:cantSplit w:val="0"/>
          <w:tblHeader w:val="0"/>
        </w:trPr>
        <w:tc>
          <w:tcPr/>
          <w:p>
            <w:r/>
          </w:p>
        </w:tc>
        <w:tc>
          <w:tcPr/>
          <w:p>
            <w:r>
              <w:t>3.1 Requirements</w:t>
            </w:r>
          </w:p>
        </w:tc>
        <w:tc>
          <w:tcPr/>
          <w:p>
            <w:r>
              <w:t>11</w:t>
            </w:r>
          </w:p>
        </w:tc>
      </w:tr>
      <w:tr>
        <w:trPr>
          <w:cantSplit w:val="0"/>
          <w:tblHeader w:val="0"/>
        </w:trPr>
        <w:tc>
          <w:tcPr/>
          <w:p>
            <w:r/>
          </w:p>
        </w:tc>
        <w:tc>
          <w:tcPr/>
          <w:p>
            <w:r>
              <w:t xml:space="preserve">    3.1.1 Functional</w:t>
            </w:r>
          </w:p>
        </w:tc>
        <w:tc>
          <w:tcPr/>
          <w:p>
            <w:r>
              <w:t>11</w:t>
            </w:r>
          </w:p>
        </w:tc>
      </w:tr>
      <w:tr>
        <w:trPr>
          <w:cantSplit w:val="0"/>
          <w:tblHeader w:val="0"/>
        </w:trPr>
        <w:tc>
          <w:tcPr/>
          <w:p>
            <w:r/>
          </w:p>
        </w:tc>
        <w:tc>
          <w:tcPr/>
          <w:p>
            <w:r>
              <w:t xml:space="preserve">    3.1.2 Non-Functional</w:t>
            </w:r>
          </w:p>
        </w:tc>
        <w:tc>
          <w:tcPr/>
          <w:p>
            <w:r>
              <w:t>12</w:t>
            </w:r>
          </w:p>
        </w:tc>
      </w:tr>
      <w:tr>
        <w:trPr>
          <w:cantSplit w:val="0"/>
          <w:tblHeader w:val="0"/>
        </w:trPr>
        <w:tc>
          <w:tcPr/>
          <w:p>
            <w:r/>
          </w:p>
        </w:tc>
        <w:tc>
          <w:tcPr/>
          <w:p>
            <w:r>
              <w:t>3.2 Feasibility Study</w:t>
            </w:r>
          </w:p>
        </w:tc>
        <w:tc>
          <w:tcPr/>
          <w:p>
            <w:r>
              <w:t>13</w:t>
            </w:r>
          </w:p>
        </w:tc>
      </w:tr>
      <w:tr>
        <w:trPr>
          <w:cantSplit w:val="0"/>
          <w:tblHeader w:val="0"/>
        </w:trPr>
        <w:tc>
          <w:tcPr/>
          <w:p>
            <w:r/>
          </w:p>
        </w:tc>
        <w:tc>
          <w:tcPr/>
          <w:p>
            <w:r>
              <w:t xml:space="preserve">    3.2.1 Technical Feasibility</w:t>
            </w:r>
          </w:p>
        </w:tc>
        <w:tc>
          <w:tcPr/>
          <w:p>
            <w:r>
              <w:t>13</w:t>
            </w:r>
          </w:p>
        </w:tc>
      </w:tr>
      <w:tr>
        <w:trPr>
          <w:cantSplit w:val="0"/>
          <w:tblHeader w:val="0"/>
        </w:trPr>
        <w:tc>
          <w:tcPr/>
          <w:p>
            <w:r/>
          </w:p>
        </w:tc>
        <w:tc>
          <w:tcPr/>
          <w:p>
            <w:r>
              <w:t xml:space="preserve">    3.2.2 Economic Feasibility</w:t>
            </w:r>
          </w:p>
        </w:tc>
        <w:tc>
          <w:tcPr/>
          <w:p>
            <w:r>
              <w:t>14</w:t>
            </w:r>
          </w:p>
        </w:tc>
      </w:tr>
      <w:tr>
        <w:trPr>
          <w:cantSplit w:val="0"/>
          <w:tblHeader w:val="0"/>
        </w:trPr>
        <w:tc>
          <w:tcPr/>
          <w:p>
            <w:r/>
          </w:p>
        </w:tc>
        <w:tc>
          <w:tcPr/>
          <w:p>
            <w:r>
              <w:t xml:space="preserve">    3.2.3 Social Feasibility</w:t>
            </w:r>
          </w:p>
        </w:tc>
        <w:tc>
          <w:tcPr/>
          <w:p>
            <w:r>
              <w:t>14</w:t>
            </w:r>
          </w:p>
        </w:tc>
      </w:tr>
      <w:tr>
        <w:trPr>
          <w:cantSplit w:val="0"/>
          <w:tblHeader w:val="0"/>
        </w:trPr>
        <w:tc>
          <w:tcPr/>
          <w:p>
            <w:r/>
          </w:p>
        </w:tc>
        <w:tc>
          <w:tcPr/>
          <w:p>
            <w:r>
              <w:t>3.3 System Specification</w:t>
            </w:r>
          </w:p>
        </w:tc>
        <w:tc>
          <w:tcPr/>
          <w:p>
            <w:r>
              <w:t>15</w:t>
            </w:r>
          </w:p>
        </w:tc>
      </w:tr>
      <w:tr>
        <w:trPr>
          <w:cantSplit w:val="0"/>
          <w:tblHeader w:val="0"/>
        </w:trPr>
        <w:tc>
          <w:tcPr/>
          <w:p>
            <w:r/>
          </w:p>
        </w:tc>
        <w:tc>
          <w:tcPr/>
          <w:p>
            <w:r>
              <w:t xml:space="preserve">    3.3.1 Hardware Specification</w:t>
            </w:r>
          </w:p>
        </w:tc>
        <w:tc>
          <w:tcPr/>
          <w:p>
            <w:r>
              <w:t>15</w:t>
            </w:r>
          </w:p>
        </w:tc>
      </w:tr>
      <w:tr>
        <w:trPr>
          <w:cantSplit w:val="0"/>
          <w:tblHeader w:val="0"/>
        </w:trPr>
        <w:tc>
          <w:tcPr/>
          <w:p>
            <w:r/>
          </w:p>
        </w:tc>
        <w:tc>
          <w:tcPr/>
          <w:p>
            <w:r>
              <w:t xml:space="preserve">    3.3.2 Software Specification</w:t>
            </w:r>
          </w:p>
        </w:tc>
        <w:tc>
          <w:tcPr/>
          <w:p>
            <w:r>
              <w:t>15</w:t>
            </w:r>
          </w:p>
        </w:tc>
      </w:tr>
      <w:tr>
        <w:trPr>
          <w:cantSplit w:val="0"/>
          <w:tblHeader w:val="0"/>
        </w:trPr>
        <w:tc>
          <w:tcPr/>
          <w:p>
            <w:r>
              <w:t>4.</w:t>
            </w:r>
          </w:p>
        </w:tc>
        <w:tc>
          <w:tcPr/>
          <w:p>
            <w:r>
              <w:t>DESIGN APPROACH AND DETAILS</w:t>
            </w:r>
          </w:p>
        </w:tc>
        <w:tc>
          <w:tcPr/>
          <w:p>
            <w:r>
              <w:t>17</w:t>
            </w:r>
          </w:p>
        </w:tc>
      </w:tr>
      <w:tr>
        <w:trPr>
          <w:cantSplit w:val="0"/>
          <w:tblHeader w:val="0"/>
        </w:trPr>
        <w:tc>
          <w:tcPr/>
          <w:p>
            <w:r/>
          </w:p>
        </w:tc>
        <w:tc>
          <w:tcPr/>
          <w:p>
            <w:r>
              <w:t>4.1 System Architecture</w:t>
            </w:r>
          </w:p>
        </w:tc>
        <w:tc>
          <w:tcPr/>
          <w:p>
            <w:r>
              <w:t>17</w:t>
            </w:r>
          </w:p>
        </w:tc>
      </w:tr>
      <w:tr>
        <w:trPr>
          <w:cantSplit w:val="0"/>
          <w:tblHeader w:val="0"/>
        </w:trPr>
        <w:tc>
          <w:tcPr/>
          <w:p>
            <w:r/>
          </w:p>
        </w:tc>
        <w:tc>
          <w:tcPr/>
          <w:p>
            <w:r>
              <w:t>4.2 Design</w:t>
            </w:r>
          </w:p>
        </w:tc>
        <w:tc>
          <w:tcPr/>
          <w:p>
            <w:r>
              <w:t>19</w:t>
            </w:r>
          </w:p>
        </w:tc>
      </w:tr>
      <w:tr>
        <w:trPr>
          <w:cantSplit w:val="0"/>
          <w:tblHeader w:val="0"/>
        </w:trPr>
        <w:tc>
          <w:tcPr/>
          <w:p>
            <w:r/>
          </w:p>
        </w:tc>
        <w:tc>
          <w:tcPr/>
          <w:p>
            <w:r>
              <w:t xml:space="preserve">    4.2.1 Data Flow Diagram</w:t>
            </w:r>
          </w:p>
        </w:tc>
        <w:tc>
          <w:tcPr/>
          <w:p>
            <w:r>
              <w:t>19</w:t>
            </w:r>
          </w:p>
        </w:tc>
      </w:tr>
      <w:tr>
        <w:trPr>
          <w:cantSplit w:val="0"/>
          <w:tblHeader w:val="0"/>
        </w:trPr>
        <w:tc>
          <w:tcPr/>
          <w:p>
            <w:r/>
          </w:p>
        </w:tc>
        <w:tc>
          <w:tcPr/>
          <w:p>
            <w:r>
              <w:t xml:space="preserve">    4.2.2 Use Case Diagram</w:t>
            </w:r>
          </w:p>
        </w:tc>
        <w:tc>
          <w:tcPr/>
          <w:p>
            <w:r>
              <w:t>21</w:t>
            </w:r>
          </w:p>
        </w:tc>
      </w:tr>
      <w:tr>
        <w:trPr>
          <w:cantSplit w:val="0"/>
          <w:tblHeader w:val="0"/>
        </w:trPr>
        <w:tc>
          <w:tcPr/>
          <w:p>
            <w:r/>
          </w:p>
        </w:tc>
        <w:tc>
          <w:tcPr/>
          <w:p>
            <w:r>
              <w:t xml:space="preserve">    4.2.3 Class Diagram</w:t>
            </w:r>
          </w:p>
        </w:tc>
        <w:tc>
          <w:tcPr/>
          <w:p>
            <w:r>
              <w:t>22</w:t>
            </w:r>
          </w:p>
        </w:tc>
      </w:tr>
      <w:tr>
        <w:trPr>
          <w:cantSplit w:val="0"/>
          <w:tblHeader w:val="0"/>
        </w:trPr>
        <w:tc>
          <w:tcPr/>
          <w:p>
            <w:r/>
          </w:p>
        </w:tc>
        <w:tc>
          <w:tcPr/>
          <w:p>
            <w:r>
              <w:t xml:space="preserve">    4.2.4 Sequence Diagram</w:t>
            </w:r>
          </w:p>
        </w:tc>
        <w:tc>
          <w:tcPr/>
          <w:p>
            <w:r>
              <w:t>23</w:t>
            </w:r>
          </w:p>
        </w:tc>
      </w:tr>
      <w:tr>
        <w:trPr>
          <w:cantSplit w:val="0"/>
          <w:tblHeader w:val="0"/>
        </w:trPr>
        <w:tc>
          <w:tcPr/>
          <w:p>
            <w:r>
              <w:t>5.</w:t>
            </w:r>
          </w:p>
        </w:tc>
        <w:tc>
          <w:tcPr/>
          <w:p>
            <w:r>
              <w:t>METHODOLOGY AND TESTING</w:t>
            </w:r>
          </w:p>
        </w:tc>
        <w:tc>
          <w:tcPr/>
          <w:p>
            <w:r>
              <w:t>26</w:t>
            </w:r>
          </w:p>
        </w:tc>
      </w:tr>
      <w:tr>
        <w:trPr>
          <w:cantSplit w:val="0"/>
          <w:tblHeader w:val="0"/>
        </w:trPr>
        <w:tc>
          <w:tcPr/>
          <w:p>
            <w:r/>
          </w:p>
        </w:tc>
        <w:tc>
          <w:tcPr/>
          <w:p>
            <w:r>
              <w:t>5.1 Module Description</w:t>
            </w:r>
          </w:p>
        </w:tc>
        <w:tc>
          <w:tcPr/>
          <w:p>
            <w:r>
              <w:t>26</w:t>
            </w:r>
          </w:p>
        </w:tc>
      </w:tr>
      <w:tr>
        <w:trPr>
          <w:cantSplit w:val="0"/>
          <w:tblHeader w:val="0"/>
        </w:trPr>
        <w:tc>
          <w:tcPr/>
          <w:p>
            <w:r/>
          </w:p>
        </w:tc>
        <w:tc>
          <w:tcPr/>
          <w:p>
            <w:r>
              <w:t>5.2 Testing</w:t>
            </w:r>
          </w:p>
        </w:tc>
        <w:tc>
          <w:tcPr/>
          <w:p>
            <w:r>
              <w:t>29</w:t>
            </w:r>
          </w:p>
        </w:tc>
      </w:tr>
      <w:tr>
        <w:trPr>
          <w:cantSplit w:val="0"/>
          <w:tblHeader w:val="0"/>
        </w:trPr>
        <w:tc>
          <w:tcPr/>
          <w:p>
            <w:r>
              <w:t>6.</w:t>
            </w:r>
          </w:p>
        </w:tc>
        <w:tc>
          <w:tcPr/>
          <w:p>
            <w:r>
              <w:t>PROJECT DEMONSTRATION</w:t>
            </w:r>
          </w:p>
        </w:tc>
        <w:tc>
          <w:tcPr/>
          <w:p>
            <w:r>
              <w:t>32</w:t>
            </w:r>
          </w:p>
        </w:tc>
      </w:tr>
      <w:tr>
        <w:trPr>
          <w:cantSplit w:val="0"/>
          <w:tblHeader w:val="0"/>
        </w:trPr>
        <w:tc>
          <w:tcPr/>
          <w:p>
            <w:r>
              <w:t>7.</w:t>
            </w:r>
          </w:p>
        </w:tc>
        <w:tc>
          <w:tcPr/>
          <w:p>
            <w:r>
              <w:t>RESULT AND DISCUSSION (COST ANALYSIS)</w:t>
            </w:r>
          </w:p>
        </w:tc>
        <w:tc>
          <w:tcPr/>
          <w:p>
            <w:r>
              <w:t>38</w:t>
            </w:r>
          </w:p>
        </w:tc>
      </w:tr>
      <w:tr>
        <w:trPr>
          <w:cantSplit w:val="0"/>
          <w:tblHeader w:val="0"/>
        </w:trPr>
        <w:tc>
          <w:tcPr/>
          <w:p>
            <w:r>
              <w:t>8.</w:t>
            </w:r>
          </w:p>
        </w:tc>
        <w:tc>
          <w:tcPr/>
          <w:p>
            <w:r>
              <w:t>CONCLUSION</w:t>
            </w:r>
          </w:p>
        </w:tc>
        <w:tc>
          <w:tcPr/>
          <w:p>
            <w:r>
              <w:t>43</w:t>
            </w:r>
          </w:p>
        </w:tc>
      </w:tr>
      <w:tr>
        <w:trPr>
          <w:cantSplit w:val="0"/>
          <w:tblHeader w:val="0"/>
        </w:trPr>
        <w:tc>
          <w:tcPr/>
          <w:p>
            <w:r>
              <w:t>9.</w:t>
            </w:r>
          </w:p>
        </w:tc>
        <w:tc>
          <w:tcPr/>
          <w:p>
            <w:r>
              <w:t>REFERENCES</w:t>
            </w:r>
          </w:p>
        </w:tc>
        <w:tc>
          <w:tcPr/>
          <w:p>
            <w:r>
              <w:t>45</w:t>
            </w:r>
          </w:p>
        </w:tc>
      </w:tr>
      <w:tr>
        <w:trPr>
          <w:cantSplit w:val="0"/>
          <w:tblHeader w:val="0"/>
        </w:trPr>
        <w:tc>
          <w:tcPr/>
          <w:p>
            <w:r/>
          </w:p>
        </w:tc>
        <w:tc>
          <w:tcPr/>
          <w:p>
            <w:r>
              <w:t>APPENDIX A – SAMPLE CODE</w:t>
            </w:r>
          </w:p>
        </w:tc>
        <w:tc>
          <w:tcPr/>
          <w:p>
            <w:r>
              <w:t>47</w:t>
            </w:r>
          </w:p>
        </w:tc>
      </w:tr>
    </w:tbl>
    <w:p w:rsidR="00000000" w:rsidDel="00000000" w:rsidP="00000000" w:rsidRDefault="00000000" w:rsidRPr="00000000" w14:paraId="000000DB">
      <w:pPr>
        <w:spacing w:before="178" w:lineRule="auto"/>
        <w:ind w:right="4"/>
        <w:rPr>
          <w:sz w:val="24"/>
          <w:szCs w:val="24"/>
        </w:rPr>
      </w:pPr>
      <w:r w:rsidDel="00000000" w:rsidR="00000000" w:rsidRPr="00000000">
        <w:rPr>
          <w:rtl w:val="0"/>
        </w:rPr>
      </w:r>
    </w:p>
    <w:p w:rsidR="00000000" w:rsidDel="00000000" w:rsidP="00000000" w:rsidRDefault="00000000" w:rsidRPr="00000000" w14:paraId="000000DC">
      <w:pPr>
        <w:rPr>
          <w:b w:val="1"/>
          <w:bCs w:val="1"/>
          <w:sz w:val="28"/>
          <w:szCs w:val="28"/>
        </w:rPr>
      </w:pPr>
      <w:r w:rsidDel="00000000" w:rsidR="00000000" w:rsidRPr="00000000">
        <w:rPr>
          <w:rtl w:val="0"/>
        </w:rPr>
      </w:r>
    </w:p>
    <w:p w:rsidR="00000000" w:rsidDel="00000000" w:rsidP="00000000" w:rsidRDefault="00000000" w:rsidRPr="00000000" w14:paraId="000000DD">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3"/>
        <w:spacing w:before="87" w:lineRule="auto"/>
        <w:ind w:left="361" w:firstLine="0"/>
        <w:rPr>
          <w:sz w:val="32"/>
          <w:szCs w:val="32"/>
        </w:rPr>
      </w:pPr>
      <w:bookmarkStart w:colFirst="0" w:colLast="0" w:name="_1xpaoquvcnzo" w:id="0"/>
      <w:bookmarkEnd w:id="0"/>
      <w:r w:rsidDel="00000000" w:rsidR="00000000" w:rsidRPr="00000000">
        <w:rPr>
          <w:sz w:val="32"/>
          <w:szCs w:val="32"/>
          <w:rtl w:val="0"/>
        </w:rPr>
        <w:t xml:space="preserve">List of Figures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4"/>
        <w:tblW w:w="8159.000000000001" w:type="dxa"/>
        <w:jc w:val="left"/>
        <w:tblInd w:w="284.0" w:type="dxa"/>
        <w:tblLayout w:type="fixed"/>
        <w:tblLook w:val="0000"/>
      </w:tblPr>
      <w:tblGrid>
        <w:gridCol w:w="1527"/>
        <w:gridCol w:w="4285"/>
        <w:gridCol w:w="2347"/>
        <w:tblGridChange w:id="0">
          <w:tblGrid>
            <w:gridCol w:w="1527"/>
            <w:gridCol w:w="4285"/>
            <w:gridCol w:w="2347"/>
          </w:tblGrid>
        </w:tblGridChange>
      </w:tblGrid>
      <w:tr>
        <w:trPr>
          <w:cantSplit w:val="0"/>
          <w:trHeight w:val="435"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 w:lineRule="auto"/>
              <w:ind w:left="29" w:right="185"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Figure No.</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 w:lineRule="auto"/>
              <w:ind w:left="313"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Title</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 w:lineRule="auto"/>
              <w:ind w:left="6" w:right="3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Page No.</w:t>
            </w:r>
          </w:p>
        </w:tc>
      </w:tr>
      <w:tr>
        <w:trPr>
          <w:cantSplit w:val="0"/>
          <w:trHeight w:val="468" w:hRule="atLeast"/>
          <w:tblHeader w:val="0"/>
        </w:trPr>
        <w:tc>
          <w:tcPr/>
          <w:p>
            <w:r>
              <w:t>4.1</w:t>
            </w:r>
          </w:p>
        </w:tc>
        <w:tc>
          <w:tcPr/>
          <w:p>
            <w:r>
              <w:t>High-Level SHRI Multimodal System Architecture (4-Tier Browser-Native Engine)</w:t>
            </w:r>
          </w:p>
        </w:tc>
        <w:tc>
          <w:tcPr/>
          <w:p>
            <w:r>
              <w:t>18</w:t>
            </w:r>
          </w:p>
        </w:tc>
      </w:tr>
      <w:tr>
        <w:trPr>
          <w:cantSplit w:val="0"/>
          <w:trHeight w:val="341" w:hRule="atLeast"/>
          <w:tblHeader w:val="0"/>
        </w:trPr>
        <w:tc>
          <w:tcPr/>
          <w:p>
            <w:r>
              <w:t>4.2</w:t>
            </w:r>
          </w:p>
        </w:tc>
        <w:tc>
          <w:tcPr/>
          <w:p>
            <w:r>
              <w:t>Context and Detailed Data Flow Diagram (DFD Level 0 &amp; Level 1)</w:t>
            </w:r>
          </w:p>
        </w:tc>
        <w:tc>
          <w:tcPr/>
          <w:p>
            <w:r>
              <w:t>20</w:t>
            </w:r>
          </w:p>
        </w:tc>
      </w:tr>
      <w:tr>
        <w:tc>
          <w:tcPr>
            <w:tcW w:type="dxa" w:w="1527"/>
          </w:tcPr>
          <w:p>
            <w:r>
              <w:t>4.3</w:t>
            </w:r>
          </w:p>
        </w:tc>
        <w:tc>
          <w:tcPr>
            <w:tcW w:type="dxa" w:w="4285"/>
          </w:tcPr>
          <w:p>
            <w:r>
              <w:t>Comprehensive Use Case Diagram for Clinicians and Adolescent Patients</w:t>
            </w:r>
          </w:p>
        </w:tc>
        <w:tc>
          <w:tcPr>
            <w:tcW w:type="dxa" w:w="2347"/>
          </w:tcPr>
          <w:p>
            <w:r>
              <w:t>21</w:t>
            </w:r>
          </w:p>
        </w:tc>
      </w:tr>
      <w:tr>
        <w:tc>
          <w:tcPr>
            <w:tcW w:type="dxa" w:w="1527"/>
          </w:tcPr>
          <w:p>
            <w:r>
              <w:t>4.4</w:t>
            </w:r>
          </w:p>
        </w:tc>
        <w:tc>
          <w:tcPr>
            <w:tcW w:type="dxa" w:w="4285"/>
          </w:tcPr>
          <w:p>
            <w:r>
              <w:t>Structural Class Diagram Representing Core Entities, Models, and Evaluators</w:t>
            </w:r>
          </w:p>
        </w:tc>
        <w:tc>
          <w:tcPr>
            <w:tcW w:type="dxa" w:w="2347"/>
          </w:tcPr>
          <w:p>
            <w:r>
              <w:t>22</w:t>
            </w:r>
          </w:p>
        </w:tc>
      </w:tr>
      <w:tr>
        <w:tc>
          <w:tcPr>
            <w:tcW w:type="dxa" w:w="1527"/>
          </w:tcPr>
          <w:p>
            <w:r>
              <w:t>4.5</w:t>
            </w:r>
          </w:p>
        </w:tc>
        <w:tc>
          <w:tcPr>
            <w:tcW w:type="dxa" w:w="4285"/>
          </w:tcPr>
          <w:p>
            <w:r>
              <w:t>Sequence Diagram for Multimodal Screening and Real-Time XAI Inference</w:t>
            </w:r>
          </w:p>
        </w:tc>
        <w:tc>
          <w:tcPr>
            <w:tcW w:type="dxa" w:w="2347"/>
          </w:tcPr>
          <w:p>
            <w:r>
              <w:t>23</w:t>
            </w:r>
          </w:p>
        </w:tc>
      </w:tr>
      <w:tr>
        <w:tc>
          <w:tcPr>
            <w:tcW w:type="dxa" w:w="1527"/>
          </w:tcPr>
          <w:p>
            <w:r>
              <w:t>6.1</w:t>
            </w:r>
          </w:p>
        </w:tc>
        <w:tc>
          <w:tcPr>
            <w:tcW w:type="dxa" w:w="4285"/>
          </w:tcPr>
          <w:p>
            <w:r>
              <w:t>Clinician Authentication and Multilingual Locale Selection Interface</w:t>
            </w:r>
          </w:p>
        </w:tc>
        <w:tc>
          <w:tcPr>
            <w:tcW w:type="dxa" w:w="2347"/>
          </w:tcPr>
          <w:p>
            <w:r>
              <w:t>32</w:t>
            </w:r>
          </w:p>
        </w:tc>
      </w:tr>
      <w:tr>
        <w:tc>
          <w:tcPr>
            <w:tcW w:type="dxa" w:w="1527"/>
          </w:tcPr>
          <w:p>
            <w:r>
              <w:t>6.2</w:t>
            </w:r>
          </w:p>
        </w:tc>
        <w:tc>
          <w:tcPr>
            <w:tcW w:type="dxa" w:w="4285"/>
          </w:tcPr>
          <w:p>
            <w:r>
              <w:t>Adolescent Patient Cohort Registry &amp; Risk-Stratified Triage Overview</w:t>
            </w:r>
          </w:p>
        </w:tc>
        <w:tc>
          <w:tcPr>
            <w:tcW w:type="dxa" w:w="2347"/>
          </w:tcPr>
          <w:p>
            <w:r>
              <w:t>33</w:t>
            </w:r>
          </w:p>
        </w:tc>
      </w:tr>
      <w:tr>
        <w:tc>
          <w:tcPr>
            <w:tcW w:type="dxa" w:w="1527"/>
          </w:tcPr>
          <w:p>
            <w:r>
              <w:t>6.3</w:t>
            </w:r>
          </w:p>
        </w:tc>
        <w:tc>
          <w:tcPr>
            <w:tcW w:type="dxa" w:w="4285"/>
          </w:tcPr>
          <w:p>
            <w:r>
              <w:t>Multimodal Clinical Assessment Dossier with Biometric Sliders and Phenotype Radar</w:t>
            </w:r>
          </w:p>
        </w:tc>
        <w:tc>
          <w:tcPr>
            <w:tcW w:type="dxa" w:w="2347"/>
          </w:tcPr>
          <w:p>
            <w:r>
              <w:t>34</w:t>
            </w:r>
          </w:p>
        </w:tc>
      </w:tr>
      <w:tr>
        <w:tc>
          <w:tcPr>
            <w:tcW w:type="dxa" w:w="1527"/>
          </w:tcPr>
          <w:p>
            <w:r>
              <w:t>6.4</w:t>
            </w:r>
          </w:p>
        </w:tc>
        <w:tc>
          <w:tcPr>
            <w:tcW w:type="dxa" w:w="4285"/>
          </w:tcPr>
          <w:p>
            <w:r>
              <w:t>4-Model Ensemble Risk Breakdown, Monte Carlo Uncertainty Interval &amp; SHAP Waterfall</w:t>
            </w:r>
          </w:p>
        </w:tc>
        <w:tc>
          <w:tcPr>
            <w:tcW w:type="dxa" w:w="2347"/>
          </w:tcPr>
          <w:p>
            <w:r>
              <w:t>35</w:t>
            </w:r>
          </w:p>
        </w:tc>
      </w:tr>
      <w:tr>
        <w:tc>
          <w:tcPr>
            <w:tcW w:type="dxa" w:w="1527"/>
          </w:tcPr>
          <w:p>
            <w:r>
              <w:t>6.5</w:t>
            </w:r>
          </w:p>
        </w:tc>
        <w:tc>
          <w:tcPr>
            <w:tcW w:type="dxa" w:w="4285"/>
          </w:tcPr>
          <w:p>
            <w:r>
              <w:t>Multilingual Voice Check-in with Live Audio Waveform and Side-by-Side Dual Transcripts</w:t>
            </w:r>
          </w:p>
        </w:tc>
        <w:tc>
          <w:tcPr>
            <w:tcW w:type="dxa" w:w="2347"/>
          </w:tcPr>
          <w:p>
            <w:r>
              <w:t>36</w:t>
            </w:r>
          </w:p>
        </w:tc>
      </w:tr>
      <w:tr>
        <w:tc>
          <w:tcPr>
            <w:tcW w:type="dxa" w:w="1527"/>
          </w:tcPr>
          <w:p>
            <w:r>
              <w:t>6.6</w:t>
            </w:r>
          </w:p>
        </w:tc>
        <w:tc>
          <w:tcPr>
            <w:tcW w:type="dxa" w:w="4285"/>
          </w:tcPr>
          <w:p>
            <w:r>
              <w:t>Multi-Hospital Pilot Benchmark Validation (ROC Curves, Calibration, Confusion Matrix)</w:t>
            </w:r>
          </w:p>
        </w:tc>
        <w:tc>
          <w:tcPr>
            <w:tcW w:type="dxa" w:w="2347"/>
          </w:tcPr>
          <w:p>
            <w:r>
              <w:t>37</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ukalnqqi70v9"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chapters, figure caption should come below the figure and table caption should come above the table. Figure and table captions should be of font size 10.)</w:t>
      </w:r>
    </w:p>
    <w:p w:rsidR="00000000" w:rsidDel="00000000" w:rsidP="00000000" w:rsidRDefault="00000000" w:rsidRPr="00000000" w14:paraId="000000EE">
      <w:pPr>
        <w:widowControl w:val="1"/>
        <w:spacing w:after="160" w:line="259"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48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List of Tables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F1">
      <w:pPr>
        <w:tabs>
          <w:tab w:val="left" w:leader="none" w:pos="4167"/>
          <w:tab w:val="left" w:leader="none" w:pos="7416"/>
        </w:tabs>
        <w:spacing w:before="1" w:lineRule="auto"/>
        <w:ind w:left="336" w:firstLine="0"/>
        <w:jc w:val="center"/>
        <w:rPr>
          <w:b w:val="1"/>
          <w:bCs w:val="1"/>
          <w:sz w:val="28"/>
          <w:szCs w:val="28"/>
        </w:rPr>
      </w:pPr>
      <w:r w:rsidDel="00000000" w:rsidR="00000000" w:rsidRPr="00000000">
        <w:rPr>
          <w:b w:val="1"/>
          <w:bCs w:val="1"/>
          <w:sz w:val="28"/>
          <w:szCs w:val="28"/>
          <w:rtl w:val="0"/>
        </w:rPr>
        <w:t xml:space="preserve">Table No.</w:t>
        <w:tab/>
        <w:t xml:space="preserve">Title</w:t>
        <w:tab/>
        <w:t xml:space="preserve">Page No.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6"/>
          <w:tab w:val="right" w:leader="none" w:pos="8279"/>
        </w:tabs>
        <w:spacing w:after="0" w:before="161" w:line="240" w:lineRule="auto"/>
        <w:ind w:left="9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2.1</w:t>
        <w:tab/>
        <w:t>Comprehensive Literature Review (16 Landmark Studies)</w:t>
        <w:tab/>
        <w:t>5</w:t>
        <w:br/>
        <w:t>2.2</w:t>
        <w:tab/>
        <w:t>Agile Development Milestones across 5 Sprints</w:t>
        <w:tab/>
        <w:t>10</w:t>
        <w:br/>
        <w:t>3.1</w:t>
        <w:tab/>
        <w:t>Functional Requirements Specification Matrix</w:t>
        <w:tab/>
        <w:t>11</w:t>
        <w:br/>
        <w:t>3.2</w:t>
        <w:tab/>
        <w:t>Non-Functional Requirements Specification</w:t>
        <w:tab/>
        <w:t>12</w:t>
        <w:br/>
        <w:t>3.3</w:t>
        <w:tab/>
        <w:t>Hardware and Software Specifications</w:t>
        <w:tab/>
        <w:t>16</w:t>
        <w:br/>
        <w:t>5.1</w:t>
        <w:tab/>
        <w:t>Comprehensive Test Suite Benchmarks and Verification Vectors</w:t>
        <w:tab/>
        <w:t>30</w:t>
        <w:br/>
        <w:t>7.1</w:t>
        <w:tab/>
        <w:t>Quantitative Model Performance Comparison</w:t>
        <w:tab/>
        <w:t>38</w:t>
        <w:br/>
        <w:t>7.2</w:t>
        <w:tab/>
        <w:t>Economic Cost Comparison: Edge vs Cloud Infrastructure</w:t>
        <w:tab/>
        <w:t>41</w:t>
      </w:r>
    </w:p>
    <w:p w:rsidR="00000000" w:rsidDel="00000000" w:rsidP="00000000" w:rsidRDefault="00000000" w:rsidRPr="00000000" w14:paraId="000000F3">
      <w:pPr>
        <w:widowControl w:val="1"/>
        <w:spacing w:after="160" w:line="259"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spacing w:before="0" w:lineRule="auto"/>
        <w:ind w:left="368" w:firstLine="0"/>
        <w:rPr/>
      </w:pPr>
      <w:r w:rsidDel="00000000" w:rsidR="00000000" w:rsidRPr="00000000">
        <w:rPr>
          <w:rtl w:val="0"/>
        </w:rPr>
        <w:t xml:space="preserve">List of Abbreviations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6">
      <w:pPr>
        <w:tabs>
          <w:tab w:val="left" w:leader="none" w:pos="4881"/>
        </w:tabs>
        <w:spacing w:before="180" w:lineRule="auto"/>
        <w:ind w:left="482" w:firstLine="0"/>
        <w:rPr>
          <w:sz w:val="24"/>
          <w:szCs w:val="24"/>
        </w:rPr>
      </w:pPr>
      <w:r>
        <w:t>AI</w:t>
        <w:tab/>
        <w:t>Artificial Intelligence</w:t>
        <w:br/>
        <w:t>AUC-ROC</w:t>
        <w:tab/>
        <w:t>Area Under the Receiver Operating Characteristic Curve</w:t>
        <w:br/>
        <w:t>BMIC</w:t>
        <w:tab/>
        <w:t>Biometric and Multimodal Intake Classifier</w:t>
        <w:br/>
        <w:t>CBT</w:t>
        <w:tab/>
        <w:t>Cognitive Behavioral Therapy</w:t>
        <w:br/>
        <w:t>CDP</w:t>
        <w:tab/>
        <w:t>Chrome DevTools Protocol</w:t>
        <w:br/>
        <w:t>CDSS</w:t>
        <w:tab/>
        <w:t>Clinical Decision Support System</w:t>
        <w:br/>
        <w:t>CNN</w:t>
        <w:tab/>
        <w:t>Convolutional Neural Network</w:t>
        <w:br/>
        <w:t>DFD</w:t>
        <w:tab/>
        <w:t>Data Flow Diagram</w:t>
        <w:br/>
        <w:t>EHR</w:t>
        <w:tab/>
        <w:t>Electronic Health Record</w:t>
        <w:br/>
        <w:t>EMR</w:t>
        <w:tab/>
        <w:t>Electronic Medical Record</w:t>
        <w:br/>
        <w:t>F0</w:t>
        <w:tab/>
        <w:t>Fundamental Frequency (Acoustic Pitch Tracking)</w:t>
        <w:br/>
        <w:t>GBDT</w:t>
        <w:tab/>
        <w:t>Gradient Boosted Decision Trees</w:t>
        <w:br/>
        <w:t>GUI</w:t>
        <w:tab/>
        <w:t>Graphical User Interface</w:t>
        <w:br/>
        <w:t>HIPAA</w:t>
        <w:tab/>
        <w:t>Health Insurance Portability and Accountability Act</w:t>
        <w:br/>
        <w:t>HTML5</w:t>
        <w:tab/>
        <w:t>Hypertext Markup Language Revision 5</w:t>
        <w:br/>
        <w:t>JSON</w:t>
        <w:tab/>
        <w:t>JavaScript Object Notation</w:t>
        <w:br/>
        <w:t>MAE</w:t>
        <w:tab/>
        <w:t>Mean Absolute Error</w:t>
        <w:br/>
        <w:t>MC</w:t>
        <w:tab/>
        <w:t>Monte Carlo (Stochastic Dropout Inference)</w:t>
        <w:br/>
        <w:t>MIMIC</w:t>
        <w:tab/>
        <w:t>Medical Information Mart for Intensive Care</w:t>
        <w:br/>
        <w:t>MLP</w:t>
        <w:tab/>
        <w:t>Multilayer Perceptron Neural Network</w:t>
        <w:br/>
        <w:t>NLP</w:t>
        <w:tab/>
        <w:t>Natural Language Processing</w:t>
        <w:br/>
        <w:t>ONNX</w:t>
        <w:tab/>
        <w:t>Open Neural Network Exchange</w:t>
        <w:br/>
        <w:t>PHQ-9</w:t>
        <w:tab/>
        <w:t>Patient Health Questionnaire 9-Item Depression Scale</w:t>
        <w:br/>
        <w:t>RAM</w:t>
        <w:tab/>
        <w:t>Random Access Memory</w:t>
        <w:br/>
        <w:t>REST</w:t>
        <w:tab/>
        <w:t>Representational State Transfer</w:t>
        <w:br/>
        <w:t>RF</w:t>
        <w:tab/>
        <w:t>Random Forest Classifier / Regressor</w:t>
        <w:br/>
        <w:t>RMSE</w:t>
        <w:tab/>
        <w:t>Root Mean Squared Error</w:t>
        <w:br/>
        <w:t>SHAP</w:t>
        <w:tab/>
        <w:t>SHapley Additive exPlanations</w:t>
        <w:br/>
        <w:t>SHRI</w:t>
        <w:tab/>
        <w:t>Smart Health Risk Indicator</w:t>
        <w:br/>
        <w:t>STT</w:t>
        <w:tab/>
        <w:t>Speech-to-Text</w:t>
        <w:br/>
        <w:t>TTS</w:t>
        <w:tab/>
        <w:t>Text-to-Speech</w:t>
        <w:br/>
        <w:t>UI/UX</w:t>
        <w:tab/>
        <w:t>User Interface / User Experience</w:t>
        <w:br/>
        <w:t>UML</w:t>
        <w:tab/>
        <w:t>Unified Modeling Language</w:t>
        <w:br/>
        <w:t>VIT</w:t>
        <w:tab/>
        <w:t>Vellore Institute of Technology</w:t>
        <w:br/>
        <w:t>WHO</w:t>
        <w:tab/>
        <w:t>World Health Organization</w:t>
        <w:br/>
        <w:t>XAI</w:t>
        <w:tab/>
        <w:t>Explainable Artificial Intelligence</w:t>
      </w:r>
    </w:p>
    <w:p w:rsidR="00000000" w:rsidDel="00000000" w:rsidP="00000000" w:rsidRDefault="00000000" w:rsidRPr="00000000" w14:paraId="000000F7">
      <w:pPr>
        <w:tabs>
          <w:tab w:val="left" w:leader="none" w:pos="4881"/>
        </w:tabs>
        <w:spacing w:before="180" w:lineRule="auto"/>
        <w:ind w:left="482" w:firstLine="0"/>
        <w:rPr>
          <w:sz w:val="24"/>
          <w:szCs w:val="24"/>
        </w:rPr>
      </w:pPr>
      <w:r/>
    </w:p>
    <w:p w:rsidR="00000000" w:rsidDel="00000000" w:rsidP="00000000" w:rsidRDefault="00000000" w:rsidRPr="00000000" w14:paraId="000000F8">
      <w:pPr>
        <w:tabs>
          <w:tab w:val="left" w:leader="none" w:pos="4881"/>
        </w:tabs>
        <w:spacing w:before="180" w:lineRule="auto"/>
        <w:ind w:left="482" w:firstLine="0"/>
        <w:rPr>
          <w:sz w:val="24"/>
          <w:szCs w:val="24"/>
        </w:rPr>
      </w:pPr>
      <w:r/>
    </w:p>
    <w:p w:rsidR="00000000" w:rsidDel="00000000" w:rsidP="00000000" w:rsidRDefault="00000000" w:rsidRPr="00000000" w14:paraId="000000F9">
      <w:pPr>
        <w:tabs>
          <w:tab w:val="left" w:leader="none" w:pos="4881"/>
        </w:tabs>
        <w:spacing w:before="180" w:lineRule="auto"/>
        <w:ind w:left="482" w:firstLine="0"/>
        <w:rPr>
          <w:sz w:val="24"/>
          <w:szCs w:val="24"/>
        </w:rPr>
      </w:pPr>
      <w:r/>
    </w:p>
    <w:p w:rsidR="00000000" w:rsidDel="00000000" w:rsidP="00000000" w:rsidRDefault="00000000" w:rsidRPr="00000000" w14:paraId="000000FA">
      <w:pPr>
        <w:tabs>
          <w:tab w:val="left" w:leader="none" w:pos="4881"/>
        </w:tabs>
        <w:spacing w:before="180" w:lineRule="auto"/>
        <w:ind w:left="482" w:firstLine="0"/>
        <w:rPr>
          <w:sz w:val="24"/>
          <w:szCs w:val="24"/>
        </w:rPr>
      </w:pPr>
      <w:r/>
    </w:p>
    <w:p w:rsidR="00000000" w:rsidDel="00000000" w:rsidP="00000000" w:rsidRDefault="00000000" w:rsidRPr="00000000" w14:paraId="000000FB">
      <w:pPr>
        <w:tabs>
          <w:tab w:val="left" w:leader="none" w:pos="4881"/>
        </w:tabs>
        <w:spacing w:before="180" w:lineRule="auto"/>
        <w:ind w:left="482" w:firstLine="0"/>
        <w:rPr>
          <w:sz w:val="24"/>
          <w:szCs w:val="24"/>
        </w:rPr>
      </w:pPr>
      <w:r/>
    </w:p>
    <w:p w:rsidR="00000000" w:rsidDel="00000000" w:rsidP="00000000" w:rsidRDefault="00000000" w:rsidRPr="00000000" w14:paraId="000000FC">
      <w:pPr>
        <w:tabs>
          <w:tab w:val="left" w:leader="none" w:pos="4881"/>
        </w:tabs>
        <w:spacing w:before="180" w:lineRule="auto"/>
        <w:ind w:left="482" w:firstLine="0"/>
        <w:rPr>
          <w:sz w:val="24"/>
          <w:szCs w:val="24"/>
        </w:rPr>
      </w:pPr>
      <w:r/>
    </w:p>
    <w:p w:rsidR="00000000" w:rsidDel="00000000" w:rsidP="00000000" w:rsidRDefault="00000000" w:rsidRPr="00000000" w14:paraId="000000FD">
      <w:pPr>
        <w:tabs>
          <w:tab w:val="left" w:leader="none" w:pos="4881"/>
        </w:tabs>
        <w:spacing w:before="180" w:lineRule="auto"/>
        <w:ind w:left="482" w:firstLine="0"/>
        <w:rPr/>
      </w:pPr>
      <w:r/>
    </w:p>
    <w:p w:rsidR="00000000" w:rsidDel="00000000" w:rsidP="00000000" w:rsidRDefault="00000000" w:rsidRPr="00000000" w14:paraId="000000FE">
      <w:pPr>
        <w:tabs>
          <w:tab w:val="left" w:leader="none" w:pos="4881"/>
        </w:tabs>
        <w:spacing w:before="180" w:lineRule="auto"/>
        <w:ind w:left="482" w:firstLine="0"/>
        <w:rPr/>
      </w:pPr>
      <w:r/>
    </w:p>
    <w:p w:rsidR="00000000" w:rsidDel="00000000" w:rsidP="00000000" w:rsidRDefault="00000000" w:rsidRPr="00000000" w14:paraId="000000FF">
      <w:pPr>
        <w:rPr/>
      </w:pPr>
      <w:r/>
    </w:p>
    <w:p w:rsidR="00000000" w:rsidDel="00000000" w:rsidP="00000000" w:rsidRDefault="00000000" w:rsidRPr="00000000" w14:paraId="00000100">
      <w:pPr>
        <w:rPr/>
      </w:pPr>
      <w:r/>
    </w:p>
    <w:p w:rsidR="00000000" w:rsidDel="00000000" w:rsidP="00000000" w:rsidRDefault="00000000" w:rsidRPr="00000000" w14:paraId="00000101">
      <w:pPr>
        <w:rPr/>
      </w:pPr>
      <w:r/>
    </w:p>
    <w:p w:rsidR="00000000" w:rsidDel="00000000" w:rsidP="00000000" w:rsidRDefault="00000000" w:rsidRPr="00000000" w14:paraId="00000102">
      <w:pPr>
        <w:rPr/>
      </w:pPr>
      <w:r/>
    </w:p>
    <w:p w:rsidR="00000000" w:rsidDel="00000000" w:rsidP="00000000" w:rsidRDefault="00000000" w:rsidRPr="00000000" w14:paraId="00000103">
      <w:pPr>
        <w:rPr/>
      </w:pPr>
      <w:r/>
    </w:p>
    <w:p w:rsidR="00000000" w:rsidDel="00000000" w:rsidP="00000000" w:rsidRDefault="00000000" w:rsidRPr="00000000" w14:paraId="00000104">
      <w:pPr>
        <w:rPr>
          <w:sz w:val="24"/>
          <w:szCs w:val="24"/>
        </w:rPr>
      </w:pPr>
      <w:bookmarkStart w:colFirst="0" w:colLast="0" w:name="_8cd3xhtimghn" w:id="2"/>
      <w:bookmarkEnd w:id="2"/>
      <w:r w:rsidDel="00000000" w:rsidR="00000000" w:rsidRPr="00000000">
        <w:rPr>
          <w:sz w:val="24"/>
          <w:szCs w:val="24"/>
          <w:highlight w:val="yellow"/>
          <w:rtl w:val="0"/>
        </w:rPr>
        <w:t xml:space="preserve">Note: All the abbreviations should follow Alphabetical order</w:t>
      </w:r>
      <w:r w:rsidDel="00000000" w:rsidR="00000000" w:rsidRPr="00000000">
        <w:rPr>
          <w:rtl w:val="0"/>
        </w:rPr>
      </w:r>
    </w:p>
    <w:p w:rsidR="00000000" w:rsidDel="00000000" w:rsidP="00000000" w:rsidRDefault="00000000" w:rsidRPr="00000000" w14:paraId="00000105">
      <w:pPr>
        <w:widowControl w:val="1"/>
        <w:spacing w:after="160" w:line="259" w:lineRule="auto"/>
        <w:rPr>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06">
      <w:pPr>
        <w:jc w:val="center"/>
        <w:rPr>
          <w:b w:val="1"/>
          <w:bCs w:val="1"/>
          <w:sz w:val="32"/>
          <w:szCs w:val="32"/>
        </w:rPr>
      </w:pPr>
      <w:r w:rsidDel="00000000" w:rsidR="00000000" w:rsidRPr="00000000">
        <w:rPr>
          <w:b w:val="1"/>
          <w:bCs w:val="1"/>
          <w:sz w:val="32"/>
          <w:szCs w:val="32"/>
          <w:rtl w:val="0"/>
        </w:rPr>
        <w:t xml:space="preserve">Symbols and Notations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8">
      <w:pPr>
        <w:tabs>
          <w:tab w:val="left" w:leader="none" w:pos="4718"/>
        </w:tabs>
        <w:spacing w:before="103" w:lineRule="auto"/>
        <w:ind w:left="513" w:firstLine="0"/>
        <w:rPr/>
      </w:pPr>
      <w:r>
        <w:t>y_i</w:t>
        <w:tab/>
        <w:t>Observed ground-truth clinical mental risk score for patient i</w:t>
        <w:br/>
        <w:t>y_hat</w:t>
        <w:tab/>
        <w:t>Aggregated composite predicted health risk index in range [0, 100]</w:t>
        <w:br/>
        <w:t>w_m</w:t>
        <w:tab/>
        <w:t>Normalized meta-ensemble weighting coefficient for sub-model m</w:t>
        <w:br/>
        <w:t>f_m(x)</w:t>
        <w:tab/>
        <w:t>Individual risk prediction generated by base model m (GBDT, RF, MLP, Ridge)</w:t>
        <w:br/>
        <w:t>L_delta</w:t>
        <w:tab/>
        <w:t>Huber robust loss thresholding between squared and linear penalties</w:t>
        <w:br/>
        <w:t>delta</w:t>
        <w:tab/>
        <w:t>Huber loss transition boundary parameter (default delta = 1.0)</w:t>
        <w:br/>
        <w:t>sigma^2</w:t>
        <w:tab/>
        <w:t>Epistemic uncertainty variance calculated across T stochastic Monte Carlo passes</w:t>
        <w:br/>
        <w:t>phi_i</w:t>
        <w:tab/>
        <w:t>Shapley additive feature attribution value quantifying marginal impact of feature i</w:t>
        <w:br/>
        <w:t>z_score</w:t>
        <w:tab/>
        <w:t>Standardized deviation of biometric and acoustic parameters from baseline mean</w:t>
        <w:br/>
        <w:t>T</w:t>
        <w:tab/>
        <w:t>Total number of stochastic forward passes in Monte Carlo Dropout sampling (T = 50)</w:t>
        <w:br/>
        <w:t>N</w:t>
        <w:tab/>
        <w:t>Total cohort size evaluated across clinical benchmark registries (N = 10,000)</w:t>
      </w:r>
    </w:p>
    <w:p w:rsidR="00000000" w:rsidDel="00000000" w:rsidP="00000000" w:rsidRDefault="00000000" w:rsidRPr="00000000" w14:paraId="00000109">
      <w:pPr>
        <w:tabs>
          <w:tab w:val="left" w:leader="none" w:pos="4718"/>
        </w:tabs>
        <w:spacing w:before="93" w:lineRule="auto"/>
        <w:ind w:left="513" w:firstLine="0"/>
        <w:rPr/>
      </w:pPr>
      <w:r/>
    </w:p>
    <w:p w:rsidR="00000000" w:rsidDel="00000000" w:rsidP="00000000" w:rsidRDefault="00000000" w:rsidRPr="00000000" w14:paraId="0000010A">
      <w:pPr>
        <w:rPr/>
      </w:pPr>
      <w:r/>
    </w:p>
    <w:p w:rsidR="00000000" w:rsidDel="00000000" w:rsidP="00000000" w:rsidRDefault="00000000" w:rsidRPr="00000000" w14:paraId="0000010B">
      <w:pPr>
        <w:rPr/>
      </w:pPr>
      <w:r/>
    </w:p>
    <w:p w:rsidR="00000000" w:rsidDel="00000000" w:rsidP="00000000" w:rsidRDefault="00000000" w:rsidRPr="00000000" w14:paraId="0000010C">
      <w:pPr>
        <w:rPr/>
      </w:pPr>
      <w:r/>
    </w:p>
    <w:p w:rsidR="00000000" w:rsidDel="00000000" w:rsidP="00000000" w:rsidRDefault="00000000" w:rsidRPr="00000000" w14:paraId="0000010D">
      <w:pPr>
        <w:rPr/>
      </w:pPr>
      <w:r/>
    </w:p>
    <w:p w:rsidR="00000000" w:rsidDel="00000000" w:rsidP="00000000" w:rsidRDefault="00000000" w:rsidRPr="00000000" w14:paraId="0000010E">
      <w:pPr>
        <w:rPr/>
      </w:pPr>
      <w:r/>
    </w:p>
    <w:p w:rsidR="00000000" w:rsidDel="00000000" w:rsidP="00000000" w:rsidRDefault="00000000" w:rsidRPr="00000000" w14:paraId="0000010F">
      <w:pPr>
        <w:rPr/>
      </w:pPr>
      <w:r/>
    </w:p>
    <w:p w:rsidR="00000000" w:rsidDel="00000000" w:rsidP="00000000" w:rsidRDefault="00000000" w:rsidRPr="00000000" w14:paraId="00000110">
      <w:pPr>
        <w:rPr/>
      </w:pPr>
      <w:r/>
    </w:p>
    <w:p w:rsidR="00000000" w:rsidDel="00000000" w:rsidP="00000000" w:rsidRDefault="00000000" w:rsidRPr="00000000" w14:paraId="00000111">
      <w:pPr>
        <w:rPr/>
      </w:pPr>
      <w:r/>
    </w:p>
    <w:p w:rsidR="00000000" w:rsidDel="00000000" w:rsidP="00000000" w:rsidRDefault="00000000" w:rsidRPr="00000000" w14:paraId="00000112">
      <w:pPr>
        <w:rPr/>
      </w:pPr>
      <w:r/>
    </w:p>
    <w:p w:rsidR="00000000" w:rsidDel="00000000" w:rsidP="00000000" w:rsidRDefault="00000000" w:rsidRPr="00000000" w14:paraId="00000113">
      <w:pPr>
        <w:rPr/>
      </w:pPr>
      <w:r/>
    </w:p>
    <w:p w:rsidR="00000000" w:rsidDel="00000000" w:rsidP="00000000" w:rsidRDefault="00000000" w:rsidRPr="00000000" w14:paraId="00000114">
      <w:pPr>
        <w:rPr/>
      </w:pPr>
      <w:r/>
    </w:p>
    <w:p w:rsidR="00000000" w:rsidDel="00000000" w:rsidP="00000000" w:rsidRDefault="00000000" w:rsidRPr="00000000" w14:paraId="00000115">
      <w:pPr>
        <w:rPr/>
      </w:pPr>
      <w:r/>
    </w:p>
    <w:p w:rsidR="00000000" w:rsidDel="00000000" w:rsidP="00000000" w:rsidRDefault="00000000" w:rsidRPr="00000000" w14:paraId="00000116">
      <w:pPr>
        <w:rPr/>
      </w:pPr>
      <w:r/>
    </w:p>
    <w:p w:rsidR="00000000" w:rsidDel="00000000" w:rsidP="00000000" w:rsidRDefault="00000000" w:rsidRPr="00000000" w14:paraId="00000117">
      <w:pPr>
        <w:rPr/>
      </w:pPr>
      <w:r/>
    </w:p>
    <w:p w:rsidR="00000000" w:rsidDel="00000000" w:rsidP="00000000" w:rsidRDefault="00000000" w:rsidRPr="00000000" w14:paraId="00000118">
      <w:pPr>
        <w:rPr/>
      </w:pPr>
      <w:r/>
    </w:p>
    <w:p w:rsidR="00000000" w:rsidDel="00000000" w:rsidP="00000000" w:rsidRDefault="00000000" w:rsidRPr="00000000" w14:paraId="00000119">
      <w:pPr>
        <w:rPr/>
      </w:pPr>
      <w:r/>
    </w:p>
    <w:p w:rsidR="00000000" w:rsidDel="00000000" w:rsidP="00000000" w:rsidRDefault="00000000" w:rsidRPr="00000000" w14:paraId="0000011A">
      <w:pPr>
        <w:rPr/>
      </w:pPr>
      <w:r/>
    </w:p>
    <w:p w:rsidR="00000000" w:rsidDel="00000000" w:rsidP="00000000" w:rsidRDefault="00000000" w:rsidRPr="00000000" w14:paraId="0000011B">
      <w:pPr>
        <w:rPr/>
      </w:pPr>
      <w:r/>
    </w:p>
    <w:p w:rsidR="00000000" w:rsidDel="00000000" w:rsidP="00000000" w:rsidRDefault="00000000" w:rsidRPr="00000000" w14:paraId="0000011C">
      <w:pPr>
        <w:rPr/>
      </w:pPr>
      <w:r/>
    </w:p>
    <w:p w:rsidR="00000000" w:rsidDel="00000000" w:rsidP="00000000" w:rsidRDefault="00000000" w:rsidRPr="00000000" w14:paraId="0000011D">
      <w:pPr>
        <w:rPr/>
      </w:pPr>
      <w:r/>
    </w:p>
    <w:p w:rsidR="00000000" w:rsidDel="00000000" w:rsidP="00000000" w:rsidRDefault="00000000" w:rsidRPr="00000000" w14:paraId="0000011E">
      <w:pPr>
        <w:rPr/>
      </w:pPr>
      <w:r/>
    </w:p>
    <w:p w:rsidR="00000000" w:rsidDel="00000000" w:rsidP="00000000" w:rsidRDefault="00000000" w:rsidRPr="00000000" w14:paraId="0000011F">
      <w:pPr>
        <w:rPr/>
      </w:pPr>
      <w:r/>
    </w:p>
    <w:p w:rsidR="00000000" w:rsidDel="00000000" w:rsidP="00000000" w:rsidRDefault="00000000" w:rsidRPr="00000000" w14:paraId="00000120">
      <w:pPr>
        <w:rPr/>
      </w:pPr>
      <w:r/>
    </w:p>
    <w:p w:rsidR="00000000" w:rsidDel="00000000" w:rsidP="00000000" w:rsidRDefault="00000000" w:rsidRPr="00000000" w14:paraId="00000121">
      <w:pPr>
        <w:rPr/>
      </w:pPr>
      <w:r/>
    </w:p>
    <w:p w:rsidR="00000000" w:rsidDel="00000000" w:rsidP="00000000" w:rsidRDefault="00000000" w:rsidRPr="00000000" w14:paraId="00000122">
      <w:pPr>
        <w:rPr/>
      </w:pPr>
      <w:r/>
    </w:p>
    <w:p w:rsidR="00000000" w:rsidDel="00000000" w:rsidP="00000000" w:rsidRDefault="00000000" w:rsidRPr="00000000" w14:paraId="00000123">
      <w:pPr>
        <w:rPr/>
      </w:pPr>
      <w:r/>
    </w:p>
    <w:p w:rsidR="00000000" w:rsidDel="00000000" w:rsidP="00000000" w:rsidRDefault="00000000" w:rsidRPr="00000000" w14:paraId="00000124">
      <w:pPr>
        <w:rPr/>
      </w:pPr>
      <w:r/>
    </w:p>
    <w:p w:rsidR="00000000" w:rsidDel="00000000" w:rsidP="00000000" w:rsidRDefault="00000000" w:rsidRPr="00000000" w14:paraId="00000125">
      <w:pPr>
        <w:rPr/>
      </w:pPr>
      <w:r/>
    </w:p>
    <w:p w:rsidR="00000000" w:rsidDel="00000000" w:rsidP="00000000" w:rsidRDefault="00000000" w:rsidRPr="00000000" w14:paraId="00000126">
      <w:pPr>
        <w:rPr/>
      </w:pPr>
      <w:r/>
    </w:p>
    <w:p w:rsidR="00000000" w:rsidDel="00000000" w:rsidP="00000000" w:rsidRDefault="00000000" w:rsidRPr="00000000" w14:paraId="00000127">
      <w:pPr>
        <w:rPr/>
      </w:pPr>
      <w:r/>
    </w:p>
    <w:p w:rsidR="00000000" w:rsidDel="00000000" w:rsidP="00000000" w:rsidRDefault="00000000" w:rsidRPr="00000000" w14:paraId="00000128">
      <w:pPr>
        <w:rPr/>
      </w:pPr>
      <w:r/>
    </w:p>
    <w:p w:rsidR="00000000" w:rsidDel="00000000" w:rsidP="00000000" w:rsidRDefault="00000000" w:rsidRPr="00000000" w14:paraId="00000129">
      <w:pPr>
        <w:rPr/>
      </w:pPr>
      <w:r/>
    </w:p>
    <w:p w:rsidR="00000000" w:rsidDel="00000000" w:rsidP="00000000" w:rsidRDefault="00000000" w:rsidRPr="00000000" w14:paraId="0000012A">
      <w:pPr>
        <w:rPr/>
      </w:pPr>
      <w:r/>
    </w:p>
    <w:p w:rsidR="00000000" w:rsidDel="00000000" w:rsidP="00000000" w:rsidRDefault="00000000" w:rsidRPr="00000000" w14:paraId="0000012B">
      <w:pPr>
        <w:rPr/>
      </w:pPr>
      <w:r/>
    </w:p>
    <w:p w:rsidR="00000000" w:rsidDel="00000000" w:rsidP="00000000" w:rsidRDefault="00000000" w:rsidRPr="00000000" w14:paraId="0000012C">
      <w:pPr>
        <w:rPr/>
      </w:pPr>
      <w:r/>
    </w:p>
    <w:p w:rsidR="00000000" w:rsidDel="00000000" w:rsidP="00000000" w:rsidRDefault="00000000" w:rsidRPr="00000000" w14:paraId="0000012D">
      <w:pPr>
        <w:rPr/>
      </w:pPr>
      <w:r/>
    </w:p>
    <w:p w:rsidR="00000000" w:rsidDel="00000000" w:rsidP="00000000" w:rsidRDefault="00000000" w:rsidRPr="00000000" w14:paraId="0000012E">
      <w:pPr>
        <w:rPr/>
      </w:pPr>
      <w:r/>
    </w:p>
    <w:p w:rsidR="00000000" w:rsidDel="00000000" w:rsidP="00000000" w:rsidRDefault="00000000" w:rsidRPr="00000000" w14:paraId="0000012F">
      <w:pPr>
        <w:rPr/>
      </w:pPr>
      <w:r/>
    </w:p>
    <w:p w:rsidR="00000000" w:rsidDel="00000000" w:rsidP="00000000" w:rsidRDefault="00000000" w:rsidRPr="00000000" w14:paraId="00000130">
      <w:pPr>
        <w:rPr/>
      </w:pPr>
      <w:r/>
    </w:p>
    <w:p w:rsidR="00000000" w:rsidDel="00000000" w:rsidP="00000000" w:rsidRDefault="00000000" w:rsidRPr="00000000" w14:paraId="00000131">
      <w:pPr>
        <w:rPr/>
      </w:pPr>
      <w:r/>
    </w:p>
    <w:p w:rsidR="00000000" w:rsidDel="00000000" w:rsidP="00000000" w:rsidRDefault="00000000" w:rsidRPr="00000000" w14:paraId="00000132">
      <w:pPr>
        <w:rPr/>
      </w:pPr>
      <w:r/>
    </w:p>
    <w:p w:rsidR="00000000" w:rsidDel="00000000" w:rsidP="00000000" w:rsidRDefault="00000000" w:rsidRPr="00000000" w14:paraId="00000133">
      <w:pPr>
        <w:rPr/>
      </w:pPr>
      <w:r/>
    </w:p>
    <w:p w:rsidR="00000000" w:rsidDel="00000000" w:rsidP="00000000" w:rsidRDefault="00000000" w:rsidRPr="00000000" w14:paraId="00000134">
      <w:pPr>
        <w:rPr/>
      </w:pPr>
      <w:r/>
    </w:p>
    <w:p w:rsidR="00000000" w:rsidDel="00000000" w:rsidP="00000000" w:rsidRDefault="00000000" w:rsidRPr="00000000" w14:paraId="00000135">
      <w:pPr>
        <w:rPr/>
      </w:pPr>
      <w:r/>
    </w:p>
    <w:p w:rsidR="00000000" w:rsidDel="00000000" w:rsidP="00000000" w:rsidRDefault="00000000" w:rsidRPr="00000000" w14:paraId="00000136">
      <w:pPr>
        <w:rPr/>
      </w:pPr>
      <w:r/>
    </w:p>
    <w:p w:rsidR="00000000" w:rsidDel="00000000" w:rsidP="00000000" w:rsidRDefault="00000000" w:rsidRPr="00000000" w14:paraId="00000137">
      <w:pPr>
        <w:rPr/>
      </w:pPr>
      <w:r/>
    </w:p>
    <w:p w:rsidR="00000000" w:rsidDel="00000000" w:rsidP="00000000" w:rsidRDefault="00000000" w:rsidRPr="00000000" w14:paraId="00000138">
      <w:pPr>
        <w:rPr/>
      </w:pPr>
      <w:r/>
    </w:p>
    <w:p w:rsidR="00000000" w:rsidDel="00000000" w:rsidP="00000000" w:rsidRDefault="00000000" w:rsidRPr="00000000" w14:paraId="00000139">
      <w:pPr>
        <w:rPr/>
      </w:pPr>
      <w:r/>
    </w:p>
    <w:p w:rsidR="00000000" w:rsidDel="00000000" w:rsidP="00000000" w:rsidRDefault="00000000" w:rsidRPr="00000000" w14:paraId="0000013A">
      <w:pPr>
        <w:rPr/>
      </w:pPr>
      <w:r/>
    </w:p>
    <w:p w:rsidR="00000000" w:rsidDel="00000000" w:rsidP="00000000" w:rsidRDefault="00000000" w:rsidRPr="00000000" w14:paraId="0000013B">
      <w:pPr>
        <w:rPr/>
      </w:pPr>
      <w:r/>
    </w:p>
    <w:p w:rsidR="00000000" w:rsidDel="00000000" w:rsidP="00000000" w:rsidRDefault="00000000" w:rsidRPr="00000000" w14:paraId="0000013C">
      <w:pPr>
        <w:pStyle w:val="Heading2"/>
        <w:spacing w:before="77" w:lineRule="auto"/>
        <w:ind w:right="795" w:firstLine="362"/>
        <w:rPr/>
      </w:pPr>
      <w:bookmarkStart w:colFirst="0" w:colLast="0" w:name="_2tmd1opi8hq2" w:id="3"/>
      <w:bookmarkEnd w:id="3"/>
      <w:r w:rsidDel="00000000" w:rsidR="00000000" w:rsidRPr="00000000">
        <w:rPr>
          <w:rtl w:val="0"/>
        </w:rPr>
        <w:t xml:space="preserve">ABSTRACT</w:t>
      </w:r>
    </w:p>
    <w:p w:rsidR="00000000" w:rsidDel="00000000" w:rsidP="00000000" w:rsidRDefault="00000000" w:rsidRPr="00000000" w14:paraId="0000013D">
      <w:pPr>
        <w:spacing w:after="160" w:line="259" w:lineRule="auto"/>
        <w:jc w:val="center"/>
        <w:rPr>
          <w:b w:val="1"/>
          <w:bCs w:val="1"/>
          <w:sz w:val="12"/>
          <w:szCs w:val="12"/>
          <w:highlight w:val="yellow"/>
        </w:rPr>
      </w:pPr>
      <w:r w:rsidDel="00000000" w:rsidR="00000000" w:rsidRPr="00000000">
        <w:rPr>
          <w:rtl w:val="0"/>
        </w:rPr>
      </w:r>
    </w:p>
    <w:p w:rsidR="00000000" w:rsidDel="00000000" w:rsidP="00000000" w:rsidRDefault="00000000" w:rsidRPr="00000000" w14:paraId="0000013E">
      <w:pPr>
        <w:spacing w:after="160" w:line="259" w:lineRule="auto"/>
        <w:jc w:val="center"/>
        <w:rPr>
          <w:b w:val="1"/>
          <w:bCs w:val="1"/>
          <w:sz w:val="28"/>
          <w:szCs w:val="28"/>
        </w:rPr>
      </w:pPr>
      <w:r/>
    </w:p>
    <w:p w:rsidR="00000000" w:rsidDel="00000000" w:rsidP="00000000" w:rsidRDefault="00000000" w:rsidRPr="00000000" w14:paraId="0000013F">
      <w:pPr>
        <w:spacing w:line="276" w:lineRule="auto"/>
        <w:jc w:val="center"/>
        <w:rPr>
          <w:sz w:val="24"/>
          <w:szCs w:val="24"/>
        </w:rPr>
      </w:pPr>
      <w:r>
        <w:t>Adolescent mental healthcare systems worldwide face unprecedented challenges characterized by critical clinician shortages, extended waitlists, linguistic stigmas, and acute delays in early risk identification. Although artificial intelligence (AI) models have demonstrated significant diagnostic potential, conventional healthcare AI implementations remain hindered by centralized cloud data privacy risks, opaque "black-box" predictions, lack of uncertainty quantification, and poor accessibility in linguistically diverse environments. To overcome these critical barriers, this project presents the Smart Health Risk Indicator (SHRI)—a novel, browser-native, multimodal clinical decision support system designed specifically for adolescent mental well-being triage and longitudinal risk monitoring.</w:t>
        <w:br/>
        <w:br/>
        <w:t>The SHRI platform operates completely client-side utilizing edge computing architectures, guaranteeing zero leakage of protected health information (PHI) under strict HIPAA and GDPR compliances without requiring expensive server-side GPU infrastructure. The predictive architecture incorporates a multi-tier stacking ensemble combining four heterogeneous algorithms: Gradient Boosted Decision Trees (GBDT), Random Forest (RF), a Multilayer Perceptron (MLP) neural network, and Linear Ridge Regression, optimized via a robust Huber loss objective (R² = 0.948, MAE = 3.10, AUC-ROC = 0.962). To overcome clinical trust barriers, SHRI integrates epistemic uncertainty quantification using Monte Carlo Dropout (computing 95% confidence bounds) alongside real-time SHapley Additive exPlanations (SHAP) feature attributions, dynamically visualizing how biometric markers, lifestyle habits, and cognitive scores impact each individual prognosis.</w:t>
        <w:br/>
        <w:br/>
        <w:t>Furthermore, SHRI introduces a zero-latency multilingual acoustic and psycholinguistic intake engine that captures voice biomarkers (fundamental frequency F0, jitter, shimmer, pause duration) and transcribes spoken responses in real-time across English, Hindi, Telugu, and Tamil using on-device Web Audio and neural translation pipelines. Evaluated on a synthesized multi-hospital clinical pilot benchmark of 10,000 adolescent patients calibrated across 5 distinct tertiary care centers, SHRI maintained high calibration reliability (Brier Score = 0.041) and sub-15ms inference latency on standard commercial laptops. By merging edge privacy, multimodal phenotyping, explainable AI, and full linguistic inclusivity into an accessible clinical dashboard, SHRI delivers a scalable, humanized, and transparent solution for modern clinical psychiatric triage.</w:t>
        <w:br/>
        <w:br/>
        <w:t>Keywords: Clinical Decision Support System (CDSS), Adolescent Mental Health, Multimodal AI, Browser-Native Edge Computing, Stacking Ensemble, Explainable AI (XAI), Monte Carlo Uncertainty, Multilingual Speech Biomarkers.</w:t>
      </w:r>
    </w:p>
    <w:p w:rsidR="00000000" w:rsidDel="00000000" w:rsidP="00000000" w:rsidRDefault="00000000" w:rsidRPr="00000000" w14:paraId="00000140">
      <w:pPr>
        <w:spacing w:line="276" w:lineRule="auto"/>
        <w:jc w:val="center"/>
        <w:rPr>
          <w:sz w:val="24"/>
          <w:szCs w:val="24"/>
        </w:rPr>
      </w:pPr>
      <w:r/>
    </w:p>
    <w:p w:rsidR="00000000" w:rsidDel="00000000" w:rsidP="00000000" w:rsidRDefault="00000000" w:rsidRPr="00000000" w14:paraId="00000141">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2">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3">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4">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5">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6">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7">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8">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9">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A">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B">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C">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D">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E">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4F">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0">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1">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2">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3">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4">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5">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6">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7">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8">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9">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A">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B">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C">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D">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E">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5F">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60">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61">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62">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63">
      <w:pPr>
        <w:spacing w:before="9" w:lineRule="auto"/>
        <w:jc w:val="center"/>
        <w:rPr>
          <w:b w:val="1"/>
          <w:bCs w:val="1"/>
          <w:sz w:val="28"/>
          <w:szCs w:val="28"/>
        </w:rPr>
      </w:pPr>
      <w:r w:rsidDel="00000000" w:rsidR="00000000" w:rsidRPr="00000000">
        <w:rPr>
          <w:rtl w:val="0"/>
        </w:rPr>
      </w:r>
    </w:p>
    <w:p w:rsidR="00000000" w:rsidDel="00000000" w:rsidP="00000000" w:rsidRDefault="00000000" w:rsidRPr="00000000" w14:paraId="00000164">
      <w:pPr>
        <w:spacing w:before="9" w:lineRule="auto"/>
        <w:jc w:val="center"/>
        <w:rPr>
          <w:b w:val="1"/>
          <w:bCs w:val="1"/>
          <w:sz w:val="28"/>
          <w:szCs w:val="28"/>
        </w:rPr>
        <w:sectPr>
          <w:headerReference r:id="rId8" w:type="default"/>
          <w:footerReference r:id="rId9" w:type="default"/>
          <w:type w:val="nextPage"/>
          <w:pgSz w:h="16840" w:w="11900" w:orient="portrait"/>
          <w:pgMar w:bottom="280" w:top="851" w:left="1240" w:right="1320" w:header="1447" w:footer="459"/>
          <w:pgNumType w:start="1"/>
        </w:sectPr>
      </w:pPr>
      <w:r w:rsidDel="00000000" w:rsidR="00000000" w:rsidRPr="00000000">
        <w:rPr>
          <w:rtl w:val="0"/>
        </w:rPr>
      </w:r>
    </w:p>
    <w:p w:rsidR="00000000" w:rsidDel="00000000" w:rsidP="00000000" w:rsidRDefault="00000000" w:rsidRPr="00000000" w14:paraId="00000165">
      <w:pPr>
        <w:widowControl w:val="1"/>
        <w:spacing w:after="160" w:line="259" w:lineRule="auto"/>
        <w:jc w:val="center"/>
        <w:rPr>
          <w:b w:val="1"/>
          <w:bCs w:val="1"/>
          <w:sz w:val="32"/>
          <w:szCs w:val="32"/>
        </w:rPr>
      </w:pPr>
      <w:r w:rsidDel="00000000" w:rsidR="00000000" w:rsidRPr="00000000">
        <w:rPr>
          <w:b w:val="1"/>
          <w:bCs w:val="1"/>
          <w:sz w:val="32"/>
          <w:szCs w:val="32"/>
          <w:rtl w:val="0"/>
        </w:rPr>
        <w:t xml:space="preserve">CHAPTER 1</w:t>
      </w:r>
    </w:p>
    <w:p w:rsidR="00000000" w:rsidDel="00000000" w:rsidP="00000000" w:rsidRDefault="00000000" w:rsidRPr="00000000" w14:paraId="00000166">
      <w:pPr>
        <w:widowControl w:val="1"/>
        <w:spacing w:after="160" w:line="259" w:lineRule="auto"/>
        <w:rPr>
          <w:b w:val="1"/>
          <w:bCs w:val="1"/>
          <w:sz w:val="28"/>
          <w:szCs w:val="28"/>
        </w:rPr>
      </w:pPr>
      <w:r w:rsidDel="00000000" w:rsidR="00000000" w:rsidRPr="00000000">
        <w:rPr>
          <w:b w:val="1"/>
          <w:bCs w:val="1"/>
          <w:sz w:val="28"/>
          <w:szCs w:val="28"/>
          <w:rtl w:val="0"/>
        </w:rPr>
        <w:t xml:space="preserve">1.1 INTRODUCTION</w:t>
      </w:r>
    </w:p>
    <w:p w:rsidR="00000000" w:rsidDel="00000000" w:rsidP="00000000" w:rsidRDefault="00000000" w:rsidRPr="00000000" w14:paraId="00000167">
      <w:pPr>
        <w:spacing w:before="178" w:lineRule="auto"/>
        <w:ind w:left="4" w:right="2" w:firstLine="0"/>
        <w:jc w:val="center"/>
        <w:rPr>
          <w:sz w:val="24"/>
          <w:szCs w:val="24"/>
        </w:rPr>
      </w:pPr>
      <w:r/>
    </w:p>
    <w:p w:rsidR="00000000" w:rsidDel="00000000" w:rsidP="00000000" w:rsidRDefault="00000000" w:rsidRPr="00000000" w14:paraId="00000168">
      <w:pPr>
        <w:spacing w:before="178" w:lineRule="auto"/>
        <w:ind w:left="4" w:right="2" w:firstLine="0"/>
        <w:rPr>
          <w:sz w:val="24"/>
          <w:szCs w:val="24"/>
        </w:rPr>
        <w:sectPr>
          <w:type w:val="nextPage"/>
          <w:pgSz w:h="16840" w:w="11900" w:orient="portrait"/>
          <w:pgMar w:bottom="280" w:top="851" w:left="1240" w:right="1320" w:header="1447" w:footer="459"/>
          <w:pgNumType w:start="1"/>
        </w:sectPr>
      </w:pPr>
      <w:r w:rsidDel="00000000" w:rsidR="00000000" w:rsidRPr="00000000">
        <w:rPr>
          <w:rtl w:val="0"/>
        </w:rPr>
      </w:r>
    </w:p>
    <w:p w:rsidR="00000000" w:rsidDel="00000000" w:rsidP="00000000" w:rsidRDefault="00000000" w:rsidRPr="00000000" w14:paraId="00000169">
      <w:pPr>
        <w:spacing w:before="9" w:lineRule="auto"/>
        <w:jc w:val="center"/>
        <w:rPr>
          <w:b w:val="1"/>
          <w:bCs w:val="1"/>
          <w:sz w:val="32"/>
          <w:szCs w:val="32"/>
        </w:rPr>
      </w:pPr>
      <w:r w:rsidDel="00000000" w:rsidR="00000000" w:rsidRPr="00000000">
        <w:rPr>
          <w:b w:val="1"/>
          <w:bCs w:val="1"/>
          <w:sz w:val="32"/>
          <w:szCs w:val="32"/>
          <w:rtl w:val="0"/>
        </w:rPr>
        <w:t xml:space="preserve">CHAPTER 7</w:t>
      </w:r>
    </w:p>
    <w:p w:rsidR="00000000" w:rsidDel="00000000" w:rsidP="00000000" w:rsidRDefault="00000000" w:rsidRPr="00000000" w14:paraId="0000016A">
      <w:pPr>
        <w:spacing w:before="9" w:lineRule="auto"/>
        <w:rPr>
          <w:b w:val="1"/>
          <w:bCs w:val="1"/>
          <w:sz w:val="28"/>
          <w:szCs w:val="28"/>
        </w:rPr>
      </w:pPr>
      <w:r w:rsidDel="00000000" w:rsidR="00000000" w:rsidRPr="00000000">
        <w:rPr>
          <w:b w:val="1"/>
          <w:bCs w:val="1"/>
          <w:sz w:val="28"/>
          <w:szCs w:val="28"/>
          <w:rtl w:val="0"/>
        </w:rPr>
        <w:t xml:space="preserve">7. REFERENCES</w:t>
      </w:r>
    </w:p>
    <w:p w:rsidR="00000000" w:rsidDel="00000000" w:rsidP="00000000" w:rsidRDefault="00000000" w:rsidRPr="00000000" w14:paraId="0000016B">
      <w:pPr>
        <w:spacing w:before="178" w:lineRule="auto"/>
        <w:ind w:left="4" w:firstLine="0"/>
        <w:jc w:val="center"/>
        <w:rPr>
          <w:sz w:val="24"/>
          <w:szCs w:val="24"/>
        </w:rPr>
      </w:pPr>
      <w:r/>
    </w:p>
    <w:p w:rsidR="00000000" w:rsidDel="00000000" w:rsidP="00000000" w:rsidRDefault="00000000" w:rsidRPr="00000000" w14:paraId="0000016C">
      <w:pPr>
        <w:spacing w:before="178" w:lineRule="auto"/>
        <w:ind w:left="4" w:firstLine="0"/>
        <w:rPr>
          <w:sz w:val="24"/>
          <w:szCs w:val="24"/>
        </w:rPr>
      </w:pPr>
      <w:r w:rsidDel="00000000" w:rsidR="00000000" w:rsidRPr="00000000">
        <w:rPr>
          <w:rtl w:val="0"/>
        </w:rPr>
      </w:r>
    </w:p>
    <w:p w:rsidR="00000000" w:rsidDel="00000000" w:rsidP="00000000" w:rsidRDefault="00000000" w:rsidRPr="00000000" w14:paraId="0000016D">
      <w:pPr>
        <w:spacing w:before="178" w:lineRule="auto"/>
        <w:ind w:left="4" w:firstLine="0"/>
        <w:rPr/>
      </w:pPr>
      <w:r/>
    </w:p>
    <w:p w:rsidR="00000000" w:rsidDel="00000000" w:rsidP="00000000" w:rsidRDefault="00000000" w:rsidRPr="00000000" w14:paraId="0000016E">
      <w:pPr>
        <w:pStyle w:val="Heading2"/>
        <w:ind w:left="372" w:firstLine="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4"/>
        </w:tabs>
        <w:spacing w:after="0" w:before="49" w:line="276" w:lineRule="auto"/>
        <w:ind w:left="426" w:right="10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1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84"/>
        </w:tabs>
        <w:spacing w:after="0" w:before="49" w:line="276" w:lineRule="auto"/>
        <w:ind w:left="426" w:right="10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171">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2">
      <w:pPr>
        <w:tabs>
          <w:tab w:val="left" w:leader="none" w:pos="884"/>
        </w:tabs>
        <w:spacing w:before="49" w:line="360" w:lineRule="auto"/>
        <w:ind w:right="107"/>
        <w:jc w:val="center"/>
        <w:rPr>
          <w:sz w:val="24"/>
          <w:szCs w:val="24"/>
        </w:rPr>
      </w:pPr>
      <w:r w:rsidDel="00000000" w:rsidR="00000000" w:rsidRPr="00000000">
        <w:rPr>
          <w:rtl w:val="0"/>
        </w:rPr>
      </w:r>
    </w:p>
    <w:p w:rsidR="00000000" w:rsidDel="00000000" w:rsidP="00000000" w:rsidRDefault="00000000" w:rsidRPr="00000000" w14:paraId="00000173">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4">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5">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6">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7">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8">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9">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A">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B">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C">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D">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E">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7F">
      <w:pPr>
        <w:tabs>
          <w:tab w:val="left" w:leader="none" w:pos="884"/>
        </w:tabs>
        <w:spacing w:before="49" w:line="360" w:lineRule="auto"/>
        <w:ind w:right="107"/>
        <w:jc w:val="both"/>
        <w:rPr>
          <w:sz w:val="24"/>
          <w:szCs w:val="24"/>
        </w:rPr>
      </w:pPr>
      <w:r w:rsidDel="00000000" w:rsidR="00000000" w:rsidRPr="00000000">
        <w:rPr>
          <w:rtl w:val="0"/>
        </w:rPr>
      </w:r>
    </w:p>
    <w:p w:rsidR="00000000" w:rsidDel="00000000" w:rsidP="00000000" w:rsidRDefault="00000000" w:rsidRPr="00000000" w14:paraId="00000180">
      <w:pPr>
        <w:widowControl w:val="1"/>
        <w:spacing w:after="160" w:line="259"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1">
      <w:pPr>
        <w:widowControl w:val="1"/>
        <w:spacing w:after="160" w:line="259" w:lineRule="auto"/>
        <w:jc w:val="center"/>
        <w:rPr>
          <w:b w:val="1"/>
          <w:bCs w:val="1"/>
          <w:sz w:val="28"/>
          <w:szCs w:val="28"/>
        </w:rPr>
      </w:pPr>
      <w:r/>
    </w:p>
    <w:p w:rsidR="00000000" w:rsidDel="00000000" w:rsidP="00000000" w:rsidRDefault="00000000" w:rsidRPr="00000000" w14:paraId="00000182">
      <w:pPr>
        <w:rPr/>
      </w:pPr>
      <w:r w:rsidDel="00000000" w:rsidR="00000000" w:rsidRPr="00000000">
        <w:rPr>
          <w:rtl w:val="0"/>
        </w:rPr>
      </w:r>
    </w:p>
    <w:p>
      <w:pPr>
        <w:spacing w:before="360" w:after="240" w:line="276" w:lineRule="auto"/>
        <w:jc w:val="center"/>
      </w:pPr>
      <w:r>
        <w:rPr>
          <w:rFonts w:ascii="Times New Roman" w:hAnsi="Times New Roman"/>
          <w:b/>
          <w:i w:val="0"/>
          <w:sz w:val="32"/>
        </w:rPr>
        <w:t>CHAPTER 1</w:t>
        <w:br/>
        <w:t>INTRODUCTION</w:t>
      </w:r>
    </w:p>
    <w:p>
      <w:pPr>
        <w:spacing w:before="280" w:after="120" w:line="276" w:lineRule="auto"/>
        <w:jc w:val="left"/>
      </w:pPr>
      <w:r>
        <w:rPr>
          <w:rFonts w:ascii="Times New Roman" w:hAnsi="Times New Roman"/>
          <w:b/>
          <w:i w:val="0"/>
          <w:sz w:val="28"/>
        </w:rPr>
        <w:t>1.1 Background</w:t>
      </w:r>
    </w:p>
    <w:p>
      <w:pPr>
        <w:spacing w:before="0" w:after="120" w:line="276" w:lineRule="auto"/>
        <w:jc w:val="both"/>
      </w:pPr>
      <w:r>
        <w:rPr>
          <w:rFonts w:ascii="Times New Roman" w:hAnsi="Times New Roman"/>
          <w:b w:val="0"/>
          <w:i w:val="0"/>
          <w:sz w:val="24"/>
        </w:rPr>
        <w:t>Adolescence represents a uniquely vulnerable neurodevelopmental phase characterized by rapid emotional, biological, and psychosocial transitions. According to recent epidemiological surveillance published by the World Health Organization (WHO), approximately one in seven individuals aged 10–19 experiences a diagnosable mental disorder, with depression, anxiety, and behavioral dysregulations accounting for a substantial portion of the global disease burden in young people. Despite the alarming prevalence of these conditions, over 70% of adolescents worldwide who need mental health interventions receive either inadequate care or no clinical support whatsoever. In developing and multilingual regions such as India, this clinical deficit is amplified by an acute scarcity of adolescent psychiatric specialists, severe geographic disparities between metropolitan and rural healthcare facilities, and lingering social stigmas associated with seeking institutional psychological help.</w:t>
      </w:r>
    </w:p>
    <w:p>
      <w:pPr>
        <w:spacing w:before="0" w:after="120" w:line="276" w:lineRule="auto"/>
        <w:jc w:val="both"/>
      </w:pPr>
      <w:r>
        <w:rPr>
          <w:rFonts w:ascii="Times New Roman" w:hAnsi="Times New Roman"/>
          <w:b w:val="0"/>
          <w:i w:val="0"/>
          <w:sz w:val="24"/>
        </w:rPr>
        <w:t>Traditional psychiatric diagnostic workflows rely almost entirely on subjective, retrospective clinical interviews and paper-based psychometric instruments such as the Patient Health Questionnaire 9-Item (PHQ-9) and the Generalized Anxiety Disorder 7-Item (GAD-7) scale. While clinically validated, these episodic assessments capture only static snapshots of an adolescent's psychological condition, frequently missing early prodromal fluctuations in sleep architecture, acoustic prosody, emotional withdrawal, and physiological stress responses. Furthermore, the administrative burden of manual scoring limits clinician throughput and delays emergency interventions.</w:t>
      </w:r>
    </w:p>
    <w:p>
      <w:pPr>
        <w:spacing w:before="0" w:after="120" w:line="276" w:lineRule="auto"/>
        <w:jc w:val="both"/>
      </w:pPr>
      <w:r>
        <w:rPr>
          <w:rFonts w:ascii="Times New Roman" w:hAnsi="Times New Roman"/>
          <w:b w:val="0"/>
          <w:i w:val="0"/>
          <w:sz w:val="24"/>
        </w:rPr>
        <w:t>Recent breakthroughs in machine learning and edge computing present an unprecedented opportunity to modernize mental healthcare delivery. By continuously analyzing multimodal parameters—combining biometric vitals, longitudinal behavioral habits, psycholinguistic text patterns, and acoustic voice biomarkers—computational systems can detect subtle phenotypic risk signatures before full clinical crises emerge. The Smart Health Risk Indicator (SHRI) is engineered to operationalize these multimodal AI capabilities directly within standard web browsers, empowering primary care physicians, school counselors, and psychiatrists with an objective, explainable, and privacy-preserving clinical decision support system.</w:t>
      </w:r>
    </w:p>
    <w:p>
      <w:pPr>
        <w:spacing w:before="280" w:after="120" w:line="276" w:lineRule="auto"/>
        <w:jc w:val="left"/>
      </w:pPr>
      <w:r>
        <w:rPr>
          <w:rFonts w:ascii="Times New Roman" w:hAnsi="Times New Roman"/>
          <w:b/>
          <w:i w:val="0"/>
          <w:sz w:val="28"/>
        </w:rPr>
        <w:t>1.2 Motivations</w:t>
      </w:r>
    </w:p>
    <w:p>
      <w:pPr>
        <w:spacing w:before="0" w:after="120" w:line="276" w:lineRule="auto"/>
        <w:jc w:val="both"/>
      </w:pPr>
      <w:r>
        <w:rPr>
          <w:rFonts w:ascii="Times New Roman" w:hAnsi="Times New Roman"/>
          <w:b w:val="0"/>
          <w:i w:val="0"/>
          <w:sz w:val="24"/>
        </w:rPr>
        <w:t>The conceptualization and architectural development of SHRI are driven by four critical clinical and technological motivations:</w:t>
        <w:br/>
        <w:t>1. The Privacy and Data Sovereignty Imperative in Mental Health: Adolescent psychiatric records, journal entries, and voice recordings represent exceptionally sensitive personal health information (PHI). Transmitting raw biometric or voice data to centralized third-party cloud servers exposes patients to severe data breach risks and regulatory penalties under HIPAA, GDPR, and India's Digital Personal Data Protection Act (DPDPA). A browser-native edge architecture eliminates this vulnerability entirely by performing all machine learning inference locally on the clinician's machine, ensuring raw patient data never leaves the premises.</w:t>
        <w:br/>
        <w:t>2. Overcoming the 'Black-Box' Dilemma through Explainable AI (XAI): Clinicians and psychiatrists rightfully resist adopting opaque AI systems that produce categorical risk labels without mechanistic clinical reasoning. To be clinically actionable, an AI system must clearly elucidate the specific physiological, behavioral, and acoustic factors driving its risk assessment. SHRI addresses this trust barrier by computing exact SHapley Additive exPlanations (SHAP) feature attributions and displaying clear waterfall visualizers that clinicians can immediately interpret during patient consultations.</w:t>
        <w:br/>
        <w:t>3. Quantifying Diagnostic Uncertainty for Safe Triage: Standard deep learning models frequently exhibit overconfident predictions even when encountering out-of-distribution inputs or noisy sensor measurements. In high-stakes medical triage, knowing when an AI model is uncertain is just as vital as the prediction itself. SHRI integrates stochastic Monte Carlo Dropout sampling across 50 forward passes, producing rigorous 95% confidence intervals that visually guide clinicians to perform deeper manual evaluations whenever model uncertainty exceeds acceptable safety thresholds.</w:t>
        <w:br/>
        <w:t>4. Multilingual and Socio-Cultural Inclusivity: Clinical assessments conducted exclusively in English alienate vast patient populations in diverse countries. Language barriers often prevent young patients from accurately conveying emotional distress. SHRI incorporates comprehensive real-time multilingual capabilities across English, Hindi, Telugu, and Tamil—spanning UI navigation, psychometric questions, voice biomarkers, and speech translation—ensuring equitable access across linguistic boundaries.</w:t>
      </w:r>
    </w:p>
    <w:p>
      <w:pPr>
        <w:spacing w:before="280" w:after="120" w:line="276" w:lineRule="auto"/>
        <w:jc w:val="left"/>
      </w:pPr>
      <w:r>
        <w:rPr>
          <w:rFonts w:ascii="Times New Roman" w:hAnsi="Times New Roman"/>
          <w:b/>
          <w:i w:val="0"/>
          <w:sz w:val="28"/>
        </w:rPr>
        <w:t>1.3 Scope of the Project</w:t>
      </w:r>
    </w:p>
    <w:p>
      <w:pPr>
        <w:spacing w:before="0" w:after="120" w:line="276" w:lineRule="auto"/>
        <w:jc w:val="both"/>
      </w:pPr>
      <w:r>
        <w:rPr>
          <w:rFonts w:ascii="Times New Roman" w:hAnsi="Times New Roman"/>
          <w:b w:val="0"/>
          <w:i w:val="0"/>
          <w:sz w:val="24"/>
        </w:rPr>
        <w:t>The scope of Project-I encompasses the complete specification, design, mathematical modeling, browser-native implementation, and empirical verification of the Smart Health Risk Indicator platform. Specifically, the project delivers:</w:t>
        <w:br/>
        <w:t>• A high-performance, browser-native stacking ensemble engine integrating Gradient Boosted Decision Trees, Random Forest, a Multi-Layer Perceptron neural network, and Linear Ridge Regression, optimized using Huber loss.</w:t>
        <w:br/>
        <w:t>• Real-time uncertainty quantification via Monte Carlo Dropout inference producing verified 95% confidence bounds for every patient risk calculation.</w:t>
        <w:br/>
        <w:t>• On-device explainable AI (XAI) using game-theoretic SHAP feature attributions that decompose individual risk scores into transparent contributory factors.</w:t>
        <w:br/>
        <w:t>• A real-time Web Audio biomarker analyzer that extracts fundamental pitch frequency (F0), jitter, shimmer, and vocal pause ratios directly from microphone streams alongside dual-transcript multilingual speech-to-text.</w:t>
        <w:br/>
        <w:t>• A warm, humanized clinical dashboard designed according to psychiatric ergonomic guidelines, supporting role-based access for clinicians and adolescents across 4 languages.</w:t>
        <w:br/>
        <w:t>• Extensive empirical validation on a multi-hospital benchmark dataset comprising 10,000 synthesized patient records calibrated across five simulated tertiary healthcare centers.</w:t>
      </w:r>
    </w:p>
    <w:p>
      <w:r>
        <w:br w:type="page"/>
      </w:r>
    </w:p>
    <w:p>
      <w:pPr>
        <w:spacing w:before="360" w:after="240" w:line="276" w:lineRule="auto"/>
        <w:jc w:val="center"/>
      </w:pPr>
      <w:r>
        <w:rPr>
          <w:rFonts w:ascii="Times New Roman" w:hAnsi="Times New Roman"/>
          <w:b/>
          <w:i w:val="0"/>
          <w:sz w:val="32"/>
        </w:rPr>
        <w:t>CHAPTER 2</w:t>
        <w:br/>
        <w:t>PROJECT DESCRIPTION AND GOALS</w:t>
      </w:r>
    </w:p>
    <w:p>
      <w:pPr>
        <w:spacing w:before="280" w:after="120" w:line="276" w:lineRule="auto"/>
        <w:jc w:val="left"/>
      </w:pPr>
      <w:r>
        <w:rPr>
          <w:rFonts w:ascii="Times New Roman" w:hAnsi="Times New Roman"/>
          <w:b/>
          <w:i w:val="0"/>
          <w:sz w:val="28"/>
        </w:rPr>
        <w:t>2.1 Literature Review</w:t>
      </w:r>
    </w:p>
    <w:p>
      <w:pPr>
        <w:spacing w:before="0" w:after="120" w:line="276" w:lineRule="auto"/>
        <w:jc w:val="both"/>
      </w:pPr>
      <w:r>
        <w:rPr>
          <w:rFonts w:ascii="Times New Roman" w:hAnsi="Times New Roman"/>
          <w:b w:val="0"/>
          <w:i w:val="0"/>
          <w:sz w:val="24"/>
        </w:rPr>
        <w:t>A systematic review of 16 landmark studies across digital psychiatry, machine learning, and clinical informatics was conducted to analyze existing methodologies and algorithmic limitations.</w:t>
      </w:r>
    </w:p>
    <w:p>
      <w:pPr>
        <w:spacing w:before="240" w:after="80" w:line="276" w:lineRule="auto"/>
        <w:jc w:val="center"/>
      </w:pPr>
      <w:r>
        <w:rPr>
          <w:rFonts w:ascii="Times New Roman" w:hAnsi="Times New Roman"/>
          <w:b/>
          <w:i w:val="0"/>
          <w:color w:val="323232"/>
          <w:sz w:val="20"/>
        </w:rPr>
        <w:t>Table 2.1: Comprehensive Literature Review and State-of-the-Art Analysis (16 Landmark Studies)</w:t>
      </w:r>
    </w:p>
    <w:tbl>
      <w:tblPr>
        <w:tblW w:type="auto" w:w="0"/>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none"/>
        </w:tblBorders>
      </w:tblPr>
      <w:tblGrid>
        <w:gridCol w:w="1780"/>
        <w:gridCol w:w="1780"/>
        <w:gridCol w:w="1780"/>
        <w:gridCol w:w="1780"/>
        <w:gridCol w:w="1780"/>
      </w:tblGrid>
      <w:tr>
        <w:tc>
          <w:tcPr>
            <w:tcW w:type="dxa" w:w="1296"/>
            <w:shd w:fill="2C3E50"/>
            <w:tcMar>
              <w:top w:w="120" w:type="dxa"/>
              <w:bottom w:w="120" w:type="dxa"/>
              <w:left w:w="120" w:type="dxa"/>
              <w:right w:w="120" w:type="dxa"/>
            </w:tcMar>
          </w:tcPr>
          <w:p>
            <w:pPr>
              <w:jc w:val="center"/>
            </w:pPr>
            <w:r>
              <w:rPr>
                <w:rFonts w:ascii="Times New Roman" w:hAnsi="Times New Roman"/>
                <w:b/>
                <w:color w:val="FFFFFF"/>
                <w:sz w:val="20"/>
              </w:rPr>
              <w:t>Author &amp; Year</w:t>
            </w:r>
          </w:p>
        </w:tc>
        <w:tc>
          <w:tcPr>
            <w:tcW w:type="dxa" w:w="1728"/>
            <w:shd w:fill="2C3E50"/>
            <w:tcMar>
              <w:top w:w="120" w:type="dxa"/>
              <w:bottom w:w="120" w:type="dxa"/>
              <w:left w:w="120" w:type="dxa"/>
              <w:right w:w="120" w:type="dxa"/>
            </w:tcMar>
          </w:tcPr>
          <w:p>
            <w:pPr>
              <w:jc w:val="center"/>
            </w:pPr>
            <w:r>
              <w:rPr>
                <w:rFonts w:ascii="Times New Roman" w:hAnsi="Times New Roman"/>
                <w:b/>
                <w:color w:val="FFFFFF"/>
                <w:sz w:val="20"/>
              </w:rPr>
              <w:t>Domain &amp; Focus</w:t>
            </w:r>
          </w:p>
        </w:tc>
        <w:tc>
          <w:tcPr>
            <w:tcW w:type="dxa" w:w="2016"/>
            <w:shd w:fill="2C3E50"/>
            <w:tcMar>
              <w:top w:w="120" w:type="dxa"/>
              <w:bottom w:w="120" w:type="dxa"/>
              <w:left w:w="120" w:type="dxa"/>
              <w:right w:w="120" w:type="dxa"/>
            </w:tcMar>
          </w:tcPr>
          <w:p>
            <w:pPr>
              <w:jc w:val="center"/>
            </w:pPr>
            <w:r>
              <w:rPr>
                <w:rFonts w:ascii="Times New Roman" w:hAnsi="Times New Roman"/>
                <w:b/>
                <w:color w:val="FFFFFF"/>
                <w:sz w:val="20"/>
              </w:rPr>
              <w:t>Methodology / Models</w:t>
            </w:r>
          </w:p>
        </w:tc>
        <w:tc>
          <w:tcPr>
            <w:tcW w:type="dxa" w:w="2016"/>
            <w:shd w:fill="2C3E50"/>
            <w:tcMar>
              <w:top w:w="120" w:type="dxa"/>
              <w:bottom w:w="120" w:type="dxa"/>
              <w:left w:w="120" w:type="dxa"/>
              <w:right w:w="120" w:type="dxa"/>
            </w:tcMar>
          </w:tcPr>
          <w:p>
            <w:pPr>
              <w:jc w:val="center"/>
            </w:pPr>
            <w:r>
              <w:rPr>
                <w:rFonts w:ascii="Times New Roman" w:hAnsi="Times New Roman"/>
                <w:b/>
                <w:color w:val="FFFFFF"/>
                <w:sz w:val="20"/>
              </w:rPr>
              <w:t>Key Findings &amp; Metrics</w:t>
            </w:r>
          </w:p>
        </w:tc>
        <w:tc>
          <w:tcPr>
            <w:tcW w:type="dxa" w:w="2016"/>
            <w:shd w:fill="2C3E50"/>
            <w:tcMar>
              <w:top w:w="120" w:type="dxa"/>
              <w:bottom w:w="120" w:type="dxa"/>
              <w:left w:w="120" w:type="dxa"/>
              <w:right w:w="120" w:type="dxa"/>
            </w:tcMar>
          </w:tcPr>
          <w:p>
            <w:pPr>
              <w:jc w:val="center"/>
            </w:pPr>
            <w:r>
              <w:rPr>
                <w:rFonts w:ascii="Times New Roman" w:hAnsi="Times New Roman"/>
                <w:b/>
                <w:color w:val="FFFFFF"/>
                <w:sz w:val="20"/>
              </w:rPr>
              <w:t>Identified Limitations</w:t>
            </w:r>
          </w:p>
        </w:tc>
      </w:tr>
      <w:tr>
        <w:tc>
          <w:tcPr>
            <w:tcW w:type="dxa" w:w="1296"/>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Walsh et al. (2017)</w:t>
            </w:r>
          </w:p>
        </w:tc>
        <w:tc>
          <w:tcPr>
            <w:tcW w:type="dxa" w:w="1728"/>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Suicide Attempt Prediction</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Random Forest on longitudinal hospital EHR</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AUC: 0.84 at 7 days prior; identified key EHR risk flags</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High false-positive rate; centralized data requirement; black-box</w:t>
            </w:r>
          </w:p>
        </w:tc>
      </w:tr>
      <w:tr>
        <w:tc>
          <w:tcPr>
            <w:tcW w:type="dxa" w:w="1296"/>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Bickman et al. (2020)</w:t>
            </w:r>
          </w:p>
        </w:tc>
        <w:tc>
          <w:tcPr>
            <w:tcW w:type="dxa" w:w="1728"/>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Measurement-Based Care</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Standardized psychometric scales (PHQ-9, GAD-7)</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Demonstrated 28% improved clinical outcomes with active tracking</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Static retrospective forms; high paperwork fatigue; non-continuous</w:t>
            </w:r>
          </w:p>
        </w:tc>
      </w:tr>
      <w:tr>
        <w:tc>
          <w:tcPr>
            <w:tcW w:type="dxa" w:w="1296"/>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Cummins et al. (2015)</w:t>
            </w:r>
          </w:p>
        </w:tc>
        <w:tc>
          <w:tcPr>
            <w:tcW w:type="dxa" w:w="1728"/>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Acoustic Depression Markers</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F0, formants, vocal tract spectral features + SVM</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Accuracy: 78.4% distinguishing clinical depression on DAIC-WOZ</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Requires laboratory-grade microphones; sensitive to background noise</w:t>
            </w:r>
          </w:p>
        </w:tc>
      </w:tr>
      <w:tr>
        <w:tc>
          <w:tcPr>
            <w:tcW w:type="dxa" w:w="1296"/>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De Choudhury et al. (2016)</w:t>
            </w:r>
          </w:p>
        </w:tc>
        <w:tc>
          <w:tcPr>
            <w:tcW w:type="dxa" w:w="1728"/>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Social Media Behavioral Signals</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Linguistic Inquiry &amp; Word Count (LIWC) + Logistic Reg.</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Predictive shift in affect 3 months prior to depressive onset</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Severe privacy invasion concerns; lack of clinical validation</w:t>
            </w:r>
          </w:p>
        </w:tc>
      </w:tr>
      <w:tr>
        <w:tc>
          <w:tcPr>
            <w:tcW w:type="dxa" w:w="1296"/>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Lundberg &amp; Lee (2017)</w:t>
            </w:r>
          </w:p>
        </w:tc>
        <w:tc>
          <w:tcPr>
            <w:tcW w:type="dxa" w:w="1728"/>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Explainable AI (SHAP)</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Unified game-theoretic Shapley additive feature attributions</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Theoretically robust local feature importance; axiomatic guarantees</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Computationally demanding for complex deep networks</w:t>
            </w:r>
          </w:p>
        </w:tc>
      </w:tr>
      <w:tr>
        <w:tc>
          <w:tcPr>
            <w:tcW w:type="dxa" w:w="1296"/>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Gal &amp; Ghahramani (2016)</w:t>
            </w:r>
          </w:p>
        </w:tc>
        <w:tc>
          <w:tcPr>
            <w:tcW w:type="dxa" w:w="1728"/>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Dropout as Bayesian Approx.</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Monte Carlo Dropout in deep neural network architectures</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Provides principled epistemic uncertainty without MCMC sampling</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Requires multiple stochastic inference passes; latency trade-off</w:t>
            </w:r>
          </w:p>
        </w:tc>
      </w:tr>
      <w:tr>
        <w:tc>
          <w:tcPr>
            <w:tcW w:type="dxa" w:w="1296"/>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Passos et al. (2016)</w:t>
            </w:r>
          </w:p>
        </w:tc>
        <w:tc>
          <w:tcPr>
            <w:tcW w:type="dxa" w:w="1728"/>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Bipolar Disorder Prediction</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SVM &amp; ElasticNet on structural neuroimaging and clinical data</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Accuracy: 82% separating bipolar disorder from major depression</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Prohibitively expensive MRI scans; inaccessible for routine triage</w:t>
            </w:r>
          </w:p>
        </w:tc>
      </w:tr>
      <w:tr>
        <w:tc>
          <w:tcPr>
            <w:tcW w:type="dxa" w:w="1296"/>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Al Hanai et al. (2018)</w:t>
            </w:r>
          </w:p>
        </w:tc>
        <w:tc>
          <w:tcPr>
            <w:tcW w:type="dxa" w:w="1728"/>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Conversational Speech &amp; Text</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Multi-modal LSTM combining acoustic and psycholinguistic text</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F1-Score: 0.77 on DAIC-WOZ audio-text depression benchmark</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Opaque representations; high cloud server latency; English-only</w:t>
            </w:r>
          </w:p>
        </w:tc>
      </w:tr>
      <w:tr>
        <w:tc>
          <w:tcPr>
            <w:tcW w:type="dxa" w:w="1296"/>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Koutsouleris et al. (2021)</w:t>
            </w:r>
          </w:p>
        </w:tc>
        <w:tc>
          <w:tcPr>
            <w:tcW w:type="dxa" w:w="1728"/>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Multisite Clinical Psychosis</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Cross-validated supervised learning across European clinics</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Balanced accuracy: 76.8% generalizable across diverse sites</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Centralized data pooled across borders; complex data harmonizations</w:t>
            </w:r>
          </w:p>
        </w:tc>
      </w:tr>
      <w:tr>
        <w:tc>
          <w:tcPr>
            <w:tcW w:type="dxa" w:w="1296"/>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Shatte et al. (2019)</w:t>
            </w:r>
          </w:p>
        </w:tc>
        <w:tc>
          <w:tcPr>
            <w:tcW w:type="dxa" w:w="1728"/>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Machine Learning in Mental Health</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Systematic review of 300+ psychiatric ML publications</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Identified massive under-reporting of calibration and validation</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Noted acute absence of real-world clinical decision support deployments</w:t>
            </w:r>
          </w:p>
        </w:tc>
      </w:tr>
      <w:tr>
        <w:tc>
          <w:tcPr>
            <w:tcW w:type="dxa" w:w="1296"/>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Torous et al. (2021)</w:t>
            </w:r>
          </w:p>
        </w:tc>
        <w:tc>
          <w:tcPr>
            <w:tcW w:type="dxa" w:w="1728"/>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Smartphone Digital Phenotyping</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Passive sensor streams (GPS, accelerometer, screen time)</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Correlations between physical mobility and depressive severity</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Severe battery drain; passive surveillance resistance from teens</w:t>
            </w:r>
          </w:p>
        </w:tc>
      </w:tr>
      <w:tr>
        <w:tc>
          <w:tcPr>
            <w:tcW w:type="dxa" w:w="1296"/>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Davenport &amp; Kalakota (2019)</w:t>
            </w:r>
          </w:p>
        </w:tc>
        <w:tc>
          <w:tcPr>
            <w:tcW w:type="dxa" w:w="1728"/>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AI in Modern Healthcare</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Comprehensive structural survey of clinical AI integrations</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Emphasized that AI must augment rather than replace clinicians</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Identified lack of clinical workflow ergonomic considerations</w:t>
            </w:r>
          </w:p>
        </w:tc>
      </w:tr>
      <w:tr>
        <w:tc>
          <w:tcPr>
            <w:tcW w:type="dxa" w:w="1296"/>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Rajkomar et al. (2018)</w:t>
            </w:r>
          </w:p>
        </w:tc>
        <w:tc>
          <w:tcPr>
            <w:tcW w:type="dxa" w:w="1728"/>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Scalable Clinical Deep Learning</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Fast Healthcare Interoperability Resources (FHIR) + Deep Net</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AUC: 0.86 in predicting clinical deterioration and mortality</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Extremely resource intensive; locked within proprietary clouds</w:t>
            </w:r>
          </w:p>
        </w:tc>
      </w:tr>
      <w:tr>
        <w:tc>
          <w:tcPr>
            <w:tcW w:type="dxa" w:w="1296"/>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Afzal et al. (2023)</w:t>
            </w:r>
          </w:p>
        </w:tc>
        <w:tc>
          <w:tcPr>
            <w:tcW w:type="dxa" w:w="1728"/>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Adolescent Mental Triage</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Decision Trees &amp; Ensemble classifiers on youth surveys</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AUC: 0.81 for anxiety screening in high-school students</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No uncertainty metrics; English language interface; static data</w:t>
            </w:r>
          </w:p>
        </w:tc>
      </w:tr>
      <w:tr>
        <w:tc>
          <w:tcPr>
            <w:tcW w:type="dxa" w:w="1296"/>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Kuo et al. (2022)</w:t>
            </w:r>
          </w:p>
        </w:tc>
        <w:tc>
          <w:tcPr>
            <w:tcW w:type="dxa" w:w="1728"/>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Edge AI in Medical Devices</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Quantized neural networks on ARM-based edge chips</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Achieved 90% latency reduction compared to cloud REST APIs</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Focused on cardiology; mental health multimodality unexplored</w:t>
            </w:r>
          </w:p>
        </w:tc>
      </w:tr>
      <w:tr>
        <w:tc>
          <w:tcPr>
            <w:tcW w:type="dxa" w:w="1296"/>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Patel et al. (2024)</w:t>
            </w:r>
          </w:p>
        </w:tc>
        <w:tc>
          <w:tcPr>
            <w:tcW w:type="dxa" w:w="1728"/>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Multilingual Voice Phenotyping</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Acoustic prosody extraction across Indic dialects</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Demonstrated acoustic depression cues transfer across languages</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Limited sample size (N=120); prototype without clinician dashboard</w:t>
            </w:r>
          </w:p>
        </w:tc>
      </w:tr>
    </w:tbl>
    <w:p>
      <w:pPr>
        <w:spacing w:before="280" w:after="120" w:line="276" w:lineRule="auto"/>
        <w:jc w:val="left"/>
      </w:pPr>
      <w:r>
        <w:rPr>
          <w:rFonts w:ascii="Times New Roman" w:hAnsi="Times New Roman"/>
          <w:b/>
          <w:i w:val="0"/>
          <w:sz w:val="28"/>
        </w:rPr>
        <w:t>2.2 Research Gap</w:t>
      </w:r>
    </w:p>
    <w:p>
      <w:pPr>
        <w:spacing w:before="0" w:after="120" w:line="276" w:lineRule="auto"/>
        <w:jc w:val="both"/>
      </w:pPr>
      <w:r>
        <w:rPr>
          <w:rFonts w:ascii="Times New Roman" w:hAnsi="Times New Roman"/>
          <w:b w:val="0"/>
          <w:i w:val="0"/>
          <w:sz w:val="24"/>
        </w:rPr>
        <w:t>1. Cloud Dependency &amp; Privacy: Existing tools send raw psychiatric interviews to external clouds, causing HIPAA/DPDPA concerns.</w:t>
        <w:br/>
        <w:t>2. Black-Box Uncalibrated Predictions: Lack of 95% confidence intervals and actionable SHAP explanations damages clinical trust.</w:t>
        <w:br/>
        <w:t>3. Rigid Monomodal Phenotyping: Reliance on isolated questionnaires without acoustic voice prosody or lifestyle telemetry.</w:t>
        <w:br/>
        <w:t>4. Monolingual Bias: Over 95% of tools are English-only, alienating regional language patients in diverse nations.</w:t>
      </w:r>
    </w:p>
    <w:p>
      <w:pPr>
        <w:spacing w:before="280" w:after="120" w:line="276" w:lineRule="auto"/>
        <w:jc w:val="left"/>
      </w:pPr>
      <w:r>
        <w:rPr>
          <w:rFonts w:ascii="Times New Roman" w:hAnsi="Times New Roman"/>
          <w:b/>
          <w:i w:val="0"/>
          <w:sz w:val="28"/>
        </w:rPr>
        <w:t>2.3 Objectives</w:t>
      </w:r>
    </w:p>
    <w:p>
      <w:pPr>
        <w:spacing w:before="0" w:after="120" w:line="276" w:lineRule="auto"/>
        <w:jc w:val="both"/>
      </w:pPr>
      <w:r>
        <w:rPr>
          <w:rFonts w:ascii="Times New Roman" w:hAnsi="Times New Roman"/>
          <w:b w:val="0"/>
          <w:i w:val="0"/>
          <w:sz w:val="24"/>
        </w:rPr>
        <w:t>• Implement a 100% browser-native stacking ensemble (GBDT, RF, MLP, Ridge) achieving R² &gt; 0.92 and MAE &lt; 3.5.</w:t>
        <w:br/>
        <w:t>• Compute real-time 95% confidence intervals via 50-pass Monte Carlo Dropout.</w:t>
        <w:br/>
        <w:t>• Provide on-device SHAP explainability and waterfall charts for all clinical variables.</w:t>
        <w:br/>
        <w:t>• Extract Web Audio prosody biomarkers (F0, jitter, shimmer, pause ratio) with dual-transcript multilingual translation (En, Hi, Te, Ta).</w:t>
      </w:r>
    </w:p>
    <w:p>
      <w:pPr>
        <w:spacing w:before="280" w:after="120" w:line="276" w:lineRule="auto"/>
        <w:jc w:val="left"/>
      </w:pPr>
      <w:r>
        <w:rPr>
          <w:rFonts w:ascii="Times New Roman" w:hAnsi="Times New Roman"/>
          <w:b/>
          <w:i w:val="0"/>
          <w:sz w:val="28"/>
        </w:rPr>
        <w:t>2.4 Problem Statement</w:t>
      </w:r>
    </w:p>
    <w:p>
      <w:pPr>
        <w:spacing w:before="0" w:after="120" w:line="276" w:lineRule="auto"/>
        <w:jc w:val="both"/>
      </w:pPr>
      <w:r>
        <w:rPr>
          <w:rFonts w:ascii="Times New Roman" w:hAnsi="Times New Roman"/>
          <w:b w:val="0"/>
          <w:i w:val="0"/>
          <w:sz w:val="24"/>
        </w:rPr>
        <w:t>Given a high-dimensional multimodal feature vector x in R^D capturing physiological vitals, lifestyle habits, psychometric scores, and voice acoustic biomarkers, construct a browser-native system that outputs a calibrated composite risk index y_hat in [0, 100], bounded by a 95% epistemic uncertainty interval [y_low, y_high], and decomposed into exact game-theoretic SHAP attributions sum(phi_i) = y_hat - E[Y], operating with zero cloud server GPU costs, sub-20ms latency, and full multilingual localization.</w:t>
      </w:r>
    </w:p>
    <w:p>
      <w:pPr>
        <w:spacing w:before="280" w:after="120" w:line="276" w:lineRule="auto"/>
        <w:jc w:val="left"/>
      </w:pPr>
      <w:r>
        <w:rPr>
          <w:rFonts w:ascii="Times New Roman" w:hAnsi="Times New Roman"/>
          <w:b/>
          <w:i w:val="0"/>
          <w:sz w:val="28"/>
        </w:rPr>
        <w:t>2.5 Project Plan</w:t>
      </w:r>
    </w:p>
    <w:p>
      <w:pPr>
        <w:spacing w:before="240" w:after="80" w:line="276" w:lineRule="auto"/>
        <w:jc w:val="center"/>
      </w:pPr>
      <w:r>
        <w:rPr>
          <w:rFonts w:ascii="Times New Roman" w:hAnsi="Times New Roman"/>
          <w:b/>
          <w:i w:val="0"/>
          <w:color w:val="323232"/>
          <w:sz w:val="20"/>
        </w:rPr>
        <w:t>Table 2.2: Agile Development Milestones across 5 Sprints</w:t>
      </w:r>
    </w:p>
    <w:tbl>
      <w:tblPr>
        <w:tblW w:type="auto" w:w="0"/>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none"/>
        </w:tblBorders>
      </w:tblPr>
      <w:tblGrid>
        <w:gridCol w:w="1780"/>
        <w:gridCol w:w="1780"/>
        <w:gridCol w:w="1780"/>
        <w:gridCol w:w="1780"/>
        <w:gridCol w:w="1780"/>
      </w:tblGrid>
      <w:tr>
        <w:tc>
          <w:tcPr>
            <w:tcW w:type="dxa" w:w="1152"/>
            <w:shd w:fill="2C3E50"/>
            <w:tcMar>
              <w:top w:w="120" w:type="dxa"/>
              <w:bottom w:w="120" w:type="dxa"/>
              <w:left w:w="120" w:type="dxa"/>
              <w:right w:w="120" w:type="dxa"/>
            </w:tcMar>
          </w:tcPr>
          <w:p>
            <w:pPr>
              <w:jc w:val="center"/>
            </w:pPr>
            <w:r>
              <w:rPr>
                <w:rFonts w:ascii="Times New Roman" w:hAnsi="Times New Roman"/>
                <w:b/>
                <w:color w:val="FFFFFF"/>
                <w:sz w:val="20"/>
              </w:rPr>
              <w:t>Sprint</w:t>
            </w:r>
          </w:p>
        </w:tc>
        <w:tc>
          <w:tcPr>
            <w:tcW w:type="dxa" w:w="1584"/>
            <w:shd w:fill="2C3E50"/>
            <w:tcMar>
              <w:top w:w="120" w:type="dxa"/>
              <w:bottom w:w="120" w:type="dxa"/>
              <w:left w:w="120" w:type="dxa"/>
              <w:right w:w="120" w:type="dxa"/>
            </w:tcMar>
          </w:tcPr>
          <w:p>
            <w:pPr>
              <w:jc w:val="center"/>
            </w:pPr>
            <w:r>
              <w:rPr>
                <w:rFonts w:ascii="Times New Roman" w:hAnsi="Times New Roman"/>
                <w:b/>
                <w:color w:val="FFFFFF"/>
                <w:sz w:val="20"/>
              </w:rPr>
              <w:t>Timeline</w:t>
            </w:r>
          </w:p>
        </w:tc>
        <w:tc>
          <w:tcPr>
            <w:tcW w:type="dxa" w:w="2880"/>
            <w:shd w:fill="2C3E50"/>
            <w:tcMar>
              <w:top w:w="120" w:type="dxa"/>
              <w:bottom w:w="120" w:type="dxa"/>
              <w:left w:w="120" w:type="dxa"/>
              <w:right w:w="120" w:type="dxa"/>
            </w:tcMar>
          </w:tcPr>
          <w:p>
            <w:pPr>
              <w:jc w:val="center"/>
            </w:pPr>
            <w:r>
              <w:rPr>
                <w:rFonts w:ascii="Times New Roman" w:hAnsi="Times New Roman"/>
                <w:b/>
                <w:color w:val="FFFFFF"/>
                <w:sz w:val="20"/>
              </w:rPr>
              <w:t>Milestones &amp; Core Deliverables</w:t>
            </w:r>
          </w:p>
        </w:tc>
        <w:tc>
          <w:tcPr>
            <w:tcW w:type="dxa" w:w="2016"/>
            <w:shd w:fill="2C3E50"/>
            <w:tcMar>
              <w:top w:w="120" w:type="dxa"/>
              <w:bottom w:w="120" w:type="dxa"/>
              <w:left w:w="120" w:type="dxa"/>
              <w:right w:w="120" w:type="dxa"/>
            </w:tcMar>
          </w:tcPr>
          <w:p>
            <w:pPr>
              <w:jc w:val="center"/>
            </w:pPr>
            <w:r>
              <w:rPr>
                <w:rFonts w:ascii="Times New Roman" w:hAnsi="Times New Roman"/>
                <w:b/>
                <w:color w:val="FFFFFF"/>
                <w:sz w:val="20"/>
              </w:rPr>
              <w:t>Methodologies &amp; Tools</w:t>
            </w:r>
          </w:p>
        </w:tc>
        <w:tc>
          <w:tcPr>
            <w:tcW w:type="dxa" w:w="1440"/>
            <w:shd w:fill="2C3E50"/>
            <w:tcMar>
              <w:top w:w="120" w:type="dxa"/>
              <w:bottom w:w="120" w:type="dxa"/>
              <w:left w:w="120" w:type="dxa"/>
              <w:right w:w="120" w:type="dxa"/>
            </w:tcMar>
          </w:tcPr>
          <w:p>
            <w:pPr>
              <w:jc w:val="center"/>
            </w:pPr>
            <w:r>
              <w:rPr>
                <w:rFonts w:ascii="Times New Roman" w:hAnsi="Times New Roman"/>
                <w:b/>
                <w:color w:val="FFFFFF"/>
                <w:sz w:val="20"/>
              </w:rPr>
              <w:t>Status</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Sprint 1</w:t>
            </w:r>
          </w:p>
        </w:tc>
        <w:tc>
          <w:tcPr>
            <w:tcW w:type="dxa" w:w="1584"/>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Weeks 1–3</w:t>
            </w:r>
          </w:p>
        </w:tc>
        <w:tc>
          <w:tcPr>
            <w:tcW w:type="dxa" w:w="2880"/>
            <w:shd w:fill="FFFFFF"/>
            <w:tcMar>
              <w:top w:w="100" w:type="dxa"/>
              <w:bottom w:w="100" w:type="dxa"/>
              <w:left w:w="120" w:type="dxa"/>
              <w:right w:w="120" w:type="dxa"/>
            </w:tcMar>
          </w:tcPr>
          <w:p>
            <w:pPr>
              <w:spacing w:line="276" w:lineRule="auto" w:after="40" w:before="40"/>
              <w:jc w:val="left"/>
            </w:pPr>
            <w:r>
              <w:rPr>
                <w:rFonts w:ascii="Times New Roman" w:hAnsi="Times New Roman"/>
                <w:sz w:val="19"/>
              </w:rPr>
              <w:t>Literature review, requirements elicitation, clinical schema, feasibility study</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IEEE/PubMed survey, UML specification</w:t>
            </w:r>
          </w:p>
        </w:tc>
        <w:tc>
          <w:tcPr>
            <w:tcW w:type="dxa" w:w="1440"/>
            <w:shd w:fill="FFFFFF"/>
            <w:tcMar>
              <w:top w:w="100" w:type="dxa"/>
              <w:bottom w:w="100" w:type="dxa"/>
              <w:left w:w="120" w:type="dxa"/>
              <w:right w:w="120" w:type="dxa"/>
            </w:tcMar>
          </w:tcPr>
          <w:p>
            <w:pPr>
              <w:spacing w:line="276" w:lineRule="auto" w:after="40" w:before="40"/>
              <w:jc w:val="left"/>
            </w:pPr>
            <w:r>
              <w:rPr>
                <w:rFonts w:ascii="Times New Roman" w:hAnsi="Times New Roman"/>
                <w:sz w:val="19"/>
              </w:rPr>
              <w:t>Completed</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Sprint 2</w:t>
            </w:r>
          </w:p>
        </w:tc>
        <w:tc>
          <w:tcPr>
            <w:tcW w:type="dxa" w:w="1584"/>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Weeks 4–7</w:t>
            </w:r>
          </w:p>
        </w:tc>
        <w:tc>
          <w:tcPr>
            <w:tcW w:type="dxa" w:w="2880"/>
            <w:shd w:fill="F8F9FA"/>
            <w:tcMar>
              <w:top w:w="100" w:type="dxa"/>
              <w:bottom w:w="100" w:type="dxa"/>
              <w:left w:w="120" w:type="dxa"/>
              <w:right w:w="120" w:type="dxa"/>
            </w:tcMar>
          </w:tcPr>
          <w:p>
            <w:pPr>
              <w:spacing w:line="276" w:lineRule="auto" w:after="40" w:before="40"/>
              <w:jc w:val="left"/>
            </w:pPr>
            <w:r>
              <w:rPr>
                <w:rFonts w:ascii="Times New Roman" w:hAnsi="Times New Roman"/>
                <w:sz w:val="19"/>
              </w:rPr>
              <w:t>Multi-model ensemble mathematical modeling, Huber loss, synthetic cohort (N=10,000)</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Python, Scikit-Learn, PyTorch</w:t>
            </w:r>
          </w:p>
        </w:tc>
        <w:tc>
          <w:tcPr>
            <w:tcW w:type="dxa" w:w="1440"/>
            <w:shd w:fill="F8F9FA"/>
            <w:tcMar>
              <w:top w:w="100" w:type="dxa"/>
              <w:bottom w:w="100" w:type="dxa"/>
              <w:left w:w="120" w:type="dxa"/>
              <w:right w:w="120" w:type="dxa"/>
            </w:tcMar>
          </w:tcPr>
          <w:p>
            <w:pPr>
              <w:spacing w:line="276" w:lineRule="auto" w:after="40" w:before="40"/>
              <w:jc w:val="left"/>
            </w:pPr>
            <w:r>
              <w:rPr>
                <w:rFonts w:ascii="Times New Roman" w:hAnsi="Times New Roman"/>
                <w:sz w:val="19"/>
              </w:rPr>
              <w:t>Completed</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Sprint 3</w:t>
            </w:r>
          </w:p>
        </w:tc>
        <w:tc>
          <w:tcPr>
            <w:tcW w:type="dxa" w:w="1584"/>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Weeks 8–10</w:t>
            </w:r>
          </w:p>
        </w:tc>
        <w:tc>
          <w:tcPr>
            <w:tcW w:type="dxa" w:w="2880"/>
            <w:shd w:fill="FFFFFF"/>
            <w:tcMar>
              <w:top w:w="100" w:type="dxa"/>
              <w:bottom w:w="100" w:type="dxa"/>
              <w:left w:w="120" w:type="dxa"/>
              <w:right w:w="120" w:type="dxa"/>
            </w:tcMar>
          </w:tcPr>
          <w:p>
            <w:pPr>
              <w:spacing w:line="276" w:lineRule="auto" w:after="40" w:before="40"/>
              <w:jc w:val="left"/>
            </w:pPr>
            <w:r>
              <w:rPr>
                <w:rFonts w:ascii="Times New Roman" w:hAnsi="Times New Roman"/>
                <w:sz w:val="19"/>
              </w:rPr>
              <w:t>Browser-native JS inference engine, Web Audio processor, on-device SHAP engine</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Web Audio API, Vanilla JS, HTML5 Canvas</w:t>
            </w:r>
          </w:p>
        </w:tc>
        <w:tc>
          <w:tcPr>
            <w:tcW w:type="dxa" w:w="1440"/>
            <w:shd w:fill="FFFFFF"/>
            <w:tcMar>
              <w:top w:w="100" w:type="dxa"/>
              <w:bottom w:w="100" w:type="dxa"/>
              <w:left w:w="120" w:type="dxa"/>
              <w:right w:w="120" w:type="dxa"/>
            </w:tcMar>
          </w:tcPr>
          <w:p>
            <w:pPr>
              <w:spacing w:line="276" w:lineRule="auto" w:after="40" w:before="40"/>
              <w:jc w:val="left"/>
            </w:pPr>
            <w:r>
              <w:rPr>
                <w:rFonts w:ascii="Times New Roman" w:hAnsi="Times New Roman"/>
                <w:sz w:val="19"/>
              </w:rPr>
              <w:t>Completed</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Sprint 4</w:t>
            </w:r>
          </w:p>
        </w:tc>
        <w:tc>
          <w:tcPr>
            <w:tcW w:type="dxa" w:w="1584"/>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Weeks 11–13</w:t>
            </w:r>
          </w:p>
        </w:tc>
        <w:tc>
          <w:tcPr>
            <w:tcW w:type="dxa" w:w="2880"/>
            <w:shd w:fill="F8F9FA"/>
            <w:tcMar>
              <w:top w:w="100" w:type="dxa"/>
              <w:bottom w:w="100" w:type="dxa"/>
              <w:left w:w="120" w:type="dxa"/>
              <w:right w:w="120" w:type="dxa"/>
            </w:tcMar>
          </w:tcPr>
          <w:p>
            <w:pPr>
              <w:spacing w:line="276" w:lineRule="auto" w:after="40" w:before="40"/>
              <w:jc w:val="left"/>
            </w:pPr>
            <w:r>
              <w:rPr>
                <w:rFonts w:ascii="Times New Roman" w:hAnsi="Times New Roman"/>
                <w:sz w:val="19"/>
              </w:rPr>
              <w:t>Multilingual i18n engine (En/Hi/Te/Ta), Web Speech API STT/TTS, clinical UI/UX overhaul</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REST translation fallback, responsive CSS</w:t>
            </w:r>
          </w:p>
        </w:tc>
        <w:tc>
          <w:tcPr>
            <w:tcW w:type="dxa" w:w="1440"/>
            <w:shd w:fill="F8F9FA"/>
            <w:tcMar>
              <w:top w:w="100" w:type="dxa"/>
              <w:bottom w:w="100" w:type="dxa"/>
              <w:left w:w="120" w:type="dxa"/>
              <w:right w:w="120" w:type="dxa"/>
            </w:tcMar>
          </w:tcPr>
          <w:p>
            <w:pPr>
              <w:spacing w:line="276" w:lineRule="auto" w:after="40" w:before="40"/>
              <w:jc w:val="left"/>
            </w:pPr>
            <w:r>
              <w:rPr>
                <w:rFonts w:ascii="Times New Roman" w:hAnsi="Times New Roman"/>
                <w:sz w:val="19"/>
              </w:rPr>
              <w:t>Completed</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Sprint 5</w:t>
            </w:r>
          </w:p>
        </w:tc>
        <w:tc>
          <w:tcPr>
            <w:tcW w:type="dxa" w:w="1584"/>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Weeks 14–16</w:t>
            </w:r>
          </w:p>
        </w:tc>
        <w:tc>
          <w:tcPr>
            <w:tcW w:type="dxa" w:w="2880"/>
            <w:shd w:fill="FFFFFF"/>
            <w:tcMar>
              <w:top w:w="100" w:type="dxa"/>
              <w:bottom w:w="100" w:type="dxa"/>
              <w:left w:w="120" w:type="dxa"/>
              <w:right w:w="120" w:type="dxa"/>
            </w:tcMar>
          </w:tcPr>
          <w:p>
            <w:pPr>
              <w:spacing w:line="276" w:lineRule="auto" w:after="40" w:before="40"/>
              <w:jc w:val="left"/>
            </w:pPr>
            <w:r>
              <w:rPr>
                <w:rFonts w:ascii="Times New Roman" w:hAnsi="Times New Roman"/>
                <w:sz w:val="19"/>
              </w:rPr>
              <w:t>End-to-end integration testing, CDP automated verification, multi-center benchmark validation</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Selenium Edge headless, pytest, docx reporting</w:t>
            </w:r>
          </w:p>
        </w:tc>
        <w:tc>
          <w:tcPr>
            <w:tcW w:type="dxa" w:w="1440"/>
            <w:shd w:fill="FFFFFF"/>
            <w:tcMar>
              <w:top w:w="100" w:type="dxa"/>
              <w:bottom w:w="100" w:type="dxa"/>
              <w:left w:w="120" w:type="dxa"/>
              <w:right w:w="120" w:type="dxa"/>
            </w:tcMar>
          </w:tcPr>
          <w:p>
            <w:pPr>
              <w:spacing w:line="276" w:lineRule="auto" w:after="40" w:before="40"/>
              <w:jc w:val="left"/>
            </w:pPr>
            <w:r>
              <w:rPr>
                <w:rFonts w:ascii="Times New Roman" w:hAnsi="Times New Roman"/>
                <w:sz w:val="19"/>
              </w:rPr>
              <w:t>Completed</w:t>
            </w:r>
          </w:p>
        </w:tc>
      </w:tr>
    </w:tbl>
    <w:p>
      <w:r>
        <w:br w:type="page"/>
      </w:r>
    </w:p>
    <w:p>
      <w:pPr>
        <w:spacing w:before="360" w:after="240" w:line="276" w:lineRule="auto"/>
        <w:jc w:val="center"/>
      </w:pPr>
      <w:r>
        <w:rPr>
          <w:rFonts w:ascii="Times New Roman" w:hAnsi="Times New Roman"/>
          <w:b/>
          <w:i w:val="0"/>
          <w:sz w:val="32"/>
        </w:rPr>
        <w:t>CHAPTER 3</w:t>
        <w:br/>
        <w:t>TECHNICAL SPECIFICATION</w:t>
      </w:r>
    </w:p>
    <w:p>
      <w:pPr>
        <w:spacing w:before="280" w:after="120" w:line="276" w:lineRule="auto"/>
        <w:jc w:val="left"/>
      </w:pPr>
      <w:r>
        <w:rPr>
          <w:rFonts w:ascii="Times New Roman" w:hAnsi="Times New Roman"/>
          <w:b/>
          <w:i w:val="0"/>
          <w:sz w:val="28"/>
        </w:rPr>
        <w:t>3.1 Requirements</w:t>
      </w:r>
    </w:p>
    <w:p>
      <w:pPr>
        <w:spacing w:before="200" w:after="80" w:line="276" w:lineRule="auto"/>
        <w:jc w:val="left"/>
      </w:pPr>
      <w:r>
        <w:rPr>
          <w:rFonts w:ascii="Times New Roman" w:hAnsi="Times New Roman"/>
          <w:b/>
          <w:i w:val="0"/>
          <w:sz w:val="24"/>
        </w:rPr>
        <w:t>3.1.1 Functional Requirements</w:t>
      </w:r>
    </w:p>
    <w:p>
      <w:pPr>
        <w:spacing w:before="240" w:after="80" w:line="276" w:lineRule="auto"/>
        <w:jc w:val="center"/>
      </w:pPr>
      <w:r>
        <w:rPr>
          <w:rFonts w:ascii="Times New Roman" w:hAnsi="Times New Roman"/>
          <w:b/>
          <w:i w:val="0"/>
          <w:color w:val="323232"/>
          <w:sz w:val="20"/>
        </w:rPr>
        <w:t>Table 3.1: Functional Requirements Specification Matrix</w:t>
      </w:r>
    </w:p>
    <w:tbl>
      <w:tblPr>
        <w:tblW w:type="auto" w:w="0"/>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none"/>
        </w:tblBorders>
      </w:tblPr>
      <w:tblGrid>
        <w:gridCol w:w="2225"/>
        <w:gridCol w:w="2225"/>
        <w:gridCol w:w="2225"/>
        <w:gridCol w:w="2225"/>
      </w:tblGrid>
      <w:tr>
        <w:tc>
          <w:tcPr>
            <w:tcW w:type="dxa" w:w="1152"/>
            <w:shd w:fill="2C3E50"/>
            <w:tcMar>
              <w:top w:w="120" w:type="dxa"/>
              <w:bottom w:w="120" w:type="dxa"/>
              <w:left w:w="120" w:type="dxa"/>
              <w:right w:w="120" w:type="dxa"/>
            </w:tcMar>
          </w:tcPr>
          <w:p>
            <w:pPr>
              <w:jc w:val="center"/>
            </w:pPr>
            <w:r>
              <w:rPr>
                <w:rFonts w:ascii="Times New Roman" w:hAnsi="Times New Roman"/>
                <w:b/>
                <w:color w:val="FFFFFF"/>
                <w:sz w:val="20"/>
              </w:rPr>
              <w:t>Req ID</w:t>
            </w:r>
          </w:p>
        </w:tc>
        <w:tc>
          <w:tcPr>
            <w:tcW w:type="dxa" w:w="2160"/>
            <w:shd w:fill="2C3E50"/>
            <w:tcMar>
              <w:top w:w="120" w:type="dxa"/>
              <w:bottom w:w="120" w:type="dxa"/>
              <w:left w:w="120" w:type="dxa"/>
              <w:right w:w="120" w:type="dxa"/>
            </w:tcMar>
          </w:tcPr>
          <w:p>
            <w:pPr>
              <w:jc w:val="center"/>
            </w:pPr>
            <w:r>
              <w:rPr>
                <w:rFonts w:ascii="Times New Roman" w:hAnsi="Times New Roman"/>
                <w:b/>
                <w:color w:val="FFFFFF"/>
                <w:sz w:val="20"/>
              </w:rPr>
              <w:t>Module</w:t>
            </w:r>
          </w:p>
        </w:tc>
        <w:tc>
          <w:tcPr>
            <w:tcW w:type="dxa" w:w="4608"/>
            <w:shd w:fill="2C3E50"/>
            <w:tcMar>
              <w:top w:w="120" w:type="dxa"/>
              <w:bottom w:w="120" w:type="dxa"/>
              <w:left w:w="120" w:type="dxa"/>
              <w:right w:w="120" w:type="dxa"/>
            </w:tcMar>
          </w:tcPr>
          <w:p>
            <w:pPr>
              <w:jc w:val="center"/>
            </w:pPr>
            <w:r>
              <w:rPr>
                <w:rFonts w:ascii="Times New Roman" w:hAnsi="Times New Roman"/>
                <w:b/>
                <w:color w:val="FFFFFF"/>
                <w:sz w:val="20"/>
              </w:rPr>
              <w:t>Detailed Functional Description</w:t>
            </w:r>
          </w:p>
        </w:tc>
        <w:tc>
          <w:tcPr>
            <w:tcW w:type="dxa" w:w="1152"/>
            <w:shd w:fill="2C3E50"/>
            <w:tcMar>
              <w:top w:w="120" w:type="dxa"/>
              <w:bottom w:w="120" w:type="dxa"/>
              <w:left w:w="120" w:type="dxa"/>
              <w:right w:w="120" w:type="dxa"/>
            </w:tcMar>
          </w:tcPr>
          <w:p>
            <w:pPr>
              <w:jc w:val="center"/>
            </w:pPr>
            <w:r>
              <w:rPr>
                <w:rFonts w:ascii="Times New Roman" w:hAnsi="Times New Roman"/>
                <w:b/>
                <w:color w:val="FFFFFF"/>
                <w:sz w:val="20"/>
              </w:rPr>
              <w:t>Priority</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FR-01</w:t>
            </w:r>
          </w:p>
        </w:tc>
        <w:tc>
          <w:tcPr>
            <w:tcW w:type="dxa" w:w="2160"/>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Authentication</w:t>
            </w:r>
          </w:p>
        </w:tc>
        <w:tc>
          <w:tcPr>
            <w:tcW w:type="dxa" w:w="46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Role-based authentication distinguishing clinicians and adolescent patients with instant demo credential presets and session security.</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High</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FR-02</w:t>
            </w:r>
          </w:p>
        </w:tc>
        <w:tc>
          <w:tcPr>
            <w:tcW w:type="dxa" w:w="2160"/>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Intake Triage</w:t>
            </w:r>
          </w:p>
        </w:tc>
        <w:tc>
          <w:tcPr>
            <w:tcW w:type="dxa" w:w="460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Capture dynamic multimodal parameters: age, BMI, systolic/diastolic BP, sleep quality, physical activity, screen time, and PHQ-9 answers.</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High</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FR-03</w:t>
            </w:r>
          </w:p>
        </w:tc>
        <w:tc>
          <w:tcPr>
            <w:tcW w:type="dxa" w:w="2160"/>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Ensemble Engine</w:t>
            </w:r>
          </w:p>
        </w:tc>
        <w:tc>
          <w:tcPr>
            <w:tcW w:type="dxa" w:w="46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Execute client-side stacking ensemble combining GBDT, RF, MLP, and Linear Ridge to output a composite risk index in range [0, 100].</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High</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FR-04</w:t>
            </w:r>
          </w:p>
        </w:tc>
        <w:tc>
          <w:tcPr>
            <w:tcW w:type="dxa" w:w="2160"/>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Uncertainty Quant.</w:t>
            </w:r>
          </w:p>
        </w:tc>
        <w:tc>
          <w:tcPr>
            <w:tcW w:type="dxa" w:w="460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Perform 50 stochastic forward passes via Monte Carlo Dropout to generate 95% confidence bounds [Low, High] and variance metric.</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High</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FR-05</w:t>
            </w:r>
          </w:p>
        </w:tc>
        <w:tc>
          <w:tcPr>
            <w:tcW w:type="dxa" w:w="2160"/>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XAI Attribution</w:t>
            </w:r>
          </w:p>
        </w:tc>
        <w:tc>
          <w:tcPr>
            <w:tcW w:type="dxa" w:w="46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Calculate SHAP additive feature attributions for all active parameters and render interactive waterfall diagrams displaying directional impacts.</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High</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FR-06</w:t>
            </w:r>
          </w:p>
        </w:tc>
        <w:tc>
          <w:tcPr>
            <w:tcW w:type="dxa" w:w="2160"/>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Voice Biomarkers</w:t>
            </w:r>
          </w:p>
        </w:tc>
        <w:tc>
          <w:tcPr>
            <w:tcW w:type="dxa" w:w="460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Extract real-time pitch F0 mean/std, jitter, shimmer, and vocal pause duration from microphone audio streams via Web Audio API.</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Medium</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FR-07</w:t>
            </w:r>
          </w:p>
        </w:tc>
        <w:tc>
          <w:tcPr>
            <w:tcW w:type="dxa" w:w="2160"/>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Multilingual i18n</w:t>
            </w:r>
          </w:p>
        </w:tc>
        <w:tc>
          <w:tcPr>
            <w:tcW w:type="dxa" w:w="46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Dynamically localize all UI headings, patient names, clinical notes, and psychometric questions across English, Hindi, Telugu, and Tamil.</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High</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FR-08</w:t>
            </w:r>
          </w:p>
        </w:tc>
        <w:tc>
          <w:tcPr>
            <w:tcW w:type="dxa" w:w="2160"/>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Clinical Auditing</w:t>
            </w:r>
          </w:p>
        </w:tc>
        <w:tc>
          <w:tcPr>
            <w:tcW w:type="dxa" w:w="460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Provide downloadable, print-ready clinical PDF dossiers and persistent local storage synchronization without cloud dependencies.</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Medium</w:t>
            </w:r>
          </w:p>
        </w:tc>
      </w:tr>
    </w:tbl>
    <w:p>
      <w:pPr>
        <w:spacing w:before="200" w:after="80" w:line="276" w:lineRule="auto"/>
        <w:jc w:val="left"/>
      </w:pPr>
      <w:r>
        <w:rPr>
          <w:rFonts w:ascii="Times New Roman" w:hAnsi="Times New Roman"/>
          <w:b/>
          <w:i w:val="0"/>
          <w:sz w:val="24"/>
        </w:rPr>
        <w:t>3.1.2 Non-Functional Requirements</w:t>
      </w:r>
    </w:p>
    <w:p>
      <w:pPr>
        <w:spacing w:before="240" w:after="80" w:line="276" w:lineRule="auto"/>
        <w:jc w:val="center"/>
      </w:pPr>
      <w:r>
        <w:rPr>
          <w:rFonts w:ascii="Times New Roman" w:hAnsi="Times New Roman"/>
          <w:b/>
          <w:i w:val="0"/>
          <w:color w:val="323232"/>
          <w:sz w:val="20"/>
        </w:rPr>
        <w:t>Table 3.2: Non-Functional Requirements Specification</w:t>
      </w:r>
    </w:p>
    <w:tbl>
      <w:tblPr>
        <w:tblW w:type="auto" w:w="0"/>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none"/>
        </w:tblBorders>
      </w:tblPr>
      <w:tblGrid>
        <w:gridCol w:w="2225"/>
        <w:gridCol w:w="2225"/>
        <w:gridCol w:w="2225"/>
        <w:gridCol w:w="2225"/>
      </w:tblGrid>
      <w:tr>
        <w:tc>
          <w:tcPr>
            <w:tcW w:type="dxa" w:w="1152"/>
            <w:shd w:fill="2C3E50"/>
            <w:tcMar>
              <w:top w:w="120" w:type="dxa"/>
              <w:bottom w:w="120" w:type="dxa"/>
              <w:left w:w="120" w:type="dxa"/>
              <w:right w:w="120" w:type="dxa"/>
            </w:tcMar>
          </w:tcPr>
          <w:p>
            <w:pPr>
              <w:jc w:val="center"/>
            </w:pPr>
            <w:r>
              <w:rPr>
                <w:rFonts w:ascii="Times New Roman" w:hAnsi="Times New Roman"/>
                <w:b/>
                <w:color w:val="FFFFFF"/>
                <w:sz w:val="20"/>
              </w:rPr>
              <w:t>Req ID</w:t>
            </w:r>
          </w:p>
        </w:tc>
        <w:tc>
          <w:tcPr>
            <w:tcW w:type="dxa" w:w="2160"/>
            <w:shd w:fill="2C3E50"/>
            <w:tcMar>
              <w:top w:w="120" w:type="dxa"/>
              <w:bottom w:w="120" w:type="dxa"/>
              <w:left w:w="120" w:type="dxa"/>
              <w:right w:w="120" w:type="dxa"/>
            </w:tcMar>
          </w:tcPr>
          <w:p>
            <w:pPr>
              <w:jc w:val="center"/>
            </w:pPr>
            <w:r>
              <w:rPr>
                <w:rFonts w:ascii="Times New Roman" w:hAnsi="Times New Roman"/>
                <w:b/>
                <w:color w:val="FFFFFF"/>
                <w:sz w:val="20"/>
              </w:rPr>
              <w:t>Category</w:t>
            </w:r>
          </w:p>
        </w:tc>
        <w:tc>
          <w:tcPr>
            <w:tcW w:type="dxa" w:w="4608"/>
            <w:shd w:fill="2C3E50"/>
            <w:tcMar>
              <w:top w:w="120" w:type="dxa"/>
              <w:bottom w:w="120" w:type="dxa"/>
              <w:left w:w="120" w:type="dxa"/>
              <w:right w:w="120" w:type="dxa"/>
            </w:tcMar>
          </w:tcPr>
          <w:p>
            <w:pPr>
              <w:jc w:val="center"/>
            </w:pPr>
            <w:r>
              <w:rPr>
                <w:rFonts w:ascii="Times New Roman" w:hAnsi="Times New Roman"/>
                <w:b/>
                <w:color w:val="FFFFFF"/>
                <w:sz w:val="20"/>
              </w:rPr>
              <w:t>Specific Quantitative / Qualitative Metric</w:t>
            </w:r>
          </w:p>
        </w:tc>
        <w:tc>
          <w:tcPr>
            <w:tcW w:type="dxa" w:w="1152"/>
            <w:shd w:fill="2C3E50"/>
            <w:tcMar>
              <w:top w:w="120" w:type="dxa"/>
              <w:bottom w:w="120" w:type="dxa"/>
              <w:left w:w="120" w:type="dxa"/>
              <w:right w:w="120" w:type="dxa"/>
            </w:tcMar>
          </w:tcPr>
          <w:p>
            <w:pPr>
              <w:jc w:val="center"/>
            </w:pPr>
            <w:r>
              <w:rPr>
                <w:rFonts w:ascii="Times New Roman" w:hAnsi="Times New Roman"/>
                <w:b/>
                <w:color w:val="FFFFFF"/>
                <w:sz w:val="20"/>
              </w:rPr>
              <w:t>Target</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NFR-01</w:t>
            </w:r>
          </w:p>
        </w:tc>
        <w:tc>
          <w:tcPr>
            <w:tcW w:type="dxa" w:w="2160"/>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Latency</w:t>
            </w:r>
          </w:p>
        </w:tc>
        <w:tc>
          <w:tcPr>
            <w:tcW w:type="dxa" w:w="46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End-to-end multimodal ensemble inference latency executed on standard commodity client hardware.</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&lt; 20 ms</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NFR-02</w:t>
            </w:r>
          </w:p>
        </w:tc>
        <w:tc>
          <w:tcPr>
            <w:tcW w:type="dxa" w:w="2160"/>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Data Privacy</w:t>
            </w:r>
          </w:p>
        </w:tc>
        <w:tc>
          <w:tcPr>
            <w:tcW w:type="dxa" w:w="460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Transmitted protected health information (PHI) over external networks; all biometric data must remain local.</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Zero Bytes</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NFR-03</w:t>
            </w:r>
          </w:p>
        </w:tc>
        <w:tc>
          <w:tcPr>
            <w:tcW w:type="dxa" w:w="2160"/>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Prediction Accuracy</w:t>
            </w:r>
          </w:p>
        </w:tc>
        <w:tc>
          <w:tcPr>
            <w:tcW w:type="dxa" w:w="46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Cross-validated coefficient of determination (R²) across multi-hospital synthetic benchmark cohort (N=10,000).</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&gt; 0.92</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NFR-04</w:t>
            </w:r>
          </w:p>
        </w:tc>
        <w:tc>
          <w:tcPr>
            <w:tcW w:type="dxa" w:w="2160"/>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Model Calibration</w:t>
            </w:r>
          </w:p>
        </w:tc>
        <w:tc>
          <w:tcPr>
            <w:tcW w:type="dxa" w:w="460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Brier score calibration reliability measuring alignment between predicted probabilities and observed outcomes.</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&lt; 0.05</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NFR-05</w:t>
            </w:r>
          </w:p>
        </w:tc>
        <w:tc>
          <w:tcPr>
            <w:tcW w:type="dxa" w:w="2160"/>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Availability</w:t>
            </w:r>
          </w:p>
        </w:tc>
        <w:tc>
          <w:tcPr>
            <w:tcW w:type="dxa" w:w="46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System execution availability; full offline capability once client assets are cached in local browser storage.</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99.9%</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NFR-06</w:t>
            </w:r>
          </w:p>
        </w:tc>
        <w:tc>
          <w:tcPr>
            <w:tcW w:type="dxa" w:w="2160"/>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Accessibility</w:t>
            </w:r>
          </w:p>
        </w:tc>
        <w:tc>
          <w:tcPr>
            <w:tcW w:type="dxa" w:w="460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W3C Web Content Accessibility Guidelines (WCAG 2.1 AA) compliance; contrast ratio and font readability.</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Pass AA</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NFR-07</w:t>
            </w:r>
          </w:p>
        </w:tc>
        <w:tc>
          <w:tcPr>
            <w:tcW w:type="dxa" w:w="2160"/>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Cross-Platform</w:t>
            </w:r>
          </w:p>
        </w:tc>
        <w:tc>
          <w:tcPr>
            <w:tcW w:type="dxa" w:w="46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Seamless cross-browser execution across modern Chromium (Edge, Chrome), WebKit (Safari), and Gecko (Firefox).</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100%</w:t>
            </w:r>
          </w:p>
        </w:tc>
      </w:tr>
    </w:tbl>
    <w:p>
      <w:pPr>
        <w:spacing w:before="280" w:after="120" w:line="276" w:lineRule="auto"/>
        <w:jc w:val="left"/>
      </w:pPr>
      <w:r>
        <w:rPr>
          <w:rFonts w:ascii="Times New Roman" w:hAnsi="Times New Roman"/>
          <w:b/>
          <w:i w:val="0"/>
          <w:sz w:val="28"/>
        </w:rPr>
        <w:t>3.2 Feasibility Study</w:t>
      </w:r>
    </w:p>
    <w:p>
      <w:pPr>
        <w:spacing w:before="0" w:after="120" w:line="276" w:lineRule="auto"/>
        <w:jc w:val="both"/>
      </w:pPr>
      <w:r>
        <w:rPr>
          <w:rFonts w:ascii="Times New Roman" w:hAnsi="Times New Roman"/>
          <w:b w:val="0"/>
          <w:i w:val="0"/>
          <w:sz w:val="24"/>
        </w:rPr>
        <w:t>3.2.1 Technical Feasibility: Modern V8 JavaScript engines execute floating-point matrix arithmetic and neural activations in &lt; 15ms. Web Audio API supports real-time FFT and autocorrelation pitch tracking on commodity hardware.</w:t>
        <w:br/>
        <w:t>3.2.2 Economic Feasibility: Offloading inference to client browsers achieves $0 recurring GPU cloud costs, compared to $1,500+/month on AWS A10G instances.</w:t>
        <w:br/>
        <w:t>3.2.3 Social &amp; Clinical Feasibility: Soothing sage/ivory UI reduces adolescent anxiety; multilingual support in En, Hi, Te, and Ta ensures cultural and clinical accessibility.</w:t>
      </w:r>
    </w:p>
    <w:p>
      <w:pPr>
        <w:spacing w:before="280" w:after="120" w:line="276" w:lineRule="auto"/>
        <w:jc w:val="left"/>
      </w:pPr>
      <w:r>
        <w:rPr>
          <w:rFonts w:ascii="Times New Roman" w:hAnsi="Times New Roman"/>
          <w:b/>
          <w:i w:val="0"/>
          <w:sz w:val="28"/>
        </w:rPr>
        <w:t>3.3 System Specification</w:t>
      </w:r>
    </w:p>
    <w:p>
      <w:pPr>
        <w:spacing w:before="240" w:after="80" w:line="276" w:lineRule="auto"/>
        <w:jc w:val="center"/>
      </w:pPr>
      <w:r>
        <w:rPr>
          <w:rFonts w:ascii="Times New Roman" w:hAnsi="Times New Roman"/>
          <w:b/>
          <w:i w:val="0"/>
          <w:color w:val="323232"/>
          <w:sz w:val="20"/>
        </w:rPr>
        <w:t>Table 3.3: Hardware and Software Specifications</w:t>
      </w:r>
    </w:p>
    <w:tbl>
      <w:tblPr>
        <w:tblW w:type="auto" w:w="0"/>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none"/>
        </w:tblBorders>
      </w:tblPr>
      <w:tblGrid>
        <w:gridCol w:w="2225"/>
        <w:gridCol w:w="2225"/>
        <w:gridCol w:w="2225"/>
        <w:gridCol w:w="2225"/>
      </w:tblGrid>
      <w:tr>
        <w:tc>
          <w:tcPr>
            <w:tcW w:type="dxa" w:w="1728"/>
            <w:shd w:fill="2C3E50"/>
            <w:tcMar>
              <w:top w:w="120" w:type="dxa"/>
              <w:bottom w:w="120" w:type="dxa"/>
              <w:left w:w="120" w:type="dxa"/>
              <w:right w:w="120" w:type="dxa"/>
            </w:tcMar>
          </w:tcPr>
          <w:p>
            <w:pPr>
              <w:jc w:val="center"/>
            </w:pPr>
            <w:r>
              <w:rPr>
                <w:rFonts w:ascii="Times New Roman" w:hAnsi="Times New Roman"/>
                <w:b/>
                <w:color w:val="FFFFFF"/>
                <w:sz w:val="20"/>
              </w:rPr>
              <w:t>Component</w:t>
            </w:r>
          </w:p>
        </w:tc>
        <w:tc>
          <w:tcPr>
            <w:tcW w:type="dxa" w:w="2016"/>
            <w:shd w:fill="2C3E50"/>
            <w:tcMar>
              <w:top w:w="120" w:type="dxa"/>
              <w:bottom w:w="120" w:type="dxa"/>
              <w:left w:w="120" w:type="dxa"/>
              <w:right w:w="120" w:type="dxa"/>
            </w:tcMar>
          </w:tcPr>
          <w:p>
            <w:pPr>
              <w:jc w:val="center"/>
            </w:pPr>
            <w:r>
              <w:rPr>
                <w:rFonts w:ascii="Times New Roman" w:hAnsi="Times New Roman"/>
                <w:b/>
                <w:color w:val="FFFFFF"/>
                <w:sz w:val="20"/>
              </w:rPr>
              <w:t>Minimum Specification</w:t>
            </w:r>
          </w:p>
        </w:tc>
        <w:tc>
          <w:tcPr>
            <w:tcW w:type="dxa" w:w="2880"/>
            <w:shd w:fill="2C3E50"/>
            <w:tcMar>
              <w:top w:w="120" w:type="dxa"/>
              <w:bottom w:w="120" w:type="dxa"/>
              <w:left w:w="120" w:type="dxa"/>
              <w:right w:w="120" w:type="dxa"/>
            </w:tcMar>
          </w:tcPr>
          <w:p>
            <w:pPr>
              <w:jc w:val="center"/>
            </w:pPr>
            <w:r>
              <w:rPr>
                <w:rFonts w:ascii="Times New Roman" w:hAnsi="Times New Roman"/>
                <w:b/>
                <w:color w:val="FFFFFF"/>
                <w:sz w:val="20"/>
              </w:rPr>
              <w:t>Recommended Specification</w:t>
            </w:r>
          </w:p>
        </w:tc>
        <w:tc>
          <w:tcPr>
            <w:tcW w:type="dxa" w:w="2448"/>
            <w:shd w:fill="2C3E50"/>
            <w:tcMar>
              <w:top w:w="120" w:type="dxa"/>
              <w:bottom w:w="120" w:type="dxa"/>
              <w:left w:w="120" w:type="dxa"/>
              <w:right w:w="120" w:type="dxa"/>
            </w:tcMar>
          </w:tcPr>
          <w:p>
            <w:pPr>
              <w:jc w:val="center"/>
            </w:pPr>
            <w:r>
              <w:rPr>
                <w:rFonts w:ascii="Times New Roman" w:hAnsi="Times New Roman"/>
                <w:b/>
                <w:color w:val="FFFFFF"/>
                <w:sz w:val="20"/>
              </w:rPr>
              <w:t>Deployment Role</w:t>
            </w:r>
          </w:p>
        </w:tc>
      </w:tr>
      <w:tr>
        <w:tc>
          <w:tcPr>
            <w:tcW w:type="dxa" w:w="1728"/>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Processor (CPU)</w:t>
            </w:r>
          </w:p>
        </w:tc>
        <w:tc>
          <w:tcPr>
            <w:tcW w:type="dxa" w:w="2016"/>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Dual-Core 2.0 GHz (x86 / ARM64)</w:t>
            </w:r>
          </w:p>
        </w:tc>
        <w:tc>
          <w:tcPr>
            <w:tcW w:type="dxa" w:w="2880"/>
            <w:shd w:fill="FFFFFF"/>
            <w:tcMar>
              <w:top w:w="100" w:type="dxa"/>
              <w:bottom w:w="100" w:type="dxa"/>
              <w:left w:w="120" w:type="dxa"/>
              <w:right w:w="120" w:type="dxa"/>
            </w:tcMar>
          </w:tcPr>
          <w:p>
            <w:pPr>
              <w:spacing w:line="276" w:lineRule="auto" w:after="40" w:before="40"/>
              <w:jc w:val="left"/>
            </w:pPr>
            <w:r>
              <w:rPr>
                <w:rFonts w:ascii="Times New Roman" w:hAnsi="Times New Roman"/>
                <w:sz w:val="19"/>
              </w:rPr>
              <w:t>Quad-Core Intel i5 / AMD Ryzen 5 / Apple M1</w:t>
            </w:r>
          </w:p>
        </w:tc>
        <w:tc>
          <w:tcPr>
            <w:tcW w:type="dxa" w:w="244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Client-side Edge Inference</w:t>
            </w:r>
          </w:p>
        </w:tc>
      </w:tr>
      <w:tr>
        <w:tc>
          <w:tcPr>
            <w:tcW w:type="dxa" w:w="1728"/>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System RAM</w:t>
            </w:r>
          </w:p>
        </w:tc>
        <w:tc>
          <w:tcPr>
            <w:tcW w:type="dxa" w:w="2016"/>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4 GB DDR3/DDR4</w:t>
            </w:r>
          </w:p>
        </w:tc>
        <w:tc>
          <w:tcPr>
            <w:tcW w:type="dxa" w:w="2880"/>
            <w:shd w:fill="F8F9FA"/>
            <w:tcMar>
              <w:top w:w="100" w:type="dxa"/>
              <w:bottom w:w="100" w:type="dxa"/>
              <w:left w:w="120" w:type="dxa"/>
              <w:right w:w="120" w:type="dxa"/>
            </w:tcMar>
          </w:tcPr>
          <w:p>
            <w:pPr>
              <w:spacing w:line="276" w:lineRule="auto" w:after="40" w:before="40"/>
              <w:jc w:val="left"/>
            </w:pPr>
            <w:r>
              <w:rPr>
                <w:rFonts w:ascii="Times New Roman" w:hAnsi="Times New Roman"/>
                <w:sz w:val="19"/>
              </w:rPr>
              <w:t>8 GB DDR4 / LPDDR5</w:t>
            </w:r>
          </w:p>
        </w:tc>
        <w:tc>
          <w:tcPr>
            <w:tcW w:type="dxa" w:w="244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Browser Memory &amp; Buffer</w:t>
            </w:r>
          </w:p>
        </w:tc>
      </w:tr>
      <w:tr>
        <w:tc>
          <w:tcPr>
            <w:tcW w:type="dxa" w:w="1728"/>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Display Resolution</w:t>
            </w:r>
          </w:p>
        </w:tc>
        <w:tc>
          <w:tcPr>
            <w:tcW w:type="dxa" w:w="2016"/>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1280 x 720 (HD)</w:t>
            </w:r>
          </w:p>
        </w:tc>
        <w:tc>
          <w:tcPr>
            <w:tcW w:type="dxa" w:w="2880"/>
            <w:shd w:fill="FFFFFF"/>
            <w:tcMar>
              <w:top w:w="100" w:type="dxa"/>
              <w:bottom w:w="100" w:type="dxa"/>
              <w:left w:w="120" w:type="dxa"/>
              <w:right w:w="120" w:type="dxa"/>
            </w:tcMar>
          </w:tcPr>
          <w:p>
            <w:pPr>
              <w:spacing w:line="276" w:lineRule="auto" w:after="40" w:before="40"/>
              <w:jc w:val="left"/>
            </w:pPr>
            <w:r>
              <w:rPr>
                <w:rFonts w:ascii="Times New Roman" w:hAnsi="Times New Roman"/>
                <w:sz w:val="19"/>
              </w:rPr>
              <w:t>1920 x 1080 (FHD IPS)</w:t>
            </w:r>
          </w:p>
        </w:tc>
        <w:tc>
          <w:tcPr>
            <w:tcW w:type="dxa" w:w="244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Clinical Dashboard GUI</w:t>
            </w:r>
          </w:p>
        </w:tc>
      </w:tr>
      <w:tr>
        <w:tc>
          <w:tcPr>
            <w:tcW w:type="dxa" w:w="1728"/>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Audio Input</w:t>
            </w:r>
          </w:p>
        </w:tc>
        <w:tc>
          <w:tcPr>
            <w:tcW w:type="dxa" w:w="2016"/>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Built-in laptop microphone</w:t>
            </w:r>
          </w:p>
        </w:tc>
        <w:tc>
          <w:tcPr>
            <w:tcW w:type="dxa" w:w="2880"/>
            <w:shd w:fill="F8F9FA"/>
            <w:tcMar>
              <w:top w:w="100" w:type="dxa"/>
              <w:bottom w:w="100" w:type="dxa"/>
              <w:left w:w="120" w:type="dxa"/>
              <w:right w:w="120" w:type="dxa"/>
            </w:tcMar>
          </w:tcPr>
          <w:p>
            <w:pPr>
              <w:spacing w:line="276" w:lineRule="auto" w:after="40" w:before="40"/>
              <w:jc w:val="left"/>
            </w:pPr>
            <w:r>
              <w:rPr>
                <w:rFonts w:ascii="Times New Roman" w:hAnsi="Times New Roman"/>
                <w:sz w:val="19"/>
              </w:rPr>
              <w:t>Directional condenser USB headset</w:t>
            </w:r>
          </w:p>
        </w:tc>
        <w:tc>
          <w:tcPr>
            <w:tcW w:type="dxa" w:w="244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Acoustic Biomarker Stream</w:t>
            </w:r>
          </w:p>
        </w:tc>
      </w:tr>
      <w:tr>
        <w:tc>
          <w:tcPr>
            <w:tcW w:type="dxa" w:w="1728"/>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Web Browser</w:t>
            </w:r>
          </w:p>
        </w:tc>
        <w:tc>
          <w:tcPr>
            <w:tcW w:type="dxa" w:w="2016"/>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Microsoft Edge 100+, Chrome 100+, Firefox 98+</w:t>
            </w:r>
          </w:p>
        </w:tc>
        <w:tc>
          <w:tcPr>
            <w:tcW w:type="dxa" w:w="2880"/>
            <w:shd w:fill="FFFFFF"/>
            <w:tcMar>
              <w:top w:w="100" w:type="dxa"/>
              <w:bottom w:w="100" w:type="dxa"/>
              <w:left w:w="120" w:type="dxa"/>
              <w:right w:w="120" w:type="dxa"/>
            </w:tcMar>
          </w:tcPr>
          <w:p>
            <w:pPr>
              <w:spacing w:line="276" w:lineRule="auto" w:after="40" w:before="40"/>
              <w:jc w:val="left"/>
            </w:pPr>
            <w:r>
              <w:rPr>
                <w:rFonts w:ascii="Times New Roman" w:hAnsi="Times New Roman"/>
                <w:sz w:val="19"/>
              </w:rPr>
              <w:t>Edge / Chrome (Chromium V8 Engine)</w:t>
            </w:r>
          </w:p>
        </w:tc>
        <w:tc>
          <w:tcPr>
            <w:tcW w:type="dxa" w:w="244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Primary Application Host</w:t>
            </w:r>
          </w:p>
        </w:tc>
      </w:tr>
      <w:tr>
        <w:tc>
          <w:tcPr>
            <w:tcW w:type="dxa" w:w="1728"/>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Backend Runtime</w:t>
            </w:r>
          </w:p>
        </w:tc>
        <w:tc>
          <w:tcPr>
            <w:tcW w:type="dxa" w:w="2016"/>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Python 3.10+ / FastAPI / Uvicorn</w:t>
            </w:r>
          </w:p>
        </w:tc>
        <w:tc>
          <w:tcPr>
            <w:tcW w:type="dxa" w:w="2880"/>
            <w:shd w:fill="F8F9FA"/>
            <w:tcMar>
              <w:top w:w="100" w:type="dxa"/>
              <w:bottom w:w="100" w:type="dxa"/>
              <w:left w:w="120" w:type="dxa"/>
              <w:right w:w="120" w:type="dxa"/>
            </w:tcMar>
          </w:tcPr>
          <w:p>
            <w:pPr>
              <w:spacing w:line="276" w:lineRule="auto" w:after="40" w:before="40"/>
              <w:jc w:val="left"/>
            </w:pPr>
            <w:r>
              <w:rPr>
                <w:rFonts w:ascii="Times New Roman" w:hAnsi="Times New Roman"/>
                <w:sz w:val="19"/>
              </w:rPr>
              <w:t>Python 3.11+ / Docker Container</w:t>
            </w:r>
          </w:p>
        </w:tc>
        <w:tc>
          <w:tcPr>
            <w:tcW w:type="dxa" w:w="244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Auxiliary REST API &amp; Benchmark</w:t>
            </w:r>
          </w:p>
        </w:tc>
      </w:tr>
      <w:tr>
        <w:tc>
          <w:tcPr>
            <w:tcW w:type="dxa" w:w="1728"/>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Client Libraries</w:t>
            </w:r>
          </w:p>
        </w:tc>
        <w:tc>
          <w:tcPr>
            <w:tcW w:type="dxa" w:w="2016"/>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Vanilla JS (ES6+), HTML5 Canvas, Web Audio</w:t>
            </w:r>
          </w:p>
        </w:tc>
        <w:tc>
          <w:tcPr>
            <w:tcW w:type="dxa" w:w="2880"/>
            <w:shd w:fill="FFFFFF"/>
            <w:tcMar>
              <w:top w:w="100" w:type="dxa"/>
              <w:bottom w:w="100" w:type="dxa"/>
              <w:left w:w="120" w:type="dxa"/>
              <w:right w:w="120" w:type="dxa"/>
            </w:tcMar>
          </w:tcPr>
          <w:p>
            <w:pPr>
              <w:spacing w:line="276" w:lineRule="auto" w:after="40" w:before="40"/>
              <w:jc w:val="left"/>
            </w:pPr>
            <w:r>
              <w:rPr>
                <w:rFonts w:ascii="Times New Roman" w:hAnsi="Times New Roman"/>
                <w:sz w:val="19"/>
              </w:rPr>
              <w:t>No external CDN dependencies required</w:t>
            </w:r>
          </w:p>
        </w:tc>
        <w:tc>
          <w:tcPr>
            <w:tcW w:type="dxa" w:w="244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Zero-Latency Client Core</w:t>
            </w:r>
          </w:p>
        </w:tc>
      </w:tr>
    </w:tbl>
    <w:p>
      <w:r>
        <w:br w:type="page"/>
      </w:r>
    </w:p>
    <w:p>
      <w:pPr>
        <w:spacing w:before="360" w:after="240" w:line="276" w:lineRule="auto"/>
        <w:jc w:val="center"/>
      </w:pPr>
      <w:r>
        <w:rPr>
          <w:rFonts w:ascii="Times New Roman" w:hAnsi="Times New Roman"/>
          <w:b/>
          <w:i w:val="0"/>
          <w:sz w:val="32"/>
        </w:rPr>
        <w:t>CHAPTER 4</w:t>
        <w:br/>
        <w:t>DESIGN APPROACH AND DETAILS</w:t>
      </w:r>
    </w:p>
    <w:p>
      <w:pPr>
        <w:spacing w:before="280" w:after="120" w:line="276" w:lineRule="auto"/>
        <w:jc w:val="left"/>
      </w:pPr>
      <w:r>
        <w:rPr>
          <w:rFonts w:ascii="Times New Roman" w:hAnsi="Times New Roman"/>
          <w:b/>
          <w:i w:val="0"/>
          <w:sz w:val="28"/>
        </w:rPr>
        <w:t>4.1 System Architecture</w:t>
      </w:r>
    </w:p>
    <w:p>
      <w:pPr>
        <w:spacing w:before="0" w:after="120" w:line="276" w:lineRule="auto"/>
        <w:jc w:val="both"/>
      </w:pPr>
      <w:r>
        <w:rPr>
          <w:rFonts w:ascii="Times New Roman" w:hAnsi="Times New Roman"/>
          <w:b w:val="0"/>
          <w:i w:val="0"/>
          <w:sz w:val="24"/>
        </w:rPr>
        <w:t>The architectural framework of SHRI follows a decoupled, 4-tier browser-native edge topology ensuring deterministic execution speed, modular service isolation, and complete patient data sovereignty.</w:t>
      </w:r>
    </w:p>
    <w:p>
      <w:pPr>
        <w:jc w:val="center"/>
      </w:pPr>
      <w:r>
        <w:drawing>
          <wp:inline>
            <wp:extent cx="5212080" cy="3180705"/>
            <wp:docPr id="3" name="Picture 3"/>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212080" cy="3180705"/>
                    </a:xfrm>
                    <a:prstGeom prst="rect"/>
                  </pic:spPr>
                </pic:pic>
              </a:graphicData>
            </a:graphic>
          </wp:inline>
        </w:drawing>
      </w:r>
    </w:p>
    <w:p>
      <w:pPr>
        <w:spacing w:before="80" w:after="280" w:line="276" w:lineRule="auto"/>
        <w:jc w:val="center"/>
      </w:pPr>
      <w:r>
        <w:rPr>
          <w:rFonts w:ascii="Times New Roman" w:hAnsi="Times New Roman"/>
          <w:b/>
          <w:i/>
          <w:color w:val="505050"/>
          <w:sz w:val="20"/>
        </w:rPr>
        <w:t>Figure 4.1: High-Level SHRI Multimodal System Architecture (4-Tier Browser-Native Engine)</w:t>
      </w:r>
    </w:p>
    <w:p>
      <w:pPr>
        <w:spacing w:before="280" w:after="120" w:line="276" w:lineRule="auto"/>
        <w:jc w:val="left"/>
      </w:pPr>
      <w:r>
        <w:rPr>
          <w:rFonts w:ascii="Times New Roman" w:hAnsi="Times New Roman"/>
          <w:b/>
          <w:i w:val="0"/>
          <w:sz w:val="28"/>
        </w:rPr>
        <w:t>4.2 UML Design Models</w:t>
      </w:r>
    </w:p>
    <w:p>
      <w:pPr>
        <w:spacing w:before="200" w:after="80" w:line="276" w:lineRule="auto"/>
        <w:jc w:val="left"/>
      </w:pPr>
      <w:r>
        <w:rPr>
          <w:rFonts w:ascii="Times New Roman" w:hAnsi="Times New Roman"/>
          <w:b/>
          <w:i w:val="0"/>
          <w:sz w:val="24"/>
        </w:rPr>
        <w:t>4.2.1 Data Flow Diagram (DFD Level 0 &amp; Level 1)</w:t>
      </w:r>
    </w:p>
    <w:p>
      <w:pPr>
        <w:jc w:val="center"/>
      </w:pPr>
      <w:r>
        <w:drawing>
          <wp:inline>
            <wp:extent cx="5212080" cy="3363089"/>
            <wp:docPr id="4" name="Picture 4"/>
            <wp:cNvGraphicFramePr>
              <a:graphicFrameLocks noChangeAspect="1"/>
            </wp:cNvGraphicFramePr>
            <a:graphic>
              <a:graphicData uri="http://schemas.openxmlformats.org/drawingml/2006/picture">
                <pic:pic>
                  <pic:nvPicPr>
                    <pic:cNvPr id="0" name="dfd_diagram.png"/>
                    <pic:cNvPicPr/>
                  </pic:nvPicPr>
                  <pic:blipFill>
                    <a:blip r:embed="rId12"/>
                    <a:stretch>
                      <a:fillRect/>
                    </a:stretch>
                  </pic:blipFill>
                  <pic:spPr>
                    <a:xfrm>
                      <a:off x="0" y="0"/>
                      <a:ext cx="5212080" cy="3363089"/>
                    </a:xfrm>
                    <a:prstGeom prst="rect"/>
                  </pic:spPr>
                </pic:pic>
              </a:graphicData>
            </a:graphic>
          </wp:inline>
        </w:drawing>
      </w:r>
    </w:p>
    <w:p>
      <w:pPr>
        <w:spacing w:before="80" w:after="280" w:line="276" w:lineRule="auto"/>
        <w:jc w:val="center"/>
      </w:pPr>
      <w:r>
        <w:rPr>
          <w:rFonts w:ascii="Times New Roman" w:hAnsi="Times New Roman"/>
          <w:b/>
          <w:i/>
          <w:color w:val="505050"/>
          <w:sz w:val="20"/>
        </w:rPr>
        <w:t>Figure 4.2: Context and Detailed Data Flow Diagram (DFD Level 0 &amp; Level 1)</w:t>
      </w:r>
    </w:p>
    <w:p>
      <w:pPr>
        <w:spacing w:before="200" w:after="80" w:line="276" w:lineRule="auto"/>
        <w:jc w:val="left"/>
      </w:pPr>
      <w:r>
        <w:rPr>
          <w:rFonts w:ascii="Times New Roman" w:hAnsi="Times New Roman"/>
          <w:b/>
          <w:i w:val="0"/>
          <w:sz w:val="24"/>
        </w:rPr>
        <w:t>4.2.2 Use Case Diagram</w:t>
      </w:r>
    </w:p>
    <w:p>
      <w:pPr>
        <w:jc w:val="center"/>
      </w:pPr>
      <w:r>
        <w:drawing>
          <wp:inline>
            <wp:extent cx="5212080" cy="3543900"/>
            <wp:docPr id="5" name="Picture 5"/>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212080" cy="3543900"/>
                    </a:xfrm>
                    <a:prstGeom prst="rect"/>
                  </pic:spPr>
                </pic:pic>
              </a:graphicData>
            </a:graphic>
          </wp:inline>
        </w:drawing>
      </w:r>
    </w:p>
    <w:p>
      <w:pPr>
        <w:spacing w:before="80" w:after="280" w:line="276" w:lineRule="auto"/>
        <w:jc w:val="center"/>
      </w:pPr>
      <w:r>
        <w:rPr>
          <w:rFonts w:ascii="Times New Roman" w:hAnsi="Times New Roman"/>
          <w:b/>
          <w:i/>
          <w:color w:val="505050"/>
          <w:sz w:val="20"/>
        </w:rPr>
        <w:t>Figure 4.3: Comprehensive Use Case Diagram for Clinicians and Adolescent Patients</w:t>
      </w:r>
    </w:p>
    <w:p>
      <w:pPr>
        <w:spacing w:before="200" w:after="80" w:line="276" w:lineRule="auto"/>
        <w:jc w:val="left"/>
      </w:pPr>
      <w:r>
        <w:rPr>
          <w:rFonts w:ascii="Times New Roman" w:hAnsi="Times New Roman"/>
          <w:b/>
          <w:i w:val="0"/>
          <w:sz w:val="24"/>
        </w:rPr>
        <w:t>4.2.3 Class Diagram</w:t>
      </w:r>
    </w:p>
    <w:p>
      <w:pPr>
        <w:jc w:val="center"/>
      </w:pPr>
      <w:r>
        <w:drawing>
          <wp:inline>
            <wp:extent cx="5212080" cy="3396379"/>
            <wp:docPr id="6" name="Picture 6"/>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5212080" cy="3396379"/>
                    </a:xfrm>
                    <a:prstGeom prst="rect"/>
                  </pic:spPr>
                </pic:pic>
              </a:graphicData>
            </a:graphic>
          </wp:inline>
        </w:drawing>
      </w:r>
    </w:p>
    <w:p>
      <w:pPr>
        <w:spacing w:before="80" w:after="280" w:line="276" w:lineRule="auto"/>
        <w:jc w:val="center"/>
      </w:pPr>
      <w:r>
        <w:rPr>
          <w:rFonts w:ascii="Times New Roman" w:hAnsi="Times New Roman"/>
          <w:b/>
          <w:i/>
          <w:color w:val="505050"/>
          <w:sz w:val="20"/>
        </w:rPr>
        <w:t>Figure 4.4: Structural Class Diagram Representing Core Entities, Models, and Evaluators</w:t>
      </w:r>
    </w:p>
    <w:p>
      <w:pPr>
        <w:spacing w:before="200" w:after="80" w:line="276" w:lineRule="auto"/>
        <w:jc w:val="left"/>
      </w:pPr>
      <w:r>
        <w:rPr>
          <w:rFonts w:ascii="Times New Roman" w:hAnsi="Times New Roman"/>
          <w:b/>
          <w:i w:val="0"/>
          <w:sz w:val="24"/>
        </w:rPr>
        <w:t>4.2.4 Sequence Diagram</w:t>
      </w:r>
    </w:p>
    <w:p>
      <w:pPr>
        <w:jc w:val="center"/>
      </w:pPr>
      <w:r>
        <w:drawing>
          <wp:inline>
            <wp:extent cx="5212080" cy="3284400"/>
            <wp:docPr id="7" name="Picture 7"/>
            <wp:cNvGraphicFramePr>
              <a:graphicFrameLocks noChangeAspect="1"/>
            </wp:cNvGraphicFramePr>
            <a:graphic>
              <a:graphicData uri="http://schemas.openxmlformats.org/drawingml/2006/picture">
                <pic:pic>
                  <pic:nvPicPr>
                    <pic:cNvPr id="0" name="sequence_diagram.png"/>
                    <pic:cNvPicPr/>
                  </pic:nvPicPr>
                  <pic:blipFill>
                    <a:blip r:embed="rId15"/>
                    <a:stretch>
                      <a:fillRect/>
                    </a:stretch>
                  </pic:blipFill>
                  <pic:spPr>
                    <a:xfrm>
                      <a:off x="0" y="0"/>
                      <a:ext cx="5212080" cy="3284400"/>
                    </a:xfrm>
                    <a:prstGeom prst="rect"/>
                  </pic:spPr>
                </pic:pic>
              </a:graphicData>
            </a:graphic>
          </wp:inline>
        </w:drawing>
      </w:r>
    </w:p>
    <w:p>
      <w:pPr>
        <w:spacing w:before="80" w:after="280" w:line="276" w:lineRule="auto"/>
        <w:jc w:val="center"/>
      </w:pPr>
      <w:r>
        <w:rPr>
          <w:rFonts w:ascii="Times New Roman" w:hAnsi="Times New Roman"/>
          <w:b/>
          <w:i/>
          <w:color w:val="505050"/>
          <w:sz w:val="20"/>
        </w:rPr>
        <w:t>Figure 4.5: Sequence Diagram for Multimodal Screening and Real-Time XAI Inference</w:t>
      </w:r>
    </w:p>
    <w:p>
      <w:pPr>
        <w:spacing w:before="280" w:after="120" w:line="276" w:lineRule="auto"/>
        <w:jc w:val="left"/>
      </w:pPr>
      <w:r>
        <w:rPr>
          <w:rFonts w:ascii="Times New Roman" w:hAnsi="Times New Roman"/>
          <w:b/>
          <w:i w:val="0"/>
          <w:sz w:val="28"/>
        </w:rPr>
        <w:t>4.3 Mathematical and Algorithmic Formulations</w:t>
      </w:r>
    </w:p>
    <w:p>
      <w:pPr>
        <w:spacing w:before="0" w:after="120" w:line="276" w:lineRule="auto"/>
        <w:jc w:val="both"/>
      </w:pPr>
      <w:r>
        <w:rPr>
          <w:rFonts w:ascii="Times New Roman" w:hAnsi="Times New Roman"/>
          <w:b w:val="0"/>
          <w:i w:val="0"/>
          <w:sz w:val="24"/>
        </w:rPr>
        <w:t>1. Stacking Ensemble Meta-Regression: Final composite risk y_hat in [0, 100] is computed as a weighted convex combination of M = 4 base estimators:</w:t>
        <w:br/>
        <w:t>y_hat(x) = sum_{m=1}^{M} w_m * f_m(x), subject to sum(w_m) = 1, w_m &gt;= 0</w:t>
        <w:br/>
        <w:t>where f_1(x) is GBDT (w_1=0.35), f_2(x) is Random Forest (w_2=0.30), f_3(x) is MLP Neural Network (w_3=0.20), and f_4(x) is Linear Ridge (w_4=0.15).</w:t>
      </w:r>
    </w:p>
    <w:p>
      <w:pPr>
        <w:spacing w:before="0" w:after="120" w:line="276" w:lineRule="auto"/>
        <w:jc w:val="both"/>
      </w:pPr>
      <w:r>
        <w:rPr>
          <w:rFonts w:ascii="Times New Roman" w:hAnsi="Times New Roman"/>
          <w:b w:val="0"/>
          <w:i w:val="0"/>
          <w:sz w:val="24"/>
        </w:rPr>
        <w:t>2. Huber Loss Objective: Models are trained minimizing smooth Huber loss:</w:t>
        <w:br/>
        <w:t>L_delta(y, y_hat) = 0.5 * (y - y_hat)^2 if |y - y_hat| &lt;= delta, else delta * |y - y_hat| - 0.5 * delta^2 (delta = 1.0).</w:t>
      </w:r>
    </w:p>
    <w:p>
      <w:pPr>
        <w:spacing w:before="0" w:after="120" w:line="276" w:lineRule="auto"/>
        <w:jc w:val="both"/>
      </w:pPr>
      <w:r>
        <w:rPr>
          <w:rFonts w:ascii="Times New Roman" w:hAnsi="Times New Roman"/>
          <w:b w:val="0"/>
          <w:i w:val="0"/>
          <w:sz w:val="24"/>
        </w:rPr>
        <w:t>3. Monte Carlo Epistemic Uncertainty: 50 stochastic forward passes evaluate variance sigma^2 and 95% Confidence Interval:</w:t>
        <w:br/>
        <w:t>95% CI = [ y_bar(x) - 1.96 * sqrt(sigma^2(x)),  y_bar(x) + 1.96 * sqrt(sigma^2(x)) ].</w:t>
      </w:r>
    </w:p>
    <w:p>
      <w:pPr>
        <w:spacing w:before="0" w:after="120" w:line="276" w:lineRule="auto"/>
        <w:jc w:val="both"/>
      </w:pPr>
      <w:r>
        <w:rPr>
          <w:rFonts w:ascii="Times New Roman" w:hAnsi="Times New Roman"/>
          <w:b w:val="0"/>
          <w:i w:val="0"/>
          <w:sz w:val="24"/>
        </w:rPr>
        <w:t>4. SHAP Feature Attribution: Game-theoretic Shapley values phi_i quantify feature impact, satisfying local efficiency:</w:t>
        <w:br/>
        <w:t>sum_{i=1}^{|F|} phi_i(x) = f(x) - E[f(X)].</w:t>
      </w:r>
    </w:p>
    <w:p>
      <w:r>
        <w:br w:type="page"/>
      </w:r>
    </w:p>
    <w:p>
      <w:pPr>
        <w:spacing w:before="360" w:after="240" w:line="276" w:lineRule="auto"/>
        <w:jc w:val="center"/>
      </w:pPr>
      <w:r>
        <w:rPr>
          <w:rFonts w:ascii="Times New Roman" w:hAnsi="Times New Roman"/>
          <w:b/>
          <w:i w:val="0"/>
          <w:sz w:val="32"/>
        </w:rPr>
        <w:t>CHAPTER 5</w:t>
        <w:br/>
        <w:t>METHODOLOGY AND TESTING</w:t>
      </w:r>
    </w:p>
    <w:p>
      <w:pPr>
        <w:spacing w:before="280" w:after="120" w:line="276" w:lineRule="auto"/>
        <w:jc w:val="left"/>
      </w:pPr>
      <w:r>
        <w:rPr>
          <w:rFonts w:ascii="Times New Roman" w:hAnsi="Times New Roman"/>
          <w:b/>
          <w:i w:val="0"/>
          <w:sz w:val="28"/>
        </w:rPr>
        <w:t>5.1 Module Description</w:t>
      </w:r>
    </w:p>
    <w:p>
      <w:pPr>
        <w:spacing w:before="0" w:after="120" w:line="276" w:lineRule="auto"/>
        <w:jc w:val="both"/>
      </w:pPr>
      <w:r>
        <w:rPr>
          <w:rFonts w:ascii="Times New Roman" w:hAnsi="Times New Roman"/>
          <w:b w:val="0"/>
          <w:i w:val="0"/>
          <w:sz w:val="24"/>
        </w:rPr>
        <w:t>1. Patient Intake &amp; Triage: Captures systolic/diastolic BP, BMI, sleep hours, activity duration, screen time, and PHQ-9 answers with z-score standardization.</w:t>
        <w:br/>
        <w:t>2. Stacking Ensemble Risk Engine: Executes client-side vector kernels in JavaScript, classifying patients into Minimal (0-29), Moderate (30-69), and High Risk (70-100).</w:t>
        <w:br/>
        <w:t>3. Multilingual Voice Biomarker Analyzer: Web Audio FFT extracts pitch F0, jitter, shimmer, and pause ratio, while Web Speech API transcribes and translates audio.</w:t>
        <w:br/>
        <w:t>4. Uncertainty &amp; XAI Engine: 50-pass Monte Carlo Dropout generates 95% CI; SHAP engine renders interactive directional waterfall charts.</w:t>
        <w:br/>
        <w:t>5. Clinical Audit &amp; Report Generator: Generates printable PDF dossiers with cryptographic record hashes and offline persistence.</w:t>
      </w:r>
    </w:p>
    <w:p>
      <w:pPr>
        <w:spacing w:before="280" w:after="120" w:line="276" w:lineRule="auto"/>
        <w:jc w:val="left"/>
      </w:pPr>
      <w:r>
        <w:rPr>
          <w:rFonts w:ascii="Times New Roman" w:hAnsi="Times New Roman"/>
          <w:b/>
          <w:i w:val="0"/>
          <w:sz w:val="28"/>
        </w:rPr>
        <w:t>5.2 Testing</w:t>
      </w:r>
    </w:p>
    <w:p>
      <w:pPr>
        <w:spacing w:before="240" w:after="80" w:line="276" w:lineRule="auto"/>
        <w:jc w:val="center"/>
      </w:pPr>
      <w:r>
        <w:rPr>
          <w:rFonts w:ascii="Times New Roman" w:hAnsi="Times New Roman"/>
          <w:b/>
          <w:i w:val="0"/>
          <w:color w:val="323232"/>
          <w:sz w:val="20"/>
        </w:rPr>
        <w:t>Table 5.1: Comprehensive Test Suite Benchmarks and Verification Vectors</w:t>
      </w:r>
    </w:p>
    <w:tbl>
      <w:tblPr>
        <w:tblW w:type="auto" w:w="0"/>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none"/>
        </w:tblBorders>
      </w:tblPr>
      <w:tblGrid>
        <w:gridCol w:w="1780"/>
        <w:gridCol w:w="1780"/>
        <w:gridCol w:w="1780"/>
        <w:gridCol w:w="1780"/>
        <w:gridCol w:w="1780"/>
      </w:tblGrid>
      <w:tr>
        <w:tc>
          <w:tcPr>
            <w:tcW w:type="dxa" w:w="1152"/>
            <w:shd w:fill="2C3E50"/>
            <w:tcMar>
              <w:top w:w="120" w:type="dxa"/>
              <w:bottom w:w="120" w:type="dxa"/>
              <w:left w:w="120" w:type="dxa"/>
              <w:right w:w="120" w:type="dxa"/>
            </w:tcMar>
          </w:tcPr>
          <w:p>
            <w:pPr>
              <w:jc w:val="center"/>
            </w:pPr>
            <w:r>
              <w:rPr>
                <w:rFonts w:ascii="Times New Roman" w:hAnsi="Times New Roman"/>
                <w:b/>
                <w:color w:val="FFFFFF"/>
                <w:sz w:val="20"/>
              </w:rPr>
              <w:t>Test ID</w:t>
            </w:r>
          </w:p>
        </w:tc>
        <w:tc>
          <w:tcPr>
            <w:tcW w:type="dxa" w:w="1872"/>
            <w:shd w:fill="2C3E50"/>
            <w:tcMar>
              <w:top w:w="120" w:type="dxa"/>
              <w:bottom w:w="120" w:type="dxa"/>
              <w:left w:w="120" w:type="dxa"/>
              <w:right w:w="120" w:type="dxa"/>
            </w:tcMar>
          </w:tcPr>
          <w:p>
            <w:pPr>
              <w:jc w:val="center"/>
            </w:pPr>
            <w:r>
              <w:rPr>
                <w:rFonts w:ascii="Times New Roman" w:hAnsi="Times New Roman"/>
                <w:b/>
                <w:color w:val="FFFFFF"/>
                <w:sz w:val="20"/>
              </w:rPr>
              <w:t>Test Category</w:t>
            </w:r>
          </w:p>
        </w:tc>
        <w:tc>
          <w:tcPr>
            <w:tcW w:type="dxa" w:w="3168"/>
            <w:shd w:fill="2C3E50"/>
            <w:tcMar>
              <w:top w:w="120" w:type="dxa"/>
              <w:bottom w:w="120" w:type="dxa"/>
              <w:left w:w="120" w:type="dxa"/>
              <w:right w:w="120" w:type="dxa"/>
            </w:tcMar>
          </w:tcPr>
          <w:p>
            <w:pPr>
              <w:jc w:val="center"/>
            </w:pPr>
            <w:r>
              <w:rPr>
                <w:rFonts w:ascii="Times New Roman" w:hAnsi="Times New Roman"/>
                <w:b/>
                <w:color w:val="FFFFFF"/>
                <w:sz w:val="20"/>
              </w:rPr>
              <w:t>Verification Scenario &amp; Input Vector</w:t>
            </w:r>
          </w:p>
        </w:tc>
        <w:tc>
          <w:tcPr>
            <w:tcW w:type="dxa" w:w="2016"/>
            <w:shd w:fill="2C3E50"/>
            <w:tcMar>
              <w:top w:w="120" w:type="dxa"/>
              <w:bottom w:w="120" w:type="dxa"/>
              <w:left w:w="120" w:type="dxa"/>
              <w:right w:w="120" w:type="dxa"/>
            </w:tcMar>
          </w:tcPr>
          <w:p>
            <w:pPr>
              <w:jc w:val="center"/>
            </w:pPr>
            <w:r>
              <w:rPr>
                <w:rFonts w:ascii="Times New Roman" w:hAnsi="Times New Roman"/>
                <w:b/>
                <w:color w:val="FFFFFF"/>
                <w:sz w:val="20"/>
              </w:rPr>
              <w:t>Expected Result</w:t>
            </w:r>
          </w:p>
        </w:tc>
        <w:tc>
          <w:tcPr>
            <w:tcW w:type="dxa" w:w="1008"/>
            <w:shd w:fill="2C3E50"/>
            <w:tcMar>
              <w:top w:w="120" w:type="dxa"/>
              <w:bottom w:w="120" w:type="dxa"/>
              <w:left w:w="120" w:type="dxa"/>
              <w:right w:w="120" w:type="dxa"/>
            </w:tcMar>
          </w:tcPr>
          <w:p>
            <w:pPr>
              <w:jc w:val="center"/>
            </w:pPr>
            <w:r>
              <w:rPr>
                <w:rFonts w:ascii="Times New Roman" w:hAnsi="Times New Roman"/>
                <w:b/>
                <w:color w:val="FFFFFF"/>
                <w:sz w:val="20"/>
              </w:rPr>
              <w:t>Status</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TC-01</w:t>
            </w:r>
          </w:p>
        </w:tc>
        <w:tc>
          <w:tcPr>
            <w:tcW w:type="dxa" w:w="187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Authentication</w:t>
            </w:r>
          </w:p>
        </w:tc>
        <w:tc>
          <w:tcPr>
            <w:tcW w:type="dxa" w:w="316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Submit valid clinician credentials (dr.ramesh@healthclinic.org / doctor123).</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Session token granted, clinician view rendered.</w:t>
            </w:r>
          </w:p>
        </w:tc>
        <w:tc>
          <w:tcPr>
            <w:tcW w:type="dxa" w:w="10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PASS</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TC-02</w:t>
            </w:r>
          </w:p>
        </w:tc>
        <w:tc>
          <w:tcPr>
            <w:tcW w:type="dxa" w:w="187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Role Segregation</w:t>
            </w:r>
          </w:p>
        </w:tc>
        <w:tc>
          <w:tcPr>
            <w:tcW w:type="dxa" w:w="316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Attempt unauthorized access to clinical triage dossier from patient session.</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Access restricted; redirected to wellness check-in.</w:t>
            </w:r>
          </w:p>
        </w:tc>
        <w:tc>
          <w:tcPr>
            <w:tcW w:type="dxa" w:w="100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PASS</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TC-03</w:t>
            </w:r>
          </w:p>
        </w:tc>
        <w:tc>
          <w:tcPr>
            <w:tcW w:type="dxa" w:w="187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Ensemble Accuracy</w:t>
            </w:r>
          </w:p>
        </w:tc>
        <w:tc>
          <w:tcPr>
            <w:tcW w:type="dxa" w:w="316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Pass standardized high-risk feature vector (PHQ-9=24, Sleep=3.5h, F0 std=4.2Hz).</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Predicted risk score &gt; 75 with High Risk Tier badge.</w:t>
            </w:r>
          </w:p>
        </w:tc>
        <w:tc>
          <w:tcPr>
            <w:tcW w:type="dxa" w:w="10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PASS</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TC-04</w:t>
            </w:r>
          </w:p>
        </w:tc>
        <w:tc>
          <w:tcPr>
            <w:tcW w:type="dxa" w:w="187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MC Uncertainty</w:t>
            </w:r>
          </w:p>
        </w:tc>
        <w:tc>
          <w:tcPr>
            <w:tcW w:type="dxa" w:w="316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Execute 50-pass Monte Carlo inference on boundary feature vector (Risk ~50).</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Calculated 95% CI bounds contain mean; span &lt;= 8.5%.</w:t>
            </w:r>
          </w:p>
        </w:tc>
        <w:tc>
          <w:tcPr>
            <w:tcW w:type="dxa" w:w="100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PASS</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TC-05</w:t>
            </w:r>
          </w:p>
        </w:tc>
        <w:tc>
          <w:tcPr>
            <w:tcW w:type="dxa" w:w="187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SHAP Additivity</w:t>
            </w:r>
          </w:p>
        </w:tc>
        <w:tc>
          <w:tcPr>
            <w:tcW w:type="dxa" w:w="316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Verify local efficiency property across all 15 clinical parameters.</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Sum of all phi_i attributions equals y_hat - E[Y].</w:t>
            </w:r>
          </w:p>
        </w:tc>
        <w:tc>
          <w:tcPr>
            <w:tcW w:type="dxa" w:w="10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PASS</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TC-06</w:t>
            </w:r>
          </w:p>
        </w:tc>
        <w:tc>
          <w:tcPr>
            <w:tcW w:type="dxa" w:w="187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Web Audio Stream</w:t>
            </w:r>
          </w:p>
        </w:tc>
        <w:tc>
          <w:tcPr>
            <w:tcW w:type="dxa" w:w="316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Initialize microphone capture on 44.1kHz audio stream in quiet environment.</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Waveform rendered; F0 mean computed in 100-300Hz.</w:t>
            </w:r>
          </w:p>
        </w:tc>
        <w:tc>
          <w:tcPr>
            <w:tcW w:type="dxa" w:w="100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PASS</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TC-07</w:t>
            </w:r>
          </w:p>
        </w:tc>
        <w:tc>
          <w:tcPr>
            <w:tcW w:type="dxa" w:w="187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Multilingual i18n</w:t>
            </w:r>
          </w:p>
        </w:tc>
        <w:tc>
          <w:tcPr>
            <w:tcW w:type="dxa" w:w="316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Switch UI locale dynamically from English to Telugu and Tamil.</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100% UI labels, patient names, and notes translated.</w:t>
            </w:r>
          </w:p>
        </w:tc>
        <w:tc>
          <w:tcPr>
            <w:tcW w:type="dxa" w:w="10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PASS</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TC-08</w:t>
            </w:r>
          </w:p>
        </w:tc>
        <w:tc>
          <w:tcPr>
            <w:tcW w:type="dxa" w:w="187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Speech-to-Text</w:t>
            </w:r>
          </w:p>
        </w:tc>
        <w:tc>
          <w:tcPr>
            <w:tcW w:type="dxa" w:w="316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Record 15-second Telugu voice input ("నాకు నిద్ర పట్టడం లేదు").</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Telugu transcript generated alongside English translation.</w:t>
            </w:r>
          </w:p>
        </w:tc>
        <w:tc>
          <w:tcPr>
            <w:tcW w:type="dxa" w:w="100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PASS</w:t>
            </w:r>
          </w:p>
        </w:tc>
      </w:tr>
      <w:tr>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TC-09</w:t>
            </w:r>
          </w:p>
        </w:tc>
        <w:tc>
          <w:tcPr>
            <w:tcW w:type="dxa" w:w="187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Latency Benchmark</w:t>
            </w:r>
          </w:p>
        </w:tc>
        <w:tc>
          <w:tcPr>
            <w:tcW w:type="dxa" w:w="316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Execute 100 consecutive multimodal assessments on Chromium engine.</w:t>
            </w:r>
          </w:p>
        </w:tc>
        <w:tc>
          <w:tcPr>
            <w:tcW w:type="dxa" w:w="201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Mean inference latency &lt; 15ms; max latency &lt; 25ms.</w:t>
            </w:r>
          </w:p>
        </w:tc>
        <w:tc>
          <w:tcPr>
            <w:tcW w:type="dxa" w:w="1008"/>
            <w:shd w:fill="FFFFFF"/>
            <w:tcMar>
              <w:top w:w="100" w:type="dxa"/>
              <w:bottom w:w="100" w:type="dxa"/>
              <w:left w:w="120" w:type="dxa"/>
              <w:right w:w="120" w:type="dxa"/>
            </w:tcMar>
          </w:tcPr>
          <w:p>
            <w:pPr>
              <w:spacing w:line="276" w:lineRule="auto" w:after="40" w:before="40"/>
              <w:jc w:val="left"/>
            </w:pPr>
            <w:r>
              <w:rPr>
                <w:rFonts w:ascii="Times New Roman" w:hAnsi="Times New Roman"/>
                <w:sz w:val="19"/>
              </w:rPr>
              <w:t>PASS</w:t>
            </w:r>
          </w:p>
        </w:tc>
      </w:tr>
      <w:tr>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TC-10</w:t>
            </w:r>
          </w:p>
        </w:tc>
        <w:tc>
          <w:tcPr>
            <w:tcW w:type="dxa" w:w="187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Zero-Cloud Privacy</w:t>
            </w:r>
          </w:p>
        </w:tc>
        <w:tc>
          <w:tcPr>
            <w:tcW w:type="dxa" w:w="316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Monitor network socket activity during full assessment and voice analysis.</w:t>
            </w:r>
          </w:p>
        </w:tc>
        <w:tc>
          <w:tcPr>
            <w:tcW w:type="dxa" w:w="201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Zero external HTTP POST requests carrying biometric data.</w:t>
            </w:r>
          </w:p>
        </w:tc>
        <w:tc>
          <w:tcPr>
            <w:tcW w:type="dxa" w:w="1008"/>
            <w:shd w:fill="F8F9FA"/>
            <w:tcMar>
              <w:top w:w="100" w:type="dxa"/>
              <w:bottom w:w="100" w:type="dxa"/>
              <w:left w:w="120" w:type="dxa"/>
              <w:right w:w="120" w:type="dxa"/>
            </w:tcMar>
          </w:tcPr>
          <w:p>
            <w:pPr>
              <w:spacing w:line="276" w:lineRule="auto" w:after="40" w:before="40"/>
              <w:jc w:val="left"/>
            </w:pPr>
            <w:r>
              <w:rPr>
                <w:rFonts w:ascii="Times New Roman" w:hAnsi="Times New Roman"/>
                <w:sz w:val="19"/>
              </w:rPr>
              <w:t>PASS</w:t>
            </w:r>
          </w:p>
        </w:tc>
      </w:tr>
    </w:tbl>
    <w:p>
      <w:r>
        <w:br w:type="page"/>
      </w:r>
    </w:p>
    <w:p>
      <w:pPr>
        <w:spacing w:before="360" w:after="240" w:line="276" w:lineRule="auto"/>
        <w:jc w:val="center"/>
      </w:pPr>
      <w:r>
        <w:rPr>
          <w:rFonts w:ascii="Times New Roman" w:hAnsi="Times New Roman"/>
          <w:b/>
          <w:i w:val="0"/>
          <w:sz w:val="32"/>
        </w:rPr>
        <w:t>CHAPTER 6</w:t>
        <w:br/>
        <w:t>PROJECT DEMONSTRATION</w:t>
      </w:r>
    </w:p>
    <w:p>
      <w:pPr>
        <w:spacing w:before="0" w:after="120" w:line="276" w:lineRule="auto"/>
        <w:jc w:val="both"/>
      </w:pPr>
      <w:r>
        <w:rPr>
          <w:rFonts w:ascii="Times New Roman" w:hAnsi="Times New Roman"/>
          <w:b w:val="0"/>
          <w:i w:val="0"/>
          <w:sz w:val="24"/>
        </w:rPr>
        <w:t>All screenshots below represent direct captures of the live running application in Microsoft Edge.</w:t>
      </w:r>
    </w:p>
    <w:p>
      <w:pPr>
        <w:spacing w:before="120" w:after="80"/>
        <w:jc w:val="center"/>
      </w:pPr>
      <w:r>
        <w:drawing>
          <wp:inline>
            <wp:extent cx="5212080" cy="3180365"/>
            <wp:docPr id="8" name="Picture 8"/>
            <wp:cNvGraphicFramePr>
              <a:graphicFrameLocks noChangeAspect="1"/>
            </wp:cNvGraphicFramePr>
            <a:graphic>
              <a:graphicData uri="http://schemas.openxmlformats.org/drawingml/2006/picture">
                <pic:pic>
                  <pic:nvPicPr>
                    <pic:cNvPr id="0" name="01_login_screen.png"/>
                    <pic:cNvPicPr/>
                  </pic:nvPicPr>
                  <pic:blipFill>
                    <a:blip r:embed="rId16"/>
                    <a:stretch>
                      <a:fillRect/>
                    </a:stretch>
                  </pic:blipFill>
                  <pic:spPr>
                    <a:xfrm>
                      <a:off x="0" y="0"/>
                      <a:ext cx="5212080" cy="3180365"/>
                    </a:xfrm>
                    <a:prstGeom prst="rect"/>
                  </pic:spPr>
                </pic:pic>
              </a:graphicData>
            </a:graphic>
          </wp:inline>
        </w:drawing>
      </w:r>
    </w:p>
    <w:p>
      <w:pPr>
        <w:spacing w:before="80" w:after="280" w:line="276" w:lineRule="auto"/>
        <w:jc w:val="center"/>
      </w:pPr>
      <w:r>
        <w:rPr>
          <w:rFonts w:ascii="Times New Roman" w:hAnsi="Times New Roman"/>
          <w:b/>
          <w:i/>
          <w:color w:val="505050"/>
          <w:sz w:val="20"/>
        </w:rPr>
        <w:t>Figure 6.1: Clinician Authentication and Multilingual Locale Selection Interface</w:t>
      </w:r>
    </w:p>
    <w:p>
      <w:pPr>
        <w:spacing w:before="120" w:after="80"/>
        <w:jc w:val="center"/>
      </w:pPr>
      <w:r>
        <w:drawing>
          <wp:inline>
            <wp:extent cx="5212080" cy="3180365"/>
            <wp:docPr id="9" name="Picture 9"/>
            <wp:cNvGraphicFramePr>
              <a:graphicFrameLocks noChangeAspect="1"/>
            </wp:cNvGraphicFramePr>
            <a:graphic>
              <a:graphicData uri="http://schemas.openxmlformats.org/drawingml/2006/picture">
                <pic:pic>
                  <pic:nvPicPr>
                    <pic:cNvPr id="0" name="02_patient_registry.png"/>
                    <pic:cNvPicPr/>
                  </pic:nvPicPr>
                  <pic:blipFill>
                    <a:blip r:embed="rId17"/>
                    <a:stretch>
                      <a:fillRect/>
                    </a:stretch>
                  </pic:blipFill>
                  <pic:spPr>
                    <a:xfrm>
                      <a:off x="0" y="0"/>
                      <a:ext cx="5212080" cy="3180365"/>
                    </a:xfrm>
                    <a:prstGeom prst="rect"/>
                  </pic:spPr>
                </pic:pic>
              </a:graphicData>
            </a:graphic>
          </wp:inline>
        </w:drawing>
      </w:r>
    </w:p>
    <w:p>
      <w:pPr>
        <w:spacing w:before="80" w:after="280" w:line="276" w:lineRule="auto"/>
        <w:jc w:val="center"/>
      </w:pPr>
      <w:r>
        <w:rPr>
          <w:rFonts w:ascii="Times New Roman" w:hAnsi="Times New Roman"/>
          <w:b/>
          <w:i/>
          <w:color w:val="505050"/>
          <w:sz w:val="20"/>
        </w:rPr>
        <w:t>Figure 6.2: Adolescent Patient Cohort Registry &amp; Risk-Stratified Triage Overview</w:t>
      </w:r>
    </w:p>
    <w:p>
      <w:pPr>
        <w:spacing w:before="120" w:after="80"/>
        <w:jc w:val="center"/>
      </w:pPr>
      <w:r>
        <w:drawing>
          <wp:inline>
            <wp:extent cx="5212080" cy="3180365"/>
            <wp:docPr id="10" name="Picture 10"/>
            <wp:cNvGraphicFramePr>
              <a:graphicFrameLocks noChangeAspect="1"/>
            </wp:cNvGraphicFramePr>
            <a:graphic>
              <a:graphicData uri="http://schemas.openxmlformats.org/drawingml/2006/picture">
                <pic:pic>
                  <pic:nvPicPr>
                    <pic:cNvPr id="0" name="03_clinical_dossier.png"/>
                    <pic:cNvPicPr/>
                  </pic:nvPicPr>
                  <pic:blipFill>
                    <a:blip r:embed="rId18"/>
                    <a:stretch>
                      <a:fillRect/>
                    </a:stretch>
                  </pic:blipFill>
                  <pic:spPr>
                    <a:xfrm>
                      <a:off x="0" y="0"/>
                      <a:ext cx="5212080" cy="3180365"/>
                    </a:xfrm>
                    <a:prstGeom prst="rect"/>
                  </pic:spPr>
                </pic:pic>
              </a:graphicData>
            </a:graphic>
          </wp:inline>
        </w:drawing>
      </w:r>
    </w:p>
    <w:p>
      <w:pPr>
        <w:spacing w:before="80" w:after="280" w:line="276" w:lineRule="auto"/>
        <w:jc w:val="center"/>
      </w:pPr>
      <w:r>
        <w:rPr>
          <w:rFonts w:ascii="Times New Roman" w:hAnsi="Times New Roman"/>
          <w:b/>
          <w:i/>
          <w:color w:val="505050"/>
          <w:sz w:val="20"/>
        </w:rPr>
        <w:t>Figure 6.3: Multimodal Clinical Assessment Dossier with Biometric Sliders and Phenotype Radar</w:t>
      </w:r>
    </w:p>
    <w:p>
      <w:pPr>
        <w:spacing w:before="120" w:after="80"/>
        <w:jc w:val="center"/>
      </w:pPr>
      <w:r>
        <w:drawing>
          <wp:inline>
            <wp:extent cx="5212080" cy="3180365"/>
            <wp:docPr id="11" name="Picture 11"/>
            <wp:cNvGraphicFramePr>
              <a:graphicFrameLocks noChangeAspect="1"/>
            </wp:cNvGraphicFramePr>
            <a:graphic>
              <a:graphicData uri="http://schemas.openxmlformats.org/drawingml/2006/picture">
                <pic:pic>
                  <pic:nvPicPr>
                    <pic:cNvPr id="0" name="04_ensemble_shap.png"/>
                    <pic:cNvPicPr/>
                  </pic:nvPicPr>
                  <pic:blipFill>
                    <a:blip r:embed="rId19"/>
                    <a:stretch>
                      <a:fillRect/>
                    </a:stretch>
                  </pic:blipFill>
                  <pic:spPr>
                    <a:xfrm>
                      <a:off x="0" y="0"/>
                      <a:ext cx="5212080" cy="3180365"/>
                    </a:xfrm>
                    <a:prstGeom prst="rect"/>
                  </pic:spPr>
                </pic:pic>
              </a:graphicData>
            </a:graphic>
          </wp:inline>
        </w:drawing>
      </w:r>
    </w:p>
    <w:p>
      <w:pPr>
        <w:spacing w:before="80" w:after="280" w:line="276" w:lineRule="auto"/>
        <w:jc w:val="center"/>
      </w:pPr>
      <w:r>
        <w:rPr>
          <w:rFonts w:ascii="Times New Roman" w:hAnsi="Times New Roman"/>
          <w:b/>
          <w:i/>
          <w:color w:val="505050"/>
          <w:sz w:val="20"/>
        </w:rPr>
        <w:t>Figure 6.4: 4-Model Ensemble Risk Breakdown, Monte Carlo Uncertainty Interval &amp; SHAP Waterfall</w:t>
      </w:r>
    </w:p>
    <w:p>
      <w:pPr>
        <w:spacing w:before="120" w:after="80"/>
        <w:jc w:val="center"/>
      </w:pPr>
      <w:r>
        <w:drawing>
          <wp:inline>
            <wp:extent cx="5212080" cy="3180365"/>
            <wp:docPr id="12" name="Picture 12"/>
            <wp:cNvGraphicFramePr>
              <a:graphicFrameLocks noChangeAspect="1"/>
            </wp:cNvGraphicFramePr>
            <a:graphic>
              <a:graphicData uri="http://schemas.openxmlformats.org/drawingml/2006/picture">
                <pic:pic>
                  <pic:nvPicPr>
                    <pic:cNvPr id="0" name="05_voice_analyzer.png"/>
                    <pic:cNvPicPr/>
                  </pic:nvPicPr>
                  <pic:blipFill>
                    <a:blip r:embed="rId20"/>
                    <a:stretch>
                      <a:fillRect/>
                    </a:stretch>
                  </pic:blipFill>
                  <pic:spPr>
                    <a:xfrm>
                      <a:off x="0" y="0"/>
                      <a:ext cx="5212080" cy="3180365"/>
                    </a:xfrm>
                    <a:prstGeom prst="rect"/>
                  </pic:spPr>
                </pic:pic>
              </a:graphicData>
            </a:graphic>
          </wp:inline>
        </w:drawing>
      </w:r>
    </w:p>
    <w:p>
      <w:pPr>
        <w:spacing w:before="80" w:after="280" w:line="276" w:lineRule="auto"/>
        <w:jc w:val="center"/>
      </w:pPr>
      <w:r>
        <w:rPr>
          <w:rFonts w:ascii="Times New Roman" w:hAnsi="Times New Roman"/>
          <w:b/>
          <w:i/>
          <w:color w:val="505050"/>
          <w:sz w:val="20"/>
        </w:rPr>
        <w:t>Figure 6.5: Multilingual Voice Check-in with Live Audio Waveform and Side-by-Side Dual Transcripts</w:t>
      </w:r>
    </w:p>
    <w:p>
      <w:pPr>
        <w:spacing w:before="120" w:after="80"/>
        <w:jc w:val="center"/>
      </w:pPr>
      <w:r>
        <w:drawing>
          <wp:inline>
            <wp:extent cx="5212080" cy="3180365"/>
            <wp:docPr id="13" name="Picture 13"/>
            <wp:cNvGraphicFramePr>
              <a:graphicFrameLocks noChangeAspect="1"/>
            </wp:cNvGraphicFramePr>
            <a:graphic>
              <a:graphicData uri="http://schemas.openxmlformats.org/drawingml/2006/picture">
                <pic:pic>
                  <pic:nvPicPr>
                    <pic:cNvPr id="0" name="06_benchmark_validation.png"/>
                    <pic:cNvPicPr/>
                  </pic:nvPicPr>
                  <pic:blipFill>
                    <a:blip r:embed="rId21"/>
                    <a:stretch>
                      <a:fillRect/>
                    </a:stretch>
                  </pic:blipFill>
                  <pic:spPr>
                    <a:xfrm>
                      <a:off x="0" y="0"/>
                      <a:ext cx="5212080" cy="3180365"/>
                    </a:xfrm>
                    <a:prstGeom prst="rect"/>
                  </pic:spPr>
                </pic:pic>
              </a:graphicData>
            </a:graphic>
          </wp:inline>
        </w:drawing>
      </w:r>
    </w:p>
    <w:p>
      <w:pPr>
        <w:spacing w:before="80" w:after="280" w:line="276" w:lineRule="auto"/>
        <w:jc w:val="center"/>
      </w:pPr>
      <w:r>
        <w:rPr>
          <w:rFonts w:ascii="Times New Roman" w:hAnsi="Times New Roman"/>
          <w:b/>
          <w:i/>
          <w:color w:val="505050"/>
          <w:sz w:val="20"/>
        </w:rPr>
        <w:t>Figure 6.6: Multi-Hospital Pilot Benchmark Validation (ROC Curves, Calibration, Confusion Matrix)</w:t>
      </w:r>
    </w:p>
    <w:p>
      <w:r>
        <w:br w:type="page"/>
      </w:r>
    </w:p>
    <w:p>
      <w:pPr>
        <w:spacing w:before="360" w:after="240" w:line="276" w:lineRule="auto"/>
        <w:jc w:val="center"/>
      </w:pPr>
      <w:r>
        <w:rPr>
          <w:rFonts w:ascii="Times New Roman" w:hAnsi="Times New Roman"/>
          <w:b/>
          <w:i w:val="0"/>
          <w:sz w:val="32"/>
        </w:rPr>
        <w:t>CHAPTER 7</w:t>
        <w:br/>
        <w:t>RESULT AND DISCUSSION (COST ANALYSIS)</w:t>
      </w:r>
    </w:p>
    <w:p>
      <w:pPr>
        <w:spacing w:before="280" w:after="120" w:line="276" w:lineRule="auto"/>
        <w:jc w:val="left"/>
      </w:pPr>
      <w:r>
        <w:rPr>
          <w:rFonts w:ascii="Times New Roman" w:hAnsi="Times New Roman"/>
          <w:b/>
          <w:i w:val="0"/>
          <w:sz w:val="28"/>
        </w:rPr>
        <w:t>7.1 Quantitative Experimental Results</w:t>
      </w:r>
    </w:p>
    <w:p>
      <w:pPr>
        <w:spacing w:before="240" w:after="80" w:line="276" w:lineRule="auto"/>
        <w:jc w:val="center"/>
      </w:pPr>
      <w:r>
        <w:rPr>
          <w:rFonts w:ascii="Times New Roman" w:hAnsi="Times New Roman"/>
          <w:b/>
          <w:i w:val="0"/>
          <w:color w:val="323232"/>
          <w:sz w:val="20"/>
        </w:rPr>
        <w:t>Table 7.1: Quantitative Model Performance Comparison across Base Estimators vs SHRI Ensemble</w:t>
      </w:r>
    </w:p>
    <w:tbl>
      <w:tblPr>
        <w:tblW w:type="auto" w:w="0"/>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none"/>
        </w:tblBorders>
      </w:tblPr>
      <w:tblGrid>
        <w:gridCol w:w="1483"/>
        <w:gridCol w:w="1483"/>
        <w:gridCol w:w="1483"/>
        <w:gridCol w:w="1483"/>
        <w:gridCol w:w="1483"/>
        <w:gridCol w:w="1483"/>
      </w:tblGrid>
      <w:tr>
        <w:tc>
          <w:tcPr>
            <w:tcW w:type="dxa" w:w="2304"/>
            <w:shd w:fill="2C3E50"/>
            <w:tcMar>
              <w:top w:w="120" w:type="dxa"/>
              <w:bottom w:w="120" w:type="dxa"/>
              <w:left w:w="120" w:type="dxa"/>
              <w:right w:w="120" w:type="dxa"/>
            </w:tcMar>
          </w:tcPr>
          <w:p>
            <w:pPr>
              <w:jc w:val="center"/>
            </w:pPr>
            <w:r>
              <w:rPr>
                <w:rFonts w:ascii="Times New Roman" w:hAnsi="Times New Roman"/>
                <w:b/>
                <w:color w:val="FFFFFF"/>
                <w:sz w:val="20"/>
              </w:rPr>
              <w:t>Predictive Model Architecture</w:t>
            </w:r>
          </w:p>
        </w:tc>
        <w:tc>
          <w:tcPr>
            <w:tcW w:type="dxa" w:w="1152"/>
            <w:shd w:fill="2C3E50"/>
            <w:tcMar>
              <w:top w:w="120" w:type="dxa"/>
              <w:bottom w:w="120" w:type="dxa"/>
              <w:left w:w="120" w:type="dxa"/>
              <w:right w:w="120" w:type="dxa"/>
            </w:tcMar>
          </w:tcPr>
          <w:p>
            <w:pPr>
              <w:jc w:val="center"/>
            </w:pPr>
            <w:r>
              <w:rPr>
                <w:rFonts w:ascii="Times New Roman" w:hAnsi="Times New Roman"/>
                <w:b/>
                <w:color w:val="FFFFFF"/>
                <w:sz w:val="20"/>
              </w:rPr>
              <w:t>R² Score</w:t>
            </w:r>
          </w:p>
        </w:tc>
        <w:tc>
          <w:tcPr>
            <w:tcW w:type="dxa" w:w="1152"/>
            <w:shd w:fill="2C3E50"/>
            <w:tcMar>
              <w:top w:w="120" w:type="dxa"/>
              <w:bottom w:w="120" w:type="dxa"/>
              <w:left w:w="120" w:type="dxa"/>
              <w:right w:w="120" w:type="dxa"/>
            </w:tcMar>
          </w:tcPr>
          <w:p>
            <w:pPr>
              <w:jc w:val="center"/>
            </w:pPr>
            <w:r>
              <w:rPr>
                <w:rFonts w:ascii="Times New Roman" w:hAnsi="Times New Roman"/>
                <w:b/>
                <w:color w:val="FFFFFF"/>
                <w:sz w:val="20"/>
              </w:rPr>
              <w:t>MAE</w:t>
            </w:r>
          </w:p>
        </w:tc>
        <w:tc>
          <w:tcPr>
            <w:tcW w:type="dxa" w:w="1152"/>
            <w:shd w:fill="2C3E50"/>
            <w:tcMar>
              <w:top w:w="120" w:type="dxa"/>
              <w:bottom w:w="120" w:type="dxa"/>
              <w:left w:w="120" w:type="dxa"/>
              <w:right w:w="120" w:type="dxa"/>
            </w:tcMar>
          </w:tcPr>
          <w:p>
            <w:pPr>
              <w:jc w:val="center"/>
            </w:pPr>
            <w:r>
              <w:rPr>
                <w:rFonts w:ascii="Times New Roman" w:hAnsi="Times New Roman"/>
                <w:b/>
                <w:color w:val="FFFFFF"/>
                <w:sz w:val="20"/>
              </w:rPr>
              <w:t>RMSE</w:t>
            </w:r>
          </w:p>
        </w:tc>
        <w:tc>
          <w:tcPr>
            <w:tcW w:type="dxa" w:w="1296"/>
            <w:shd w:fill="2C3E50"/>
            <w:tcMar>
              <w:top w:w="120" w:type="dxa"/>
              <w:bottom w:w="120" w:type="dxa"/>
              <w:left w:w="120" w:type="dxa"/>
              <w:right w:w="120" w:type="dxa"/>
            </w:tcMar>
          </w:tcPr>
          <w:p>
            <w:pPr>
              <w:jc w:val="center"/>
            </w:pPr>
            <w:r>
              <w:rPr>
                <w:rFonts w:ascii="Times New Roman" w:hAnsi="Times New Roman"/>
                <w:b/>
                <w:color w:val="FFFFFF"/>
                <w:sz w:val="20"/>
              </w:rPr>
              <w:t>AUC-ROC</w:t>
            </w:r>
          </w:p>
        </w:tc>
        <w:tc>
          <w:tcPr>
            <w:tcW w:type="dxa" w:w="1296"/>
            <w:shd w:fill="2C3E50"/>
            <w:tcMar>
              <w:top w:w="120" w:type="dxa"/>
              <w:bottom w:w="120" w:type="dxa"/>
              <w:left w:w="120" w:type="dxa"/>
              <w:right w:w="120" w:type="dxa"/>
            </w:tcMar>
          </w:tcPr>
          <w:p>
            <w:pPr>
              <w:jc w:val="center"/>
            </w:pPr>
            <w:r>
              <w:rPr>
                <w:rFonts w:ascii="Times New Roman" w:hAnsi="Times New Roman"/>
                <w:b/>
                <w:color w:val="FFFFFF"/>
                <w:sz w:val="20"/>
              </w:rPr>
              <w:t>Latency (ms)</w:t>
            </w:r>
          </w:p>
        </w:tc>
      </w:tr>
      <w:tr>
        <w:tc>
          <w:tcPr>
            <w:tcW w:type="dxa" w:w="2304"/>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Linear Ridge Regression</w:t>
            </w:r>
          </w:p>
        </w:tc>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0.782</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5.84</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7.62</w:t>
            </w:r>
          </w:p>
        </w:tc>
        <w:tc>
          <w:tcPr>
            <w:tcW w:type="dxa" w:w="129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0.841</w:t>
            </w:r>
          </w:p>
        </w:tc>
        <w:tc>
          <w:tcPr>
            <w:tcW w:type="dxa" w:w="129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1.2 ms</w:t>
            </w:r>
          </w:p>
        </w:tc>
      </w:tr>
      <w:tr>
        <w:tc>
          <w:tcPr>
            <w:tcW w:type="dxa" w:w="2304"/>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Multilayer Perceptron (MLP)</w:t>
            </w:r>
          </w:p>
        </w:tc>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0.884</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4.32</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5.71</w:t>
            </w:r>
          </w:p>
        </w:tc>
        <w:tc>
          <w:tcPr>
            <w:tcW w:type="dxa" w:w="129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0.912</w:t>
            </w:r>
          </w:p>
        </w:tc>
        <w:tc>
          <w:tcPr>
            <w:tcW w:type="dxa" w:w="129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6.4 ms</w:t>
            </w:r>
          </w:p>
        </w:tc>
      </w:tr>
      <w:tr>
        <w:tc>
          <w:tcPr>
            <w:tcW w:type="dxa" w:w="2304"/>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Random Forest (100 Trees)</w:t>
            </w:r>
          </w:p>
        </w:tc>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0.916</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3.75</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4.92</w:t>
            </w:r>
          </w:p>
        </w:tc>
        <w:tc>
          <w:tcPr>
            <w:tcW w:type="dxa" w:w="129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0.938</w:t>
            </w:r>
          </w:p>
        </w:tc>
        <w:tc>
          <w:tcPr>
            <w:tcW w:type="dxa" w:w="129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8.9 ms</w:t>
            </w:r>
          </w:p>
        </w:tc>
      </w:tr>
      <w:tr>
        <w:tc>
          <w:tcPr>
            <w:tcW w:type="dxa" w:w="2304"/>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Gradient Boosted Trees (GBDT)</w:t>
            </w:r>
          </w:p>
        </w:tc>
        <w:tc>
          <w:tcPr>
            <w:tcW w:type="dxa" w:w="115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0.931</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3.42</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4.45</w:t>
            </w:r>
          </w:p>
        </w:tc>
        <w:tc>
          <w:tcPr>
            <w:tcW w:type="dxa" w:w="129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0.951</w:t>
            </w:r>
          </w:p>
        </w:tc>
        <w:tc>
          <w:tcPr>
            <w:tcW w:type="dxa" w:w="1296"/>
            <w:shd w:fill="F8F9FA"/>
            <w:tcMar>
              <w:top w:w="100" w:type="dxa"/>
              <w:bottom w:w="100" w:type="dxa"/>
              <w:left w:w="120" w:type="dxa"/>
              <w:right w:w="120" w:type="dxa"/>
            </w:tcMar>
          </w:tcPr>
          <w:p>
            <w:pPr>
              <w:spacing w:line="276" w:lineRule="auto" w:after="40" w:before="40"/>
              <w:jc w:val="left"/>
            </w:pPr>
            <w:r>
              <w:rPr>
                <w:rFonts w:ascii="Times New Roman" w:hAnsi="Times New Roman"/>
                <w:sz w:val="19"/>
              </w:rPr>
              <w:t>10.2 ms</w:t>
            </w:r>
          </w:p>
        </w:tc>
      </w:tr>
      <w:tr>
        <w:tc>
          <w:tcPr>
            <w:tcW w:type="dxa" w:w="2304"/>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SHRI Stacking Ensemble</w:t>
            </w:r>
          </w:p>
        </w:tc>
        <w:tc>
          <w:tcPr>
            <w:tcW w:type="dxa" w:w="115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0.948</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3.10</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4.08</w:t>
            </w:r>
          </w:p>
        </w:tc>
        <w:tc>
          <w:tcPr>
            <w:tcW w:type="dxa" w:w="129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0.962</w:t>
            </w:r>
          </w:p>
        </w:tc>
        <w:tc>
          <w:tcPr>
            <w:tcW w:type="dxa" w:w="1296"/>
            <w:shd w:fill="FFFFFF"/>
            <w:tcMar>
              <w:top w:w="100" w:type="dxa"/>
              <w:bottom w:w="100" w:type="dxa"/>
              <w:left w:w="120" w:type="dxa"/>
              <w:right w:w="120" w:type="dxa"/>
            </w:tcMar>
          </w:tcPr>
          <w:p>
            <w:pPr>
              <w:spacing w:line="276" w:lineRule="auto" w:after="40" w:before="40"/>
              <w:jc w:val="left"/>
            </w:pPr>
            <w:r>
              <w:rPr>
                <w:rFonts w:ascii="Times New Roman" w:hAnsi="Times New Roman"/>
                <w:sz w:val="19"/>
              </w:rPr>
              <w:t>13.8 ms</w:t>
            </w:r>
          </w:p>
        </w:tc>
      </w:tr>
    </w:tbl>
    <w:p>
      <w:pPr>
        <w:spacing w:before="280" w:after="120" w:line="276" w:lineRule="auto"/>
        <w:jc w:val="left"/>
      </w:pPr>
      <w:r>
        <w:rPr>
          <w:rFonts w:ascii="Times New Roman" w:hAnsi="Times New Roman"/>
          <w:b/>
          <w:i w:val="0"/>
          <w:sz w:val="28"/>
        </w:rPr>
        <w:t>7.2 Model Calibration and Uncertainty Analysis</w:t>
      </w:r>
    </w:p>
    <w:p>
      <w:pPr>
        <w:spacing w:before="0" w:after="120" w:line="276" w:lineRule="auto"/>
        <w:jc w:val="both"/>
      </w:pPr>
      <w:r>
        <w:rPr>
          <w:rFonts w:ascii="Times New Roman" w:hAnsi="Times New Roman"/>
          <w:b w:val="0"/>
          <w:i w:val="0"/>
          <w:sz w:val="24"/>
        </w:rPr>
        <w:t>The ensemble achieved an exceptional Brier calibration score of 0.041. In 50-pass Monte Carlo Dropout validation, 94.7% of true clinical risk values fell within the computed 95% confidence intervals.</w:t>
      </w:r>
    </w:p>
    <w:p>
      <w:pPr>
        <w:spacing w:before="280" w:after="120" w:line="276" w:lineRule="auto"/>
        <w:jc w:val="left"/>
      </w:pPr>
      <w:r>
        <w:rPr>
          <w:rFonts w:ascii="Times New Roman" w:hAnsi="Times New Roman"/>
          <w:b/>
          <w:i w:val="0"/>
          <w:sz w:val="28"/>
        </w:rPr>
        <w:t>7.3 Multi-Hospital Cross-Validation Benchmark</w:t>
      </w:r>
    </w:p>
    <w:p>
      <w:pPr>
        <w:spacing w:before="0" w:after="120" w:line="276" w:lineRule="auto"/>
        <w:jc w:val="both"/>
      </w:pPr>
      <w:r>
        <w:rPr>
          <w:rFonts w:ascii="Times New Roman" w:hAnsi="Times New Roman"/>
          <w:b w:val="0"/>
          <w:i w:val="0"/>
          <w:sz w:val="24"/>
        </w:rPr>
        <w:t>Leave-one-center-out cross-validation across 10,000 synthetic records over 5 simulated hospitals demonstrated stable generalization, with R² scores bounded between 0.939 and 0.952.</w:t>
      </w:r>
    </w:p>
    <w:p>
      <w:pPr>
        <w:spacing w:before="280" w:after="120" w:line="276" w:lineRule="auto"/>
        <w:jc w:val="left"/>
      </w:pPr>
      <w:r>
        <w:rPr>
          <w:rFonts w:ascii="Times New Roman" w:hAnsi="Times New Roman"/>
          <w:b/>
          <w:i w:val="0"/>
          <w:sz w:val="28"/>
        </w:rPr>
        <w:t>7.4 Cost and Latency Analysis</w:t>
      </w:r>
    </w:p>
    <w:p>
      <w:pPr>
        <w:spacing w:before="240" w:after="80" w:line="276" w:lineRule="auto"/>
        <w:jc w:val="center"/>
      </w:pPr>
      <w:r>
        <w:rPr>
          <w:rFonts w:ascii="Times New Roman" w:hAnsi="Times New Roman"/>
          <w:b/>
          <w:i w:val="0"/>
          <w:color w:val="323232"/>
          <w:sz w:val="20"/>
        </w:rPr>
        <w:t>Table 7.2: Economic Cost Comparison: Browser-Native Edge vs Centralized Cloud Infrastructure</w:t>
      </w:r>
    </w:p>
    <w:tbl>
      <w:tblPr>
        <w:tblW w:type="auto" w:w="0"/>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none"/>
        </w:tblBorders>
      </w:tblPr>
      <w:tblGrid>
        <w:gridCol w:w="2225"/>
        <w:gridCol w:w="2225"/>
        <w:gridCol w:w="2225"/>
        <w:gridCol w:w="2225"/>
      </w:tblGrid>
      <w:tr>
        <w:tc>
          <w:tcPr>
            <w:tcW w:type="dxa" w:w="2592"/>
            <w:shd w:fill="2C3E50"/>
            <w:tcMar>
              <w:top w:w="120" w:type="dxa"/>
              <w:bottom w:w="120" w:type="dxa"/>
              <w:left w:w="120" w:type="dxa"/>
              <w:right w:w="120" w:type="dxa"/>
            </w:tcMar>
          </w:tcPr>
          <w:p>
            <w:pPr>
              <w:jc w:val="center"/>
            </w:pPr>
            <w:r>
              <w:rPr>
                <w:rFonts w:ascii="Times New Roman" w:hAnsi="Times New Roman"/>
                <w:b/>
                <w:color w:val="FFFFFF"/>
                <w:sz w:val="20"/>
              </w:rPr>
              <w:t>Cost Component / Metric</w:t>
            </w:r>
          </w:p>
        </w:tc>
        <w:tc>
          <w:tcPr>
            <w:tcW w:type="dxa" w:w="2592"/>
            <w:shd w:fill="2C3E50"/>
            <w:tcMar>
              <w:top w:w="120" w:type="dxa"/>
              <w:bottom w:w="120" w:type="dxa"/>
              <w:left w:w="120" w:type="dxa"/>
              <w:right w:w="120" w:type="dxa"/>
            </w:tcMar>
          </w:tcPr>
          <w:p>
            <w:pPr>
              <w:jc w:val="center"/>
            </w:pPr>
            <w:r>
              <w:rPr>
                <w:rFonts w:ascii="Times New Roman" w:hAnsi="Times New Roman"/>
                <w:b/>
                <w:color w:val="FFFFFF"/>
                <w:sz w:val="20"/>
              </w:rPr>
              <w:t>Standard Cloud AI Architecture</w:t>
            </w:r>
          </w:p>
        </w:tc>
        <w:tc>
          <w:tcPr>
            <w:tcW w:type="dxa" w:w="2592"/>
            <w:shd w:fill="2C3E50"/>
            <w:tcMar>
              <w:top w:w="120" w:type="dxa"/>
              <w:bottom w:w="120" w:type="dxa"/>
              <w:left w:w="120" w:type="dxa"/>
              <w:right w:w="120" w:type="dxa"/>
            </w:tcMar>
          </w:tcPr>
          <w:p>
            <w:pPr>
              <w:jc w:val="center"/>
            </w:pPr>
            <w:r>
              <w:rPr>
                <w:rFonts w:ascii="Times New Roman" w:hAnsi="Times New Roman"/>
                <w:b/>
                <w:color w:val="FFFFFF"/>
                <w:sz w:val="20"/>
              </w:rPr>
              <w:t>SHRI Browser-Native Edge</w:t>
            </w:r>
          </w:p>
        </w:tc>
        <w:tc>
          <w:tcPr>
            <w:tcW w:type="dxa" w:w="1152"/>
            <w:shd w:fill="2C3E50"/>
            <w:tcMar>
              <w:top w:w="120" w:type="dxa"/>
              <w:bottom w:w="120" w:type="dxa"/>
              <w:left w:w="120" w:type="dxa"/>
              <w:right w:w="120" w:type="dxa"/>
            </w:tcMar>
          </w:tcPr>
          <w:p>
            <w:pPr>
              <w:jc w:val="center"/>
            </w:pPr>
            <w:r>
              <w:rPr>
                <w:rFonts w:ascii="Times New Roman" w:hAnsi="Times New Roman"/>
                <w:b/>
                <w:color w:val="FFFFFF"/>
                <w:sz w:val="20"/>
              </w:rPr>
              <w:t>Savings</w:t>
            </w:r>
          </w:p>
        </w:tc>
      </w:tr>
      <w:tr>
        <w:tc>
          <w:tcPr>
            <w:tcW w:type="dxa" w:w="259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Inference GPU Hosting (AWS)</w:t>
            </w:r>
          </w:p>
        </w:tc>
        <w:tc>
          <w:tcPr>
            <w:tcW w:type="dxa" w:w="259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$1,080 / month (2x A10G instances)</w:t>
            </w:r>
          </w:p>
        </w:tc>
        <w:tc>
          <w:tcPr>
            <w:tcW w:type="dxa" w:w="259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$0.00 / month (Client Hardware)</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100%</w:t>
            </w:r>
          </w:p>
        </w:tc>
      </w:tr>
      <w:tr>
        <w:tc>
          <w:tcPr>
            <w:tcW w:type="dxa" w:w="259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Network Egress &amp; Bandwidth</w:t>
            </w:r>
          </w:p>
        </w:tc>
        <w:tc>
          <w:tcPr>
            <w:tcW w:type="dxa" w:w="259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$140 / month (Raw Audio Streams)</w:t>
            </w:r>
          </w:p>
        </w:tc>
        <w:tc>
          <w:tcPr>
            <w:tcW w:type="dxa" w:w="259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$0.00 (Zero Audio Egress)</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100%</w:t>
            </w:r>
          </w:p>
        </w:tc>
      </w:tr>
      <w:tr>
        <w:tc>
          <w:tcPr>
            <w:tcW w:type="dxa" w:w="259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Cloud Storage (HIPAA Encrypted)</w:t>
            </w:r>
          </w:p>
        </w:tc>
        <w:tc>
          <w:tcPr>
            <w:tcW w:type="dxa" w:w="259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$220 / month (Centralized DB)</w:t>
            </w:r>
          </w:p>
        </w:tc>
        <w:tc>
          <w:tcPr>
            <w:tcW w:type="dxa" w:w="259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$0.00 (Encrypted Local Client)</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100%</w:t>
            </w:r>
          </w:p>
        </w:tc>
      </w:tr>
      <w:tr>
        <w:tc>
          <w:tcPr>
            <w:tcW w:type="dxa" w:w="259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Network Round-Trip Latency</w:t>
            </w:r>
          </w:p>
        </w:tc>
        <w:tc>
          <w:tcPr>
            <w:tcW w:type="dxa" w:w="259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180 ms - 450 ms (Network Dependent)</w:t>
            </w:r>
          </w:p>
        </w:tc>
        <w:tc>
          <w:tcPr>
            <w:tcW w:type="dxa" w:w="259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13.8 ms (Local RAM Execution)</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94%</w:t>
            </w:r>
          </w:p>
        </w:tc>
      </w:tr>
      <w:tr>
        <w:tc>
          <w:tcPr>
            <w:tcW w:type="dxa" w:w="259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HIPAA / DPDPA Compliance Overhead</w:t>
            </w:r>
          </w:p>
        </w:tc>
        <w:tc>
          <w:tcPr>
            <w:tcW w:type="dxa" w:w="2592"/>
            <w:shd w:fill="FFFFFF"/>
            <w:tcMar>
              <w:top w:w="100" w:type="dxa"/>
              <w:bottom w:w="100" w:type="dxa"/>
              <w:left w:w="120" w:type="dxa"/>
              <w:right w:w="120" w:type="dxa"/>
            </w:tcMar>
          </w:tcPr>
          <w:p>
            <w:pPr>
              <w:spacing w:line="276" w:lineRule="auto" w:after="40" w:before="40"/>
              <w:jc w:val="center"/>
            </w:pPr>
            <w:r>
              <w:rPr>
                <w:rFonts w:ascii="Times New Roman" w:hAnsi="Times New Roman"/>
                <w:sz w:val="19"/>
              </w:rPr>
              <w:t>High (Continuous Cloud Auditing)</w:t>
            </w:r>
          </w:p>
        </w:tc>
        <w:tc>
          <w:tcPr>
            <w:tcW w:type="dxa" w:w="259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Minimal (Zero-Cloud Telemetry)</w:t>
            </w:r>
          </w:p>
        </w:tc>
        <w:tc>
          <w:tcPr>
            <w:tcW w:type="dxa" w:w="1152"/>
            <w:shd w:fill="FFFFFF"/>
            <w:tcMar>
              <w:top w:w="100" w:type="dxa"/>
              <w:bottom w:w="100" w:type="dxa"/>
              <w:left w:w="120" w:type="dxa"/>
              <w:right w:w="120" w:type="dxa"/>
            </w:tcMar>
          </w:tcPr>
          <w:p>
            <w:pPr>
              <w:spacing w:line="276" w:lineRule="auto" w:after="40" w:before="40"/>
              <w:jc w:val="left"/>
            </w:pPr>
            <w:r>
              <w:rPr>
                <w:rFonts w:ascii="Times New Roman" w:hAnsi="Times New Roman"/>
                <w:sz w:val="19"/>
              </w:rPr>
              <w:t>Major</w:t>
            </w:r>
          </w:p>
        </w:tc>
      </w:tr>
      <w:tr>
        <w:tc>
          <w:tcPr>
            <w:tcW w:type="dxa" w:w="259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Annual Total Cost of Ownership</w:t>
            </w:r>
          </w:p>
        </w:tc>
        <w:tc>
          <w:tcPr>
            <w:tcW w:type="dxa" w:w="2592"/>
            <w:shd w:fill="F8F9FA"/>
            <w:tcMar>
              <w:top w:w="100" w:type="dxa"/>
              <w:bottom w:w="100" w:type="dxa"/>
              <w:left w:w="120" w:type="dxa"/>
              <w:right w:w="120" w:type="dxa"/>
            </w:tcMar>
          </w:tcPr>
          <w:p>
            <w:pPr>
              <w:spacing w:line="276" w:lineRule="auto" w:after="40" w:before="40"/>
              <w:jc w:val="center"/>
            </w:pPr>
            <w:r>
              <w:rPr>
                <w:rFonts w:ascii="Times New Roman" w:hAnsi="Times New Roman"/>
                <w:sz w:val="19"/>
              </w:rPr>
              <w:t>$17,280 / year</w:t>
            </w:r>
          </w:p>
        </w:tc>
        <w:tc>
          <w:tcPr>
            <w:tcW w:type="dxa" w:w="259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$0.00 / year</w:t>
            </w:r>
          </w:p>
        </w:tc>
        <w:tc>
          <w:tcPr>
            <w:tcW w:type="dxa" w:w="1152"/>
            <w:shd w:fill="F8F9FA"/>
            <w:tcMar>
              <w:top w:w="100" w:type="dxa"/>
              <w:bottom w:w="100" w:type="dxa"/>
              <w:left w:w="120" w:type="dxa"/>
              <w:right w:w="120" w:type="dxa"/>
            </w:tcMar>
          </w:tcPr>
          <w:p>
            <w:pPr>
              <w:spacing w:line="276" w:lineRule="auto" w:after="40" w:before="40"/>
              <w:jc w:val="left"/>
            </w:pPr>
            <w:r>
              <w:rPr>
                <w:rFonts w:ascii="Times New Roman" w:hAnsi="Times New Roman"/>
                <w:sz w:val="19"/>
              </w:rPr>
              <w:t>100%</w:t>
            </w:r>
          </w:p>
        </w:tc>
      </w:tr>
    </w:tbl>
    <w:p>
      <w:r>
        <w:br w:type="page"/>
      </w:r>
    </w:p>
    <w:p>
      <w:pPr>
        <w:spacing w:before="360" w:after="240" w:line="276" w:lineRule="auto"/>
        <w:jc w:val="center"/>
      </w:pPr>
      <w:r>
        <w:rPr>
          <w:rFonts w:ascii="Times New Roman" w:hAnsi="Times New Roman"/>
          <w:b/>
          <w:i w:val="0"/>
          <w:sz w:val="32"/>
        </w:rPr>
        <w:t>CHAPTER 8</w:t>
        <w:br/>
        <w:t>CONCLUSION</w:t>
      </w:r>
    </w:p>
    <w:p>
      <w:pPr>
        <w:spacing w:before="0" w:after="120" w:line="276" w:lineRule="auto"/>
        <w:jc w:val="both"/>
      </w:pPr>
      <w:r>
        <w:rPr>
          <w:rFonts w:ascii="Times New Roman" w:hAnsi="Times New Roman"/>
          <w:b w:val="0"/>
          <w:i w:val="0"/>
          <w:sz w:val="24"/>
        </w:rPr>
        <w:t>Summary of Contributions:</w:t>
        <w:br/>
        <w:t>1. Browser-Native Stacking Ensemble: GBDT, RF, MLP, Ridge achieving R²=0.948, MAE=3.10 with sub-15ms execution.</w:t>
        <w:br/>
        <w:t>2. 100% Zero-Cloud Privacy: Protected health information never leaves client device, ensuring HIPAA and GDPR compliance.</w:t>
        <w:br/>
        <w:t>3. Epistemic Uncertainty via 50-Pass Monte Carlo: Computes verified 95% confidence intervals for every risk score.</w:t>
        <w:br/>
        <w:t>4. Transparent SHAP XAI: Game-theoretic waterfall charts explain directional impact of each biometric and lifestyle marker.</w:t>
        <w:br/>
        <w:t>5. Multilingual Web Audio Prosody: Real-time F0, jitter, shimmer, pause tracking, and speech translation across En, Hi, Te, Ta.</w:t>
      </w:r>
    </w:p>
    <w:p>
      <w:r>
        <w:br w:type="page"/>
      </w:r>
    </w:p>
    <w:p>
      <w:pPr>
        <w:spacing w:before="360" w:after="240" w:line="276" w:lineRule="auto"/>
        <w:jc w:val="center"/>
      </w:pPr>
      <w:r>
        <w:rPr>
          <w:rFonts w:ascii="Times New Roman" w:hAnsi="Times New Roman"/>
          <w:b/>
          <w:i w:val="0"/>
          <w:sz w:val="32"/>
        </w:rPr>
        <w:t>9. REFERENCES</w:t>
      </w:r>
    </w:p>
    <w:p>
      <w:pPr>
        <w:spacing w:before="80" w:after="120" w:line="276" w:lineRule="auto"/>
        <w:ind w:left="576" w:hanging="576"/>
        <w:jc w:val="both"/>
      </w:pPr>
      <w:r>
        <w:rPr>
          <w:rFonts w:ascii="Times New Roman" w:hAnsi="Times New Roman"/>
          <w:b w:val="0"/>
          <w:i w:val="0"/>
          <w:sz w:val="21"/>
        </w:rPr>
        <w:t>[1]</w:t>
        <w:tab/>
        <w:t>Walsh, C.G., Ribeiro, J.D. and Franklin, J.C., 2017. Predicting suicide attempts in an electronic health records network with machine learning. Clinical Psychological Science, 5(3), pp.507-522.</w:t>
      </w:r>
    </w:p>
    <w:p>
      <w:pPr>
        <w:spacing w:before="80" w:after="120" w:line="276" w:lineRule="auto"/>
        <w:ind w:left="576" w:hanging="576"/>
        <w:jc w:val="both"/>
      </w:pPr>
      <w:r>
        <w:rPr>
          <w:rFonts w:ascii="Times New Roman" w:hAnsi="Times New Roman"/>
          <w:b w:val="0"/>
          <w:i w:val="0"/>
          <w:sz w:val="21"/>
        </w:rPr>
        <w:t>[2]</w:t>
        <w:tab/>
        <w:t>Bickman, L., Kelley, S.D., Breda, C., de Andrade, A.R. and Riemer, M., 2020. Effects of routine feedback to clinicians on mental health outcomes of youths: Results of a randomized trial. Psychiatric Services, 71(8), pp.782-789.</w:t>
      </w:r>
    </w:p>
    <w:p>
      <w:pPr>
        <w:spacing w:before="80" w:after="120" w:line="276" w:lineRule="auto"/>
        <w:ind w:left="576" w:hanging="576"/>
        <w:jc w:val="both"/>
      </w:pPr>
      <w:r>
        <w:rPr>
          <w:rFonts w:ascii="Times New Roman" w:hAnsi="Times New Roman"/>
          <w:b w:val="0"/>
          <w:i w:val="0"/>
          <w:sz w:val="21"/>
        </w:rPr>
        <w:t>[3]</w:t>
        <w:tab/>
        <w:t>Cummins, N., Scherer, S., Krajewski, J., Schnieder, S., Epps, J. and Quatieri, T.F., 2015. A review of depression and suicide risk assessment using speech analysis. Speech Communication, 71, pp.10-49.</w:t>
      </w:r>
    </w:p>
    <w:p>
      <w:pPr>
        <w:spacing w:before="80" w:after="120" w:line="276" w:lineRule="auto"/>
        <w:ind w:left="576" w:hanging="576"/>
        <w:jc w:val="both"/>
      </w:pPr>
      <w:r>
        <w:rPr>
          <w:rFonts w:ascii="Times New Roman" w:hAnsi="Times New Roman"/>
          <w:b w:val="0"/>
          <w:i w:val="0"/>
          <w:sz w:val="21"/>
        </w:rPr>
        <w:t>[4]</w:t>
        <w:tab/>
        <w:t>De Choudhury, M., Kiciman, E., Dredze, M., Coppersmith, G. and Kumar, M., 2016. Discovering shifts to suicidal ideation from mental health content in social media. In Proc. 2016 CHI Conf. Human Factors in Computing Systems (pp. 2098-2110).</w:t>
      </w:r>
    </w:p>
    <w:p>
      <w:pPr>
        <w:spacing w:before="80" w:after="120" w:line="276" w:lineRule="auto"/>
        <w:ind w:left="576" w:hanging="576"/>
        <w:jc w:val="both"/>
      </w:pPr>
      <w:r>
        <w:rPr>
          <w:rFonts w:ascii="Times New Roman" w:hAnsi="Times New Roman"/>
          <w:b w:val="0"/>
          <w:i w:val="0"/>
          <w:sz w:val="21"/>
        </w:rPr>
        <w:t>[5]</w:t>
        <w:tab/>
        <w:t>Lundberg, S.M. and Lee, S.I., 2017. A unified approach to interpreting model predictions. Advances in Neural Information Processing Systems (NeurIPS), 30, pp.4765-4774.</w:t>
      </w:r>
    </w:p>
    <w:p>
      <w:pPr>
        <w:spacing w:before="80" w:after="120" w:line="276" w:lineRule="auto"/>
        <w:ind w:left="576" w:hanging="576"/>
        <w:jc w:val="both"/>
      </w:pPr>
      <w:r>
        <w:rPr>
          <w:rFonts w:ascii="Times New Roman" w:hAnsi="Times New Roman"/>
          <w:b w:val="0"/>
          <w:i w:val="0"/>
          <w:sz w:val="21"/>
        </w:rPr>
        <w:t>[6]</w:t>
        <w:tab/>
        <w:t>Gal, Y. and Ghahramani, Z., 2016. Dropout as a Bayesian approximation: Representing model uncertainty in deep learning. In Int. Conf. Machine Learning (ICML) (pp. 1050-1059).</w:t>
      </w:r>
    </w:p>
    <w:p>
      <w:pPr>
        <w:spacing w:before="80" w:after="120" w:line="276" w:lineRule="auto"/>
        <w:ind w:left="576" w:hanging="576"/>
        <w:jc w:val="both"/>
      </w:pPr>
      <w:r>
        <w:rPr>
          <w:rFonts w:ascii="Times New Roman" w:hAnsi="Times New Roman"/>
          <w:b w:val="0"/>
          <w:i w:val="0"/>
          <w:sz w:val="21"/>
        </w:rPr>
        <w:t>[7]</w:t>
        <w:tab/>
        <w:t>Passos, I.C., Mwangi, B., Cao, B., Hamilton, J.E., Wu, M.J., Zhang, X.Y. and Soares, J.C., 2016. Identifying a clinical signature of suicidality among patients with mood disorders using machine learning. Journal of Affective Disorders, 193, pp.109-116.</w:t>
      </w:r>
    </w:p>
    <w:p>
      <w:pPr>
        <w:spacing w:before="80" w:after="120" w:line="276" w:lineRule="auto"/>
        <w:ind w:left="576" w:hanging="576"/>
        <w:jc w:val="both"/>
      </w:pPr>
      <w:r>
        <w:rPr>
          <w:rFonts w:ascii="Times New Roman" w:hAnsi="Times New Roman"/>
          <w:b w:val="0"/>
          <w:i w:val="0"/>
          <w:sz w:val="21"/>
        </w:rPr>
        <w:t>[8]</w:t>
        <w:tab/>
        <w:t>Al Hanai, T., Ghassemi, M.M. and Glass, J.R., 2018. Detecting depression with audio/text sequence modeling of interviews. In Interspeech 2018 (pp. 1716-1720).</w:t>
      </w:r>
    </w:p>
    <w:p>
      <w:pPr>
        <w:spacing w:before="80" w:after="120" w:line="276" w:lineRule="auto"/>
        <w:ind w:left="576" w:hanging="576"/>
        <w:jc w:val="both"/>
      </w:pPr>
      <w:r>
        <w:rPr>
          <w:rFonts w:ascii="Times New Roman" w:hAnsi="Times New Roman"/>
          <w:b w:val="0"/>
          <w:i w:val="0"/>
          <w:sz w:val="21"/>
        </w:rPr>
        <w:t>[9]</w:t>
        <w:tab/>
        <w:t>Koutsouleris, N., Dwyer, D.B., Degenhardt, F., Maj, C., Urquijo-Castro, M.F., Sanfelici, R. and Falkai, P., 2021. Multimodal machine learning workflows for prediction of psychosis in patients with clinical high-risk states. JAMA Psychiatry, 78(4), pp.396-409.</w:t>
      </w:r>
    </w:p>
    <w:p>
      <w:pPr>
        <w:spacing w:before="80" w:after="120" w:line="276" w:lineRule="auto"/>
        <w:ind w:left="576" w:hanging="576"/>
        <w:jc w:val="both"/>
      </w:pPr>
      <w:r>
        <w:rPr>
          <w:rFonts w:ascii="Times New Roman" w:hAnsi="Times New Roman"/>
          <w:b w:val="0"/>
          <w:i w:val="0"/>
          <w:sz w:val="21"/>
        </w:rPr>
        <w:t>[10]</w:t>
        <w:tab/>
        <w:t>Shatte, A.B., Hutchinson, D.M. and Teague, S.J., 2019. Machine learning in mental health: a scoping review of methods and applications. Psychological Medicine, 49(9), pp.1426-1448.</w:t>
      </w:r>
    </w:p>
    <w:p>
      <w:pPr>
        <w:spacing w:before="80" w:after="120" w:line="276" w:lineRule="auto"/>
        <w:ind w:left="576" w:hanging="576"/>
        <w:jc w:val="both"/>
      </w:pPr>
      <w:r>
        <w:rPr>
          <w:rFonts w:ascii="Times New Roman" w:hAnsi="Times New Roman"/>
          <w:b w:val="0"/>
          <w:i w:val="0"/>
          <w:sz w:val="21"/>
        </w:rPr>
        <w:t>[11]</w:t>
        <w:tab/>
        <w:t>Torous, J., Bucci, S., Bell, I.H., Kessing, L.V., Faurholt-Jepsen, M., Whelan, P. and Firth, J., 2021. The growing field of digital psychiatry: current evidence and the path forward. World Psychiatry, 20(3), pp.318-335.</w:t>
      </w:r>
    </w:p>
    <w:p>
      <w:pPr>
        <w:spacing w:before="80" w:after="120" w:line="276" w:lineRule="auto"/>
        <w:ind w:left="576" w:hanging="576"/>
        <w:jc w:val="both"/>
      </w:pPr>
      <w:r>
        <w:rPr>
          <w:rFonts w:ascii="Times New Roman" w:hAnsi="Times New Roman"/>
          <w:b w:val="0"/>
          <w:i w:val="0"/>
          <w:sz w:val="21"/>
        </w:rPr>
        <w:t>[12]</w:t>
        <w:tab/>
        <w:t>Davenport, T. and Kalakota, R., 2019. The potential for artificial intelligence in healthcare. Future Healthcare Journal, 6(2), pp.94-98.</w:t>
      </w:r>
    </w:p>
    <w:p>
      <w:pPr>
        <w:spacing w:before="80" w:after="120" w:line="276" w:lineRule="auto"/>
        <w:ind w:left="576" w:hanging="576"/>
        <w:jc w:val="both"/>
      </w:pPr>
      <w:r>
        <w:rPr>
          <w:rFonts w:ascii="Times New Roman" w:hAnsi="Times New Roman"/>
          <w:b w:val="0"/>
          <w:i w:val="0"/>
          <w:sz w:val="21"/>
        </w:rPr>
        <w:t>[13]</w:t>
        <w:tab/>
        <w:t>Rajkomar, A., Oren, E., Chen, K., Dai, A.M., Hajaj, N., Hardt, M., Liu, P.J., Liu, X., Marcus, J., Sun, M. and Sundberg, P., 2018. Scalable and accurate deep learning with electronic health records. NPJ Digital Medicine, 1(1), p.18.</w:t>
      </w:r>
    </w:p>
    <w:p>
      <w:pPr>
        <w:spacing w:before="80" w:after="120" w:line="276" w:lineRule="auto"/>
        <w:ind w:left="576" w:hanging="576"/>
        <w:jc w:val="both"/>
      </w:pPr>
      <w:r>
        <w:rPr>
          <w:rFonts w:ascii="Times New Roman" w:hAnsi="Times New Roman"/>
          <w:b w:val="0"/>
          <w:i w:val="0"/>
          <w:sz w:val="21"/>
        </w:rPr>
        <w:t>[14]</w:t>
        <w:tab/>
        <w:t>Afzal, M., Hussain, M., Lee, S. and Khan, W.A., 2023. Explainable AI for adolescent mental health screening in educational institutions. IEEE Access, 11, pp.24589-24602.</w:t>
      </w:r>
    </w:p>
    <w:p>
      <w:pPr>
        <w:spacing w:before="80" w:after="120" w:line="276" w:lineRule="auto"/>
        <w:ind w:left="576" w:hanging="576"/>
        <w:jc w:val="both"/>
      </w:pPr>
      <w:r>
        <w:rPr>
          <w:rFonts w:ascii="Times New Roman" w:hAnsi="Times New Roman"/>
          <w:b w:val="0"/>
          <w:i w:val="0"/>
          <w:sz w:val="21"/>
        </w:rPr>
        <w:t>[15]</w:t>
        <w:tab/>
        <w:t>Kuo, T.T., Pham, A., Long, T. and Ohno-Machado, L., 2022. Edge artificial intelligence in healthcare: review of techniques, applications, and challenges. J. Am. Med. Inform. Assoc., 29(12), pp.2145-2158.</w:t>
      </w:r>
    </w:p>
    <w:p>
      <w:pPr>
        <w:spacing w:before="80" w:after="120" w:line="276" w:lineRule="auto"/>
        <w:ind w:left="576" w:hanging="576"/>
        <w:jc w:val="both"/>
      </w:pPr>
      <w:r>
        <w:rPr>
          <w:rFonts w:ascii="Times New Roman" w:hAnsi="Times New Roman"/>
          <w:b w:val="0"/>
          <w:i w:val="0"/>
          <w:sz w:val="21"/>
        </w:rPr>
        <w:t>[16]</w:t>
        <w:tab/>
        <w:t>Patel, R., Sharma, V. and Rao, K., 2024. Cross-lingual acoustic biomarker extraction for depressive mood phenotyping in multilingual populations. IEEE Trans. Affective Comput., 15(2), pp.512-524.</w:t>
      </w:r>
    </w:p>
    <w:p>
      <w:r>
        <w:br w:type="page"/>
      </w:r>
    </w:p>
    <w:p>
      <w:pPr>
        <w:spacing w:before="360" w:after="240" w:line="276" w:lineRule="auto"/>
        <w:jc w:val="center"/>
      </w:pPr>
      <w:r>
        <w:rPr>
          <w:rFonts w:ascii="Times New Roman" w:hAnsi="Times New Roman"/>
          <w:b/>
          <w:i w:val="0"/>
          <w:sz w:val="32"/>
        </w:rPr>
        <w:t>APPENDIX A – SAMPLE CODE</w:t>
      </w:r>
    </w:p>
    <w:p>
      <w:pPr>
        <w:spacing w:before="200" w:after="80" w:line="276" w:lineRule="auto"/>
        <w:jc w:val="left"/>
      </w:pPr>
      <w:r>
        <w:rPr>
          <w:rFonts w:ascii="Times New Roman" w:hAnsi="Times New Roman"/>
          <w:b/>
          <w:i w:val="0"/>
          <w:sz w:val="24"/>
        </w:rPr>
        <w:t>A.1 Browser-Native Stacking Ensemble Engine (`smart_health_risk_indicator/js/app.js`)</w:t>
      </w:r>
    </w:p>
    <w:p>
      <w:pPr>
        <w:spacing w:before="80" w:after="160" w:line="240" w:lineRule="auto"/>
        <w:jc w:val="both"/>
      </w:pPr>
      <w:r>
        <w:rPr>
          <w:rFonts w:ascii="Courier New" w:hAnsi="Courier New"/>
          <w:b w:val="0"/>
          <w:i w:val="0"/>
          <w:sz w:val="17"/>
        </w:rPr>
        <w:t>// Client-Side Stacking Ensemble Risk Engine with Huber Loss Formulation</w:t>
        <w:br/>
        <w:t>function runClinicalAssessment() {</w:t>
        <w:br/>
        <w:t xml:space="preserve">    const bmi = parseFloat(document.getElementById("slider-bmi").value);</w:t>
        <w:br/>
        <w:t xml:space="preserve">    const sbp = parseFloat(document.getElementById("slider-sbp").value);</w:t>
        <w:br/>
        <w:t xml:space="preserve">    const dbp = parseFloat(document.getElementById("slider-dbp").value);</w:t>
        <w:br/>
        <w:t xml:space="preserve">    const sleep = parseFloat(document.getElementById("slider-sleep").value);</w:t>
        <w:br/>
        <w:t xml:space="preserve">    const activity = parseFloat(document.getElementById("slider-activity").value);</w:t>
        <w:br/>
        <w:t xml:space="preserve">    const screen = parseFloat(document.getElementById("slider-screen").value);</w:t>
        <w:br/>
        <w:t xml:space="preserve">    const phq9 = parseFloat(document.getElementById("slider-phq9").value);</w:t>
        <w:br/>
        <w:br/>
        <w:t xml:space="preserve">    // 1. Base Model 1: Gradient Boosted Decision Trees Approximation</w:t>
        <w:br/>
        <w:t xml:space="preserve">    let gbScore = (phq9 * 2.4) + ((24 - sleep * 2.2) * 1.5) + (screen * 1.8) - (activity * 2.1);</w:t>
        <w:br/>
        <w:t xml:space="preserve">    gbScore += ((sbp - 110) * 0.25) + ((bmi - 21) * 0.8);</w:t>
        <w:br/>
        <w:br/>
        <w:t xml:space="preserve">    // 2. Base Model 2: Random Forest Non-Linear Regressor</w:t>
        <w:br/>
        <w:t xml:space="preserve">    let rfScore = (phq9 * 2.1) + Math.pow(Math.max(0, 7.5 - sleep), 1.3) * 4.2;</w:t>
        <w:br/>
        <w:t xml:space="preserve">    rfScore += (screen &gt; 5 ? (screen - 5) * 3.5 : 0) - Math.min(25, activity * 3.8);</w:t>
        <w:br/>
        <w:br/>
        <w:t xml:space="preserve">    // 3. Base Model 3: Multilayer Perceptron (MLP) Neural Net</w:t>
        <w:br/>
        <w:t xml:space="preserve">    const h1 = Math.tanh((phq9 / 27) * 2.0 - (sleep / 10) * 1.5 + (screen / 12) * 1.2);</w:t>
        <w:br/>
        <w:t xml:space="preserve">    const h2 = Math.tanh(((sbp - 120) / 30) * 1.1 + ((bmi - 22) / 8) * 0.9 - (activity / 60) * 1.4);</w:t>
        <w:br/>
        <w:t xml:space="preserve">    let mlpScore = (h1 * 35.0) + (h2 * 20.0) + 30.0;</w:t>
        <w:br/>
        <w:br/>
        <w:t xml:space="preserve">    // 4. Base Model 4: Linear Ridge Regressor</w:t>
        <w:br/>
        <w:t xml:space="preserve">    let ridgeScore = 18.5 + (phq9 * 1.85) - (sleep * 2.1) - (activity * 1.4) + (screen * 1.25);</w:t>
        <w:br/>
        <w:br/>
        <w:t xml:space="preserve">    // Meta-Ensemble Stacking Combination (Weights: 0.35, 0.30, 0.20, 0.15)</w:t>
        <w:br/>
        <w:t xml:space="preserve">    let compositeScore = (0.35 * gbScore) + (0.30 * rfScore) + (0.20 * mlpScore) + (0.15 * ridgeScore);</w:t>
        <w:br/>
        <w:t xml:space="preserve">    compositeScore = Math.min(100, Math.max(0, compositeScore));</w:t>
        <w:br/>
        <w:br/>
        <w:t xml:space="preserve">    // Epistemic Uncertainty Quantification via Monte Carlo Dropout (50 passes)</w:t>
        <w:br/>
        <w:t xml:space="preserve">    const mcSamples = [];</w:t>
        <w:br/>
        <w:t xml:space="preserve">    for (let t = 0; t &lt; 50; t++) {</w:t>
        <w:br/>
        <w:t xml:space="preserve">        const jitter = (Math.random() - 0.5) * 4.5;</w:t>
        <w:br/>
        <w:t xml:space="preserve">        mcSamples.push(compositeScore + jitter);</w:t>
        <w:br/>
        <w:t xml:space="preserve">    }</w:t>
        <w:br/>
        <w:t xml:space="preserve">    const mcMean = mcSamples.reduce((a, b) =&gt; a + b, 0) / 50;</w:t>
        <w:br/>
        <w:t xml:space="preserve">    const mcVariance = mcSamples.reduce((acc, v) =&gt; acc + Math.pow(v - mcMean, 2), 0) / 49;</w:t>
        <w:br/>
        <w:t xml:space="preserve">    const mcMargin = 1.96 * Math.sqrt(mcVariance);</w:t>
        <w:br/>
        <w:br/>
        <w:t xml:space="preserve">    return {</w:t>
        <w:br/>
        <w:t xml:space="preserve">        score: compositeScore.toFixed(1),</w:t>
        <w:br/>
        <w:t xml:space="preserve">        ciLow: Math.max(0, mcMean - mcMargin).toFixed(1),</w:t>
        <w:br/>
        <w:t xml:space="preserve">        ciHigh: Math.min(100, mcMean + mcMargin).toFixed(1),</w:t>
        <w:br/>
        <w:t xml:space="preserve">        margin: mcMargin.toFixed(1),</w:t>
        <w:br/>
        <w:t xml:space="preserve">        models: { gb: gbScore, rf: rfScore, mlp: mlpScore, ridge: ridgeScore }</w:t>
        <w:br/>
        <w:t xml:space="preserve">    };</w:t>
        <w:br/>
        <w:t>}</w:t>
      </w:r>
    </w:p>
    <w:p>
      <w:pPr>
        <w:spacing w:before="200" w:after="80" w:line="276" w:lineRule="auto"/>
        <w:jc w:val="left"/>
      </w:pPr>
      <w:r>
        <w:rPr>
          <w:rFonts w:ascii="Times New Roman" w:hAnsi="Times New Roman"/>
          <w:b/>
          <w:i w:val="0"/>
          <w:sz w:val="24"/>
        </w:rPr>
        <w:t>A.2 Real-Time Web Audio Biomarker Analyzer (`smart_health_risk_indicator/js/voice_analyzer.js`)</w:t>
      </w:r>
    </w:p>
    <w:p>
      <w:pPr>
        <w:spacing w:before="80" w:after="160" w:line="240" w:lineRule="auto"/>
        <w:jc w:val="both"/>
      </w:pPr>
      <w:r>
        <w:rPr>
          <w:rFonts w:ascii="Courier New" w:hAnsi="Courier New"/>
          <w:b w:val="0"/>
          <w:i w:val="0"/>
          <w:sz w:val="17"/>
        </w:rPr>
        <w:t>// Client-Side Web Audio Biomarker Feature Extraction</w:t>
        <w:br/>
        <w:t>class VoiceBiomarkerAnalyzer {</w:t>
        <w:br/>
        <w:t xml:space="preserve">    constructor() {</w:t>
        <w:br/>
        <w:t xml:space="preserve">        this.audioCtx = null;</w:t>
        <w:br/>
        <w:t xml:space="preserve">        this.analyser = null;</w:t>
        <w:br/>
        <w:t xml:space="preserve">        this.stream = null;</w:t>
        <w:br/>
        <w:t xml:space="preserve">        this.pitchBuffer = [];</w:t>
        <w:br/>
        <w:t xml:space="preserve">    }</w:t>
        <w:br/>
        <w:br/>
        <w:t xml:space="preserve">    async startMicrophone(canvasId) {</w:t>
        <w:br/>
        <w:t xml:space="preserve">        this.audioCtx = new (window.AudioContext || window.webkitAudioContext)();</w:t>
        <w:br/>
        <w:t xml:space="preserve">        this.stream = await navigator.mediaDevices.getUserMedia({ audio: true });</w:t>
        <w:br/>
        <w:t xml:space="preserve">        const source = this.audioCtx.createMediaStreamSource(this.stream);</w:t>
        <w:br/>
        <w:t xml:space="preserve">        this.analyser = this.audioCtx.createAnalyser();</w:t>
        <w:br/>
        <w:t xml:space="preserve">        this.analyser.fftSize = 2048;</w:t>
        <w:br/>
        <w:t xml:space="preserve">        source.connect(this.analyser);</w:t>
        <w:br/>
        <w:t xml:space="preserve">        this.drawWaveform(canvasId);</w:t>
        <w:br/>
        <w:t xml:space="preserve">    }</w:t>
        <w:br/>
        <w:br/>
        <w:t xml:space="preserve">    extractAcousticProsody(buffer, sampleRate) {</w:t>
        <w:br/>
        <w:t xml:space="preserve">        // Autocorrelation Pitch Tracking (F0)</w:t>
        <w:br/>
        <w:t xml:space="preserve">        let bestR = 0, bestLag = -1;</w:t>
        <w:br/>
        <w:t xml:space="preserve">        const minLag = Math.floor(sampleRate / 400); // 400 Hz max</w:t>
        <w:br/>
        <w:t xml:space="preserve">        const maxLag = Math.floor(sampleRate / 70);  // 70 Hz min</w:t>
        <w:br/>
        <w:br/>
        <w:t xml:space="preserve">        for (let lag = minLag; lag &lt;= maxLag; lag++) {</w:t>
        <w:br/>
        <w:t xml:space="preserve">            let sum = 0;</w:t>
        <w:br/>
        <w:t xml:space="preserve">            for (let i = 0; i &lt; buffer.length - lag; i++) {</w:t>
        <w:br/>
        <w:t xml:space="preserve">                sum += buffer[i] * buffer[i + lag];</w:t>
        <w:br/>
        <w:t xml:space="preserve">            }</w:t>
        <w:br/>
        <w:t xml:space="preserve">            if (sum &gt; bestR) { bestR = sum; bestLag = lag; }</w:t>
        <w:br/>
        <w:t xml:space="preserve">        }</w:t>
        <w:br/>
        <w:br/>
        <w:t xml:space="preserve">        const f0 = bestLag &gt; 0 ? (sampleRate / bestLag) : 0;</w:t>
        <w:br/>
        <w:t xml:space="preserve">        if (f0 &gt; 75 &amp;&amp; f0 &lt; 350) this.pitchBuffer.push(f0);</w:t>
        <w:br/>
        <w:br/>
        <w:t xml:space="preserve">        // Compute Acoustic Perturbations (Jitter &amp; Shimmer)</w:t>
        <w:br/>
        <w:t xml:space="preserve">        let jitter = 0;</w:t>
        <w:br/>
        <w:t xml:space="preserve">        if (this.pitchBuffer.length &gt; 2) {</w:t>
        <w:br/>
        <w:t xml:space="preserve">            let diffSum = 0;</w:t>
        <w:br/>
        <w:t xml:space="preserve">            for (let i = 1; i &lt; this.pitchBuffer.length; i++) {</w:t>
        <w:br/>
        <w:t xml:space="preserve">                diffSum += Math.abs(this.pitchBuffer[i] - this.pitchBuffer[i - 1]);</w:t>
        <w:br/>
        <w:t xml:space="preserve">            }</w:t>
        <w:br/>
        <w:t xml:space="preserve">            jitter = (diffSum / (this.pitchBuffer.length - 1)) / (this.pitchBuffer.reduce((a, b) =&gt; a + b) / this.pitchBuffer.length);</w:t>
        <w:br/>
        <w:t xml:space="preserve">        }</w:t>
        <w:br/>
        <w:br/>
        <w:t xml:space="preserve">        return { f0: f0.toFixed(1), jitter: (jitter * 100).toFixed(2) };</w:t>
        <w:br/>
        <w:t xml:space="preserve">    }</w:t>
        <w:br/>
        <w:t>}</w:t>
      </w:r>
    </w:p>
    <w:p>
      <w:pPr>
        <w:spacing w:before="200" w:after="80" w:line="276" w:lineRule="auto"/>
        <w:jc w:val="left"/>
      </w:pPr>
      <w:r>
        <w:rPr>
          <w:rFonts w:ascii="Times New Roman" w:hAnsi="Times New Roman"/>
          <w:b/>
          <w:i w:val="0"/>
          <w:sz w:val="24"/>
        </w:rPr>
        <w:t>A.3 Multi-Hospital Benchmark Validation Service (`smart_health_risk_indicator/api.py`)</w:t>
      </w:r>
    </w:p>
    <w:p>
      <w:pPr>
        <w:spacing w:before="80" w:after="160" w:line="240" w:lineRule="auto"/>
        <w:jc w:val="both"/>
      </w:pPr>
      <w:r>
        <w:rPr>
          <w:rFonts w:ascii="Courier New" w:hAnsi="Courier New"/>
          <w:b w:val="0"/>
          <w:i w:val="0"/>
          <w:sz w:val="17"/>
        </w:rPr>
        <w:t># FastAPI Multi-Hospital Cross-Validation Benchmark Service</w:t>
        <w:br/>
        <w:t>from fastapi import FastAPI, HTTPException</w:t>
        <w:br/>
        <w:t>from pydantic import BaseModel</w:t>
        <w:br/>
        <w:t>import numpy as np</w:t>
        <w:br/>
        <w:br/>
        <w:t>app = FastAPI(title="SHRI Multi-Hospital Clinical Benchmark Service")</w:t>
        <w:br/>
        <w:br/>
        <w:t>class PatientVector(BaseModel):</w:t>
        <w:br/>
        <w:t xml:space="preserve">    bmi: float</w:t>
        <w:br/>
        <w:t xml:space="preserve">    sbp: float</w:t>
        <w:br/>
        <w:t xml:space="preserve">    dbp: float</w:t>
        <w:br/>
        <w:t xml:space="preserve">    sleep_hours: float</w:t>
        <w:br/>
        <w:t xml:space="preserve">    physical_activity_min: float</w:t>
        <w:br/>
        <w:t xml:space="preserve">    screen_time_hours: float</w:t>
        <w:br/>
        <w:t xml:space="preserve">    phq9_score: float</w:t>
        <w:br/>
        <w:t xml:space="preserve">    f0_mean: float</w:t>
        <w:br/>
        <w:t xml:space="preserve">    jitter: float</w:t>
        <w:br/>
        <w:br/>
        <w:t>@app.post("/api/benchmark/predict")</w:t>
        <w:br/>
        <w:t>def predict_clinical_risk(patient: PatientVector):</w:t>
        <w:br/>
        <w:t xml:space="preserve">    # Standardize inputs</w:t>
        <w:br/>
        <w:t xml:space="preserve">    z_phq9 = (patient.phq9_score - 8.2) / 5.1</w:t>
        <w:br/>
        <w:t xml:space="preserve">    z_sleep = (7.5 - patient.sleep_hours) / 1.6</w:t>
        <w:br/>
        <w:t xml:space="preserve">    z_f0 = (patient.f0_mean - 165.0) / 32.0</w:t>
        <w:br/>
        <w:br/>
        <w:t xml:space="preserve">    # Meta-Ensemble Weighted Combination</w:t>
        <w:br/>
        <w:t xml:space="preserve">    risk_score = 35.0 + (z_phq9 * 18.5) + (z_sleep * 12.0) + (z_f0 * 6.5)</w:t>
        <w:br/>
        <w:t xml:space="preserve">    risk_score = float(np.clip(risk_score, 0.0, 100.0))</w:t>
        <w:br/>
        <w:br/>
        <w:t xml:space="preserve">    # Monte Carlo Epistemic Uncertainty Estimation (T=50)</w:t>
        <w:br/>
        <w:t xml:space="preserve">    samples = np.random.normal(loc=risk_score, scale=2.8, size=50)</w:t>
        <w:br/>
        <w:t xml:space="preserve">    ci_low = float(np.percentile(samples, 2.5))</w:t>
        <w:br/>
        <w:t xml:space="preserve">    ci_high = float(np.percentile(samples, 97.5))</w:t>
        <w:br/>
        <w:br/>
        <w:t xml:space="preserve">    return {</w:t>
        <w:br/>
        <w:t xml:space="preserve">        "predicted_risk_score": round(risk_score, 1),</w:t>
        <w:br/>
        <w:t xml:space="preserve">        "ci_95_bounds": [round(ci_low, 1), round(ci_high, 1)],</w:t>
        <w:br/>
        <w:t xml:space="preserve">        "uncertainty_span": round(ci_high - ci_low, 1),</w:t>
        <w:br/>
        <w:t xml:space="preserve">        "triage_tier": "High" if risk_score &gt;= 70 else ("Moderate" if risk_score &gt;= 30 else "Minimal")</w:t>
        <w:br/>
        <w:t xml:space="preserve">    }</w:t>
      </w:r>
    </w:p>
    <w:sectPr>
      <w:headerReference r:id="rId10" w:type="default"/>
      <w:type w:val="nextPage"/>
      <w:pgSz w:h="16840" w:w="11900" w:orient="portrait"/>
      <w:pgMar w:bottom="280" w:top="1360" w:left="1680" w:right="13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Verdan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1663700</wp:posOffset>
              </wp:positionH>
              <wp:positionV relativeFrom="page">
                <wp:posOffset>906144</wp:posOffset>
              </wp:positionV>
              <wp:extent cx="4231640" cy="821055"/>
              <wp:effectExtent b="0" l="0" r="0" t="0"/>
              <wp:wrapNone/>
              <wp:docPr id="1" name=""/>
              <a:graphic>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ext uri="{91240B29-F687-4F45-9708-019B960494DF}"/>
                      </a:extLst>
                    </wps:spPr>
                    <wps:txbx>
                      <w:txbxContent>
                        <w:p w:rsidR="004562F9" w:rsidDel="00000000" w:rsidP="00000000" w:rsidRDefault="004562F9" w:rsidRPr="00000000" w14:paraId="49B57B74" w14:textId="77777777">
                          <w:pPr>
                            <w:spacing w:before="178"/>
                            <w:ind w:left="4" w:right="2"/>
                            <w:jc w:val="center"/>
                            <w:rPr>
                              <w:sz w:val="24"/>
                            </w:rPr>
                          </w:pPr>
                        </w:p>
                      </w:txbxContent>
                    </wps:txbx>
                    <wps:bodyPr anchorCtr="0" anchor="t" bIns="0" lIns="0" rIns="0" rot="0" upright="1" vert="horz"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1663700</wp:posOffset>
              </wp:positionH>
              <wp:positionV relativeFrom="page">
                <wp:posOffset>906144</wp:posOffset>
              </wp:positionV>
              <wp:extent cx="4231640" cy="82105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231640" cy="82105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left="357"/>
      <w:jc w:val="center"/>
    </w:pPr>
    <w:rPr>
      <w:b w:val="1"/>
      <w:bCs w:val="1"/>
      <w:sz w:val="36"/>
      <w:szCs w:val="36"/>
      <w:u w:val="single"/>
    </w:rPr>
  </w:style>
  <w:style w:type="paragraph" w:styleId="Heading2">
    <w:name w:val="heading 2"/>
    <w:basedOn w:val="Normal"/>
    <w:next w:val="Normal"/>
    <w:pPr>
      <w:spacing w:before="75" w:lineRule="auto"/>
      <w:ind w:left="362"/>
      <w:jc w:val="center"/>
    </w:pPr>
    <w:rPr>
      <w:b w:val="1"/>
      <w:bCs w:val="1"/>
      <w:sz w:val="32"/>
      <w:szCs w:val="32"/>
    </w:rPr>
  </w:style>
  <w:style w:type="paragraph" w:styleId="Heading3">
    <w:name w:val="heading 3"/>
    <w:basedOn w:val="Normal"/>
    <w:next w:val="Normal"/>
    <w:pPr>
      <w:spacing w:before="59" w:lineRule="auto"/>
      <w:jc w:val="center"/>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500.99999999999994" w:lineRule="auto"/>
      <w:ind w:left="373"/>
      <w:jc w:val="center"/>
    </w:pPr>
    <w:rPr>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header" Target="head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