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70CF5" w14:textId="13C1FFDB" w:rsidR="004E1CF8" w:rsidRDefault="00132925">
      <w:pPr>
        <w:rPr>
          <w:rFonts w:ascii="Times New Roman" w:hAnsi="Times New Roman" w:cs="Times New Roman"/>
          <w:color w:val="1F3864" w:themeColor="accent1" w:themeShade="80"/>
          <w:sz w:val="32"/>
          <w:szCs w:val="32"/>
        </w:rPr>
      </w:pPr>
      <w:r w:rsidRPr="00C960F4">
        <w:rPr>
          <w:rFonts w:ascii="Times New Roman" w:hAnsi="Times New Roman" w:cs="Times New Roman"/>
          <w:color w:val="1F3864" w:themeColor="accent1" w:themeShade="80"/>
          <w:sz w:val="32"/>
          <w:szCs w:val="32"/>
        </w:rPr>
        <w:t>Analysis of Adverse Drug Reaction Patterns Using FDA FAERS Data</w:t>
      </w:r>
    </w:p>
    <w:p w14:paraId="40974E67" w14:textId="77777777" w:rsidR="007B0AD6" w:rsidRPr="007B0AD6" w:rsidRDefault="007B0AD6" w:rsidP="007B0AD6">
      <w:pPr>
        <w:spacing w:before="100" w:beforeAutospacing="1" w:after="100" w:afterAutospacing="1" w:line="240" w:lineRule="auto"/>
        <w:outlineLvl w:val="2"/>
        <w:rPr>
          <w:rFonts w:ascii="Times New Roman" w:eastAsia="Times New Roman" w:hAnsi="Times New Roman" w:cs="Times New Roman"/>
          <w:b/>
          <w:bCs/>
          <w:sz w:val="27"/>
          <w:szCs w:val="27"/>
        </w:rPr>
      </w:pPr>
      <w:r w:rsidRPr="007B0AD6">
        <w:rPr>
          <w:rFonts w:ascii="Times New Roman" w:eastAsia="Times New Roman" w:hAnsi="Times New Roman" w:cs="Times New Roman"/>
          <w:b/>
          <w:bCs/>
          <w:sz w:val="27"/>
          <w:szCs w:val="27"/>
        </w:rPr>
        <w:t>Project Overview</w:t>
      </w:r>
    </w:p>
    <w:p w14:paraId="07A7943F" w14:textId="77777777" w:rsidR="007B0AD6" w:rsidRPr="007B0AD6" w:rsidRDefault="007B0AD6" w:rsidP="007B0AD6">
      <w:pPr>
        <w:spacing w:before="100" w:beforeAutospacing="1" w:after="100" w:afterAutospacing="1" w:line="240" w:lineRule="auto"/>
        <w:rPr>
          <w:rFonts w:ascii="Times New Roman" w:eastAsia="Times New Roman" w:hAnsi="Times New Roman" w:cs="Times New Roman"/>
          <w:sz w:val="24"/>
          <w:szCs w:val="24"/>
        </w:rPr>
      </w:pPr>
      <w:r w:rsidRPr="007B0AD6">
        <w:rPr>
          <w:rFonts w:ascii="Times New Roman" w:eastAsia="Times New Roman" w:hAnsi="Times New Roman" w:cs="Times New Roman"/>
          <w:sz w:val="24"/>
          <w:szCs w:val="24"/>
        </w:rPr>
        <w:t>Pharmacovigilance plays a critical role in ensuring drug safety by monitoring, assessing, and preventing adverse drug reactions after a product is released into the market. The U.S. Food and Drug Administration’s Adverse Event Reporting System (FAERS) is a widely used public database that collects spontaneous reports of adverse drug events submitted by healthcare professionals, consumers, and pharmaceutical manufacturers.</w:t>
      </w:r>
    </w:p>
    <w:p w14:paraId="42EEEBA9" w14:textId="77777777" w:rsidR="007B0AD6" w:rsidRPr="007B0AD6" w:rsidRDefault="007B0AD6" w:rsidP="007B0AD6">
      <w:pPr>
        <w:spacing w:before="100" w:beforeAutospacing="1" w:after="100" w:afterAutospacing="1" w:line="240" w:lineRule="auto"/>
        <w:rPr>
          <w:rFonts w:ascii="Times New Roman" w:eastAsia="Times New Roman" w:hAnsi="Times New Roman" w:cs="Times New Roman"/>
          <w:sz w:val="24"/>
          <w:szCs w:val="24"/>
        </w:rPr>
      </w:pPr>
      <w:r w:rsidRPr="007B0AD6">
        <w:rPr>
          <w:rFonts w:ascii="Times New Roman" w:eastAsia="Times New Roman" w:hAnsi="Times New Roman" w:cs="Times New Roman"/>
          <w:sz w:val="24"/>
          <w:szCs w:val="24"/>
        </w:rPr>
        <w:t>This mini project focuses on analyzing FAERS data to understand adverse drug event reporting patterns using data analytics and visualization techniques. The project follows an end-to-end analytical workflow, beginning with data cleaning and transformation in Microsoft Excel, followed by data modeling and visualization in Power BI. Special attention was given to handling missing and inconsistent data, refining adverse event records, and selecting primary suspect drugs to improve analytical clarity.</w:t>
      </w:r>
    </w:p>
    <w:p w14:paraId="62D383C4" w14:textId="3C7F44CF" w:rsidR="007B0AD6" w:rsidRDefault="007B0AD6" w:rsidP="00AE1363">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r w:rsidRPr="007B0AD6">
        <w:rPr>
          <w:rFonts w:ascii="Times New Roman" w:eastAsia="Times New Roman" w:hAnsi="Times New Roman" w:cs="Times New Roman"/>
          <w:sz w:val="24"/>
          <w:szCs w:val="24"/>
        </w:rPr>
        <w:t>The final outcome of the project is an interactive Power BI dashboard that presents key insights related to frequently reported drugs, common adverse events, affected age groups, routes of administration, and reporting trends over time.</w:t>
      </w:r>
    </w:p>
    <w:p w14:paraId="797F8D7E" w14:textId="77777777" w:rsidR="00AE1363" w:rsidRDefault="00AE1363" w:rsidP="00AE1363">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p>
    <w:p w14:paraId="698A9C08" w14:textId="77777777" w:rsidR="007B0AD6" w:rsidRDefault="007B0AD6" w:rsidP="007B0AD6">
      <w:pPr>
        <w:pStyle w:val="Heading3"/>
      </w:pPr>
      <w:r>
        <w:rPr>
          <w:rStyle w:val="Strong"/>
          <w:b/>
          <w:bCs/>
        </w:rPr>
        <w:t>Project Objective</w:t>
      </w:r>
    </w:p>
    <w:p w14:paraId="0590D1ED" w14:textId="77777777" w:rsidR="007B0AD6" w:rsidRDefault="007B0AD6" w:rsidP="007B0AD6">
      <w:pPr>
        <w:pStyle w:val="NormalWeb"/>
      </w:pPr>
      <w:r>
        <w:t>The primary objectives of this mini project are:</w:t>
      </w:r>
    </w:p>
    <w:p w14:paraId="1FD21D9B" w14:textId="77777777" w:rsidR="007B0AD6" w:rsidRDefault="007B0AD6" w:rsidP="007B0AD6">
      <w:pPr>
        <w:pStyle w:val="NormalWeb"/>
        <w:numPr>
          <w:ilvl w:val="0"/>
          <w:numId w:val="1"/>
        </w:numPr>
      </w:pPr>
      <w:r>
        <w:t>To clean and preprocess raw FAERS data using Microsoft Excel for analytical readiness</w:t>
      </w:r>
    </w:p>
    <w:p w14:paraId="5AC6991A" w14:textId="77777777" w:rsidR="007B0AD6" w:rsidRDefault="007B0AD6" w:rsidP="007B0AD6">
      <w:pPr>
        <w:pStyle w:val="NormalWeb"/>
        <w:numPr>
          <w:ilvl w:val="0"/>
          <w:numId w:val="1"/>
        </w:numPr>
      </w:pPr>
      <w:r>
        <w:t>To handle missing values and “Not Reported” data using appropriate domain-specific logic</w:t>
      </w:r>
    </w:p>
    <w:p w14:paraId="0FEC5377" w14:textId="77777777" w:rsidR="007B0AD6" w:rsidRDefault="007B0AD6" w:rsidP="007B0AD6">
      <w:pPr>
        <w:pStyle w:val="NormalWeb"/>
        <w:numPr>
          <w:ilvl w:val="0"/>
          <w:numId w:val="1"/>
        </w:numPr>
      </w:pPr>
      <w:r>
        <w:t>To standardize and transform variables such as dates, age groups, and drug information</w:t>
      </w:r>
    </w:p>
    <w:p w14:paraId="784AA79C" w14:textId="77777777" w:rsidR="007B0AD6" w:rsidRDefault="007B0AD6" w:rsidP="007B0AD6">
      <w:pPr>
        <w:pStyle w:val="NormalWeb"/>
        <w:numPr>
          <w:ilvl w:val="0"/>
          <w:numId w:val="1"/>
        </w:numPr>
      </w:pPr>
      <w:r>
        <w:t>To create meaningful DAX measures in Power BI for aggregation and analysis</w:t>
      </w:r>
    </w:p>
    <w:p w14:paraId="630D1264" w14:textId="77777777" w:rsidR="007B0AD6" w:rsidRDefault="007B0AD6" w:rsidP="007B0AD6">
      <w:pPr>
        <w:pStyle w:val="NormalWeb"/>
        <w:numPr>
          <w:ilvl w:val="0"/>
          <w:numId w:val="1"/>
        </w:numPr>
      </w:pPr>
      <w:r>
        <w:t>To visualize adverse drug event patterns using interactive Power BI dashboards</w:t>
      </w:r>
    </w:p>
    <w:p w14:paraId="078776F3" w14:textId="77777777" w:rsidR="007B0AD6" w:rsidRDefault="007B0AD6" w:rsidP="007B0AD6">
      <w:pPr>
        <w:pStyle w:val="NormalWeb"/>
        <w:numPr>
          <w:ilvl w:val="0"/>
          <w:numId w:val="1"/>
        </w:numPr>
      </w:pPr>
      <w:r>
        <w:t>To derive insights that support pharmacovigilance monitoring and drug safety assessment</w:t>
      </w:r>
    </w:p>
    <w:p w14:paraId="1E46FF91" w14:textId="77777777" w:rsidR="007B0AD6" w:rsidRPr="007B0AD6" w:rsidRDefault="007B0AD6" w:rsidP="00AE1363">
      <w:pPr>
        <w:pBdr>
          <w:bottom w:val="single" w:sz="4" w:space="1" w:color="auto"/>
        </w:pBdr>
        <w:spacing w:before="100" w:beforeAutospacing="1" w:after="100" w:afterAutospacing="1" w:line="240" w:lineRule="auto"/>
        <w:rPr>
          <w:rFonts w:ascii="Times New Roman" w:eastAsia="Times New Roman" w:hAnsi="Times New Roman" w:cs="Times New Roman"/>
          <w:sz w:val="24"/>
          <w:szCs w:val="24"/>
        </w:rPr>
      </w:pPr>
    </w:p>
    <w:p w14:paraId="0923C87C" w14:textId="77777777" w:rsidR="00E75FCA" w:rsidRPr="00724B8E" w:rsidRDefault="00E75FCA" w:rsidP="00E75FCA">
      <w:pPr>
        <w:pStyle w:val="Heading2"/>
        <w:rPr>
          <w:rFonts w:ascii="Times New Roman" w:hAnsi="Times New Roman" w:cs="Times New Roman"/>
        </w:rPr>
      </w:pPr>
      <w:r>
        <w:rPr>
          <w:rFonts w:ascii="Segoe UI Emoji" w:hAnsi="Segoe UI Emoji" w:cs="Segoe UI Emoji"/>
        </w:rPr>
        <w:t>🗂</w:t>
      </w:r>
      <w:r>
        <w:t>️</w:t>
      </w:r>
      <w:r w:rsidRPr="00724B8E">
        <w:rPr>
          <w:color w:val="0D0D0D" w:themeColor="text1" w:themeTint="F2"/>
        </w:rPr>
        <w:t xml:space="preserve"> </w:t>
      </w:r>
      <w:r w:rsidRPr="00724B8E">
        <w:rPr>
          <w:rStyle w:val="Strong"/>
          <w:rFonts w:ascii="Times New Roman" w:hAnsi="Times New Roman" w:cs="Times New Roman"/>
          <w:color w:val="0D0D0D" w:themeColor="text1" w:themeTint="F2"/>
        </w:rPr>
        <w:t>Data Source</w:t>
      </w:r>
    </w:p>
    <w:p w14:paraId="3CCF013B" w14:textId="77777777" w:rsidR="00E75FCA" w:rsidRDefault="00E75FCA" w:rsidP="00E75FCA">
      <w:pPr>
        <w:pStyle w:val="NormalWeb"/>
        <w:numPr>
          <w:ilvl w:val="0"/>
          <w:numId w:val="2"/>
        </w:numPr>
      </w:pPr>
      <w:r>
        <w:rPr>
          <w:rStyle w:val="Strong"/>
        </w:rPr>
        <w:t>Dataset Name:</w:t>
      </w:r>
      <w:r>
        <w:t xml:space="preserve"> FDA Adverse Event Reporting System (FAERS)</w:t>
      </w:r>
    </w:p>
    <w:p w14:paraId="6C6F1982" w14:textId="77777777" w:rsidR="00E75FCA" w:rsidRDefault="00E75FCA" w:rsidP="00E75FCA">
      <w:pPr>
        <w:pStyle w:val="NormalWeb"/>
        <w:numPr>
          <w:ilvl w:val="0"/>
          <w:numId w:val="2"/>
        </w:numPr>
      </w:pPr>
      <w:r>
        <w:rPr>
          <w:rStyle w:val="Strong"/>
        </w:rPr>
        <w:t>Source:</w:t>
      </w:r>
      <w:r>
        <w:t xml:space="preserve"> U.S. Food and Drug Administration (FDA)</w:t>
      </w:r>
    </w:p>
    <w:p w14:paraId="7D3291B3" w14:textId="77777777" w:rsidR="00E75FCA" w:rsidRDefault="00E75FCA" w:rsidP="00E75FCA">
      <w:pPr>
        <w:pStyle w:val="NormalWeb"/>
        <w:numPr>
          <w:ilvl w:val="0"/>
          <w:numId w:val="2"/>
        </w:numPr>
      </w:pPr>
      <w:r>
        <w:rPr>
          <w:rStyle w:val="Strong"/>
        </w:rPr>
        <w:t>Type of Data:</w:t>
      </w:r>
      <w:r>
        <w:t xml:space="preserve"> Secondary / Public dataset</w:t>
      </w:r>
    </w:p>
    <w:p w14:paraId="10BFE2F5" w14:textId="77777777" w:rsidR="007B0AD6" w:rsidRDefault="007B0AD6" w:rsidP="00724B8E">
      <w:pPr>
        <w:pBdr>
          <w:bottom w:val="single" w:sz="4" w:space="1" w:color="auto"/>
        </w:pBdr>
        <w:rPr>
          <w:rFonts w:ascii="Times New Roman" w:hAnsi="Times New Roman" w:cs="Times New Roman"/>
          <w:color w:val="1F3864" w:themeColor="accent1" w:themeShade="80"/>
          <w:sz w:val="32"/>
          <w:szCs w:val="32"/>
        </w:rPr>
      </w:pPr>
    </w:p>
    <w:p w14:paraId="7A8A4AA5" w14:textId="77777777" w:rsidR="00724B8E" w:rsidRPr="00724B8E" w:rsidRDefault="00724B8E" w:rsidP="00724B8E">
      <w:pPr>
        <w:pStyle w:val="Heading2"/>
        <w:rPr>
          <w:b/>
          <w:bCs/>
          <w:color w:val="000000" w:themeColor="text1"/>
        </w:rPr>
      </w:pPr>
      <w:r w:rsidRPr="00724B8E">
        <w:rPr>
          <w:rFonts w:ascii="Segoe UI Emoji" w:hAnsi="Segoe UI Emoji" w:cs="Segoe UI Emoji"/>
          <w:b/>
          <w:bCs/>
          <w:color w:val="000000" w:themeColor="text1"/>
        </w:rPr>
        <w:lastRenderedPageBreak/>
        <w:t>🧩</w:t>
      </w:r>
      <w:r w:rsidRPr="00724B8E">
        <w:rPr>
          <w:b/>
          <w:bCs/>
          <w:color w:val="000000" w:themeColor="text1"/>
        </w:rPr>
        <w:t xml:space="preserve"> PROBLEM STATEMENT</w:t>
      </w:r>
    </w:p>
    <w:p w14:paraId="265E904F" w14:textId="77777777" w:rsidR="00724B8E" w:rsidRDefault="00724B8E" w:rsidP="00724B8E">
      <w:pPr>
        <w:pStyle w:val="NormalWeb"/>
      </w:pPr>
      <w:r>
        <w:t>Adverse Drug Reactions (ADRs) are a major concern in pharmacovigilance and patient safety. With the increasing use of medications, monitoring and analyzing post-marketing drug safety data is critical to identify potential risks associated with pharmaceutical products.</w:t>
      </w:r>
    </w:p>
    <w:p w14:paraId="14D2DDA0" w14:textId="77777777" w:rsidR="00724B8E" w:rsidRDefault="00724B8E" w:rsidP="00724B8E">
      <w:pPr>
        <w:pStyle w:val="NormalWeb"/>
      </w:pPr>
      <w:r>
        <w:t>The FDA Adverse Event Reporting System (FAERS) collects real-world reports of adverse drug events from healthcare professionals, manufacturers, and consumers. However, the raw FAERS data is large, complex, and unstructured, making it difficult to derive meaningful insights without proper data cleaning and analysis.</w:t>
      </w:r>
    </w:p>
    <w:p w14:paraId="788CFC11" w14:textId="216BF02E" w:rsidR="00724B8E" w:rsidRDefault="00724B8E" w:rsidP="00724B8E">
      <w:pPr>
        <w:pStyle w:val="NormalWeb"/>
        <w:pBdr>
          <w:bottom w:val="single" w:sz="4" w:space="1" w:color="auto"/>
        </w:pBdr>
      </w:pPr>
      <w:r>
        <w:t>This project aims to perform data cleaning and transformation using Microsoft Excel and to build interactive visualizations using Power BI to analyze recent FAERS data. The analysis focuses on identifying frequently reported drugs, common adverse reactions, demographic patterns, and serious outcomes. The insights generated from this project can help support drug safety monitoring and data-driven decision-making in the pharmaceutical domain.</w:t>
      </w:r>
    </w:p>
    <w:p w14:paraId="44E9DDC4" w14:textId="77777777" w:rsidR="00724B8E" w:rsidRDefault="00724B8E" w:rsidP="00724B8E">
      <w:pPr>
        <w:pStyle w:val="NormalWeb"/>
        <w:pBdr>
          <w:bottom w:val="single" w:sz="4" w:space="1" w:color="auto"/>
        </w:pBdr>
      </w:pPr>
    </w:p>
    <w:p w14:paraId="2D629A3E" w14:textId="7D40CDA8" w:rsidR="00DD1224" w:rsidRDefault="00724B8E">
      <w:pPr>
        <w:rPr>
          <w:rFonts w:ascii="Times New Roman" w:hAnsi="Times New Roman" w:cs="Times New Roman"/>
          <w:b/>
          <w:bCs/>
          <w:sz w:val="28"/>
          <w:szCs w:val="28"/>
        </w:rPr>
      </w:pPr>
      <w:r w:rsidRPr="00724B8E">
        <w:rPr>
          <w:rFonts w:ascii="Segoe UI Emoji" w:hAnsi="Segoe UI Emoji" w:cs="Segoe UI Emoji"/>
          <w:b/>
          <w:bCs/>
          <w:sz w:val="28"/>
          <w:szCs w:val="28"/>
        </w:rPr>
        <w:t>📊</w:t>
      </w:r>
      <w:r w:rsidRPr="00724B8E">
        <w:rPr>
          <w:rFonts w:ascii="Times New Roman" w:hAnsi="Times New Roman" w:cs="Times New Roman"/>
          <w:b/>
          <w:bCs/>
          <w:sz w:val="28"/>
          <w:szCs w:val="28"/>
        </w:rPr>
        <w:t xml:space="preserve"> Raw Dataset – Attributes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5126"/>
        <w:gridCol w:w="1192"/>
      </w:tblGrid>
      <w:tr w:rsidR="00E775EE" w:rsidRPr="00E775EE" w14:paraId="50EBF74B" w14:textId="77777777" w:rsidTr="00E775EE">
        <w:trPr>
          <w:tblHeader/>
          <w:tblCellSpacing w:w="15" w:type="dxa"/>
        </w:trPr>
        <w:tc>
          <w:tcPr>
            <w:tcW w:w="0" w:type="auto"/>
            <w:tcBorders>
              <w:top w:val="single" w:sz="4" w:space="0" w:color="auto"/>
              <w:left w:val="single" w:sz="4" w:space="0" w:color="auto"/>
              <w:right w:val="single" w:sz="4" w:space="0" w:color="auto"/>
            </w:tcBorders>
            <w:vAlign w:val="center"/>
            <w:hideMark/>
          </w:tcPr>
          <w:p w14:paraId="6055C6AA" w14:textId="77777777" w:rsidR="00E775EE" w:rsidRPr="00E775EE" w:rsidRDefault="00E775EE" w:rsidP="00E775EE">
            <w:pPr>
              <w:spacing w:after="0" w:line="240" w:lineRule="auto"/>
              <w:jc w:val="center"/>
              <w:rPr>
                <w:rFonts w:ascii="Times New Roman" w:eastAsia="Times New Roman" w:hAnsi="Times New Roman" w:cs="Times New Roman"/>
                <w:b/>
                <w:bCs/>
                <w:sz w:val="24"/>
                <w:szCs w:val="24"/>
              </w:rPr>
            </w:pPr>
            <w:r w:rsidRPr="00E775EE">
              <w:rPr>
                <w:rFonts w:ascii="Times New Roman" w:eastAsia="Times New Roman" w:hAnsi="Times New Roman" w:cs="Times New Roman"/>
                <w:b/>
                <w:bCs/>
                <w:sz w:val="24"/>
                <w:szCs w:val="24"/>
              </w:rPr>
              <w:t>Column Name</w:t>
            </w:r>
          </w:p>
        </w:tc>
        <w:tc>
          <w:tcPr>
            <w:tcW w:w="0" w:type="auto"/>
            <w:tcBorders>
              <w:top w:val="single" w:sz="4" w:space="0" w:color="auto"/>
              <w:right w:val="single" w:sz="4" w:space="0" w:color="auto"/>
            </w:tcBorders>
            <w:vAlign w:val="center"/>
            <w:hideMark/>
          </w:tcPr>
          <w:p w14:paraId="55B35753" w14:textId="77777777" w:rsidR="00E775EE" w:rsidRPr="00E775EE" w:rsidRDefault="00E775EE" w:rsidP="00E775EE">
            <w:pPr>
              <w:spacing w:after="0" w:line="240" w:lineRule="auto"/>
              <w:jc w:val="center"/>
              <w:rPr>
                <w:rFonts w:ascii="Times New Roman" w:eastAsia="Times New Roman" w:hAnsi="Times New Roman" w:cs="Times New Roman"/>
                <w:b/>
                <w:bCs/>
                <w:sz w:val="24"/>
                <w:szCs w:val="24"/>
              </w:rPr>
            </w:pPr>
            <w:r w:rsidRPr="00E775EE">
              <w:rPr>
                <w:rFonts w:ascii="Times New Roman" w:eastAsia="Times New Roman" w:hAnsi="Times New Roman" w:cs="Times New Roman"/>
                <w:b/>
                <w:bCs/>
                <w:sz w:val="24"/>
                <w:szCs w:val="24"/>
              </w:rPr>
              <w:t>Description</w:t>
            </w:r>
          </w:p>
        </w:tc>
        <w:tc>
          <w:tcPr>
            <w:tcW w:w="0" w:type="auto"/>
            <w:tcBorders>
              <w:top w:val="single" w:sz="4" w:space="0" w:color="auto"/>
              <w:right w:val="single" w:sz="4" w:space="0" w:color="auto"/>
            </w:tcBorders>
            <w:vAlign w:val="center"/>
            <w:hideMark/>
          </w:tcPr>
          <w:p w14:paraId="5C29F6BF" w14:textId="77777777" w:rsidR="00E775EE" w:rsidRPr="00E775EE" w:rsidRDefault="00E775EE" w:rsidP="00E775EE">
            <w:pPr>
              <w:spacing w:after="0" w:line="240" w:lineRule="auto"/>
              <w:jc w:val="center"/>
              <w:rPr>
                <w:rFonts w:ascii="Times New Roman" w:eastAsia="Times New Roman" w:hAnsi="Times New Roman" w:cs="Times New Roman"/>
                <w:b/>
                <w:bCs/>
                <w:sz w:val="24"/>
                <w:szCs w:val="24"/>
              </w:rPr>
            </w:pPr>
            <w:r w:rsidRPr="00E775EE">
              <w:rPr>
                <w:rFonts w:ascii="Times New Roman" w:eastAsia="Times New Roman" w:hAnsi="Times New Roman" w:cs="Times New Roman"/>
                <w:b/>
                <w:bCs/>
                <w:sz w:val="24"/>
                <w:szCs w:val="24"/>
              </w:rPr>
              <w:t>Data Type</w:t>
            </w:r>
          </w:p>
        </w:tc>
      </w:tr>
      <w:tr w:rsidR="00E775EE" w:rsidRPr="00E775EE" w14:paraId="1D9F6CFB" w14:textId="77777777" w:rsidTr="00E775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AE665" w14:textId="77777777" w:rsidR="00E775EE" w:rsidRPr="00E775EE" w:rsidRDefault="00E775EE" w:rsidP="00E775EE">
            <w:pPr>
              <w:spacing w:after="0" w:line="240" w:lineRule="auto"/>
              <w:rPr>
                <w:rFonts w:ascii="Times New Roman" w:eastAsia="Times New Roman" w:hAnsi="Times New Roman" w:cs="Times New Roman"/>
                <w:sz w:val="24"/>
                <w:szCs w:val="24"/>
              </w:rPr>
            </w:pPr>
            <w:proofErr w:type="spellStart"/>
            <w:r w:rsidRPr="00E775EE">
              <w:rPr>
                <w:rFonts w:ascii="Times New Roman" w:eastAsia="Times New Roman" w:hAnsi="Times New Roman" w:cs="Times New Roman"/>
                <w:sz w:val="24"/>
                <w:szCs w:val="24"/>
              </w:rPr>
              <w:t>PrimaryID</w:t>
            </w:r>
            <w:proofErr w:type="spellEnd"/>
          </w:p>
        </w:tc>
        <w:tc>
          <w:tcPr>
            <w:tcW w:w="0" w:type="auto"/>
            <w:tcBorders>
              <w:top w:val="single" w:sz="4" w:space="0" w:color="auto"/>
              <w:bottom w:val="single" w:sz="4" w:space="0" w:color="auto"/>
              <w:right w:val="single" w:sz="4" w:space="0" w:color="auto"/>
            </w:tcBorders>
            <w:vAlign w:val="center"/>
            <w:hideMark/>
          </w:tcPr>
          <w:p w14:paraId="10E5649F"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Unique identifier assigned to each adverse event report</w:t>
            </w:r>
          </w:p>
        </w:tc>
        <w:tc>
          <w:tcPr>
            <w:tcW w:w="0" w:type="auto"/>
            <w:tcBorders>
              <w:top w:val="single" w:sz="4" w:space="0" w:color="auto"/>
              <w:bottom w:val="single" w:sz="4" w:space="0" w:color="auto"/>
              <w:right w:val="single" w:sz="4" w:space="0" w:color="auto"/>
            </w:tcBorders>
            <w:vAlign w:val="center"/>
            <w:hideMark/>
          </w:tcPr>
          <w:p w14:paraId="4B51D684"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Numeric</w:t>
            </w:r>
          </w:p>
        </w:tc>
      </w:tr>
      <w:tr w:rsidR="00E775EE" w:rsidRPr="00E775EE" w14:paraId="6470415F" w14:textId="77777777" w:rsidTr="00E775EE">
        <w:trPr>
          <w:tblCellSpacing w:w="15" w:type="dxa"/>
        </w:trPr>
        <w:tc>
          <w:tcPr>
            <w:tcW w:w="0" w:type="auto"/>
            <w:tcBorders>
              <w:left w:val="single" w:sz="4" w:space="0" w:color="auto"/>
              <w:bottom w:val="single" w:sz="4" w:space="0" w:color="auto"/>
              <w:right w:val="single" w:sz="4" w:space="0" w:color="auto"/>
            </w:tcBorders>
            <w:vAlign w:val="center"/>
            <w:hideMark/>
          </w:tcPr>
          <w:p w14:paraId="0824A9A9"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CaseID</w:t>
            </w:r>
          </w:p>
        </w:tc>
        <w:tc>
          <w:tcPr>
            <w:tcW w:w="0" w:type="auto"/>
            <w:tcBorders>
              <w:bottom w:val="single" w:sz="4" w:space="0" w:color="auto"/>
              <w:right w:val="single" w:sz="4" w:space="0" w:color="auto"/>
            </w:tcBorders>
            <w:vAlign w:val="center"/>
            <w:hideMark/>
          </w:tcPr>
          <w:p w14:paraId="018D6F05"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Identifier for a specific safety case (can have multiple versions)</w:t>
            </w:r>
          </w:p>
        </w:tc>
        <w:tc>
          <w:tcPr>
            <w:tcW w:w="0" w:type="auto"/>
            <w:tcBorders>
              <w:bottom w:val="single" w:sz="4" w:space="0" w:color="auto"/>
              <w:right w:val="single" w:sz="4" w:space="0" w:color="auto"/>
            </w:tcBorders>
            <w:vAlign w:val="center"/>
            <w:hideMark/>
          </w:tcPr>
          <w:p w14:paraId="29E8D641"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Numeric</w:t>
            </w:r>
          </w:p>
        </w:tc>
      </w:tr>
      <w:tr w:rsidR="00E775EE" w:rsidRPr="00E775EE" w14:paraId="2DA929B1" w14:textId="77777777" w:rsidTr="00E775EE">
        <w:trPr>
          <w:tblCellSpacing w:w="15" w:type="dxa"/>
        </w:trPr>
        <w:tc>
          <w:tcPr>
            <w:tcW w:w="0" w:type="auto"/>
            <w:tcBorders>
              <w:left w:val="single" w:sz="4" w:space="0" w:color="auto"/>
              <w:bottom w:val="single" w:sz="4" w:space="0" w:color="auto"/>
              <w:right w:val="single" w:sz="4" w:space="0" w:color="auto"/>
            </w:tcBorders>
            <w:vAlign w:val="center"/>
            <w:hideMark/>
          </w:tcPr>
          <w:p w14:paraId="4188C2F9"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Case Version</w:t>
            </w:r>
          </w:p>
        </w:tc>
        <w:tc>
          <w:tcPr>
            <w:tcW w:w="0" w:type="auto"/>
            <w:tcBorders>
              <w:bottom w:val="single" w:sz="4" w:space="0" w:color="auto"/>
              <w:right w:val="single" w:sz="4" w:space="0" w:color="auto"/>
            </w:tcBorders>
            <w:vAlign w:val="center"/>
            <w:hideMark/>
          </w:tcPr>
          <w:p w14:paraId="36ACAA5E"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Version number of the reported case</w:t>
            </w:r>
          </w:p>
        </w:tc>
        <w:tc>
          <w:tcPr>
            <w:tcW w:w="0" w:type="auto"/>
            <w:tcBorders>
              <w:bottom w:val="single" w:sz="4" w:space="0" w:color="auto"/>
              <w:right w:val="single" w:sz="4" w:space="0" w:color="auto"/>
            </w:tcBorders>
            <w:vAlign w:val="center"/>
            <w:hideMark/>
          </w:tcPr>
          <w:p w14:paraId="19109ECF"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Numeric</w:t>
            </w:r>
          </w:p>
        </w:tc>
      </w:tr>
      <w:tr w:rsidR="00E775EE" w:rsidRPr="00E775EE" w14:paraId="2539A02E" w14:textId="77777777" w:rsidTr="00E775EE">
        <w:trPr>
          <w:tblCellSpacing w:w="15" w:type="dxa"/>
        </w:trPr>
        <w:tc>
          <w:tcPr>
            <w:tcW w:w="0" w:type="auto"/>
            <w:tcBorders>
              <w:left w:val="single" w:sz="4" w:space="0" w:color="auto"/>
              <w:bottom w:val="single" w:sz="4" w:space="0" w:color="auto"/>
              <w:right w:val="single" w:sz="4" w:space="0" w:color="auto"/>
            </w:tcBorders>
            <w:vAlign w:val="center"/>
            <w:hideMark/>
          </w:tcPr>
          <w:p w14:paraId="4DB13182"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Manufacturer Sender (MFR_SNDR)</w:t>
            </w:r>
          </w:p>
        </w:tc>
        <w:tc>
          <w:tcPr>
            <w:tcW w:w="0" w:type="auto"/>
            <w:tcBorders>
              <w:bottom w:val="single" w:sz="4" w:space="0" w:color="auto"/>
              <w:right w:val="single" w:sz="4" w:space="0" w:color="auto"/>
            </w:tcBorders>
            <w:vAlign w:val="center"/>
            <w:hideMark/>
          </w:tcPr>
          <w:p w14:paraId="21C529A3"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Name of the manufacturer or organization submitting the report</w:t>
            </w:r>
          </w:p>
        </w:tc>
        <w:tc>
          <w:tcPr>
            <w:tcW w:w="0" w:type="auto"/>
            <w:tcBorders>
              <w:bottom w:val="single" w:sz="4" w:space="0" w:color="auto"/>
              <w:right w:val="single" w:sz="4" w:space="0" w:color="auto"/>
            </w:tcBorders>
            <w:vAlign w:val="center"/>
            <w:hideMark/>
          </w:tcPr>
          <w:p w14:paraId="23DB0ACA"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71C5FB81" w14:textId="77777777" w:rsidTr="00E775EE">
        <w:trPr>
          <w:tblCellSpacing w:w="15" w:type="dxa"/>
        </w:trPr>
        <w:tc>
          <w:tcPr>
            <w:tcW w:w="0" w:type="auto"/>
            <w:tcBorders>
              <w:left w:val="single" w:sz="4" w:space="0" w:color="auto"/>
              <w:bottom w:val="single" w:sz="4" w:space="0" w:color="auto"/>
              <w:right w:val="single" w:sz="4" w:space="0" w:color="auto"/>
            </w:tcBorders>
            <w:vAlign w:val="center"/>
            <w:hideMark/>
          </w:tcPr>
          <w:p w14:paraId="2EC2D26A"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Literature Reference (LIT_REF)</w:t>
            </w:r>
          </w:p>
        </w:tc>
        <w:tc>
          <w:tcPr>
            <w:tcW w:w="0" w:type="auto"/>
            <w:tcBorders>
              <w:bottom w:val="single" w:sz="4" w:space="0" w:color="auto"/>
              <w:right w:val="single" w:sz="4" w:space="0" w:color="auto"/>
            </w:tcBorders>
            <w:vAlign w:val="center"/>
            <w:hideMark/>
          </w:tcPr>
          <w:p w14:paraId="030EEDD9"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Published literature reference associated with the case, if any</w:t>
            </w:r>
          </w:p>
        </w:tc>
        <w:tc>
          <w:tcPr>
            <w:tcW w:w="0" w:type="auto"/>
            <w:tcBorders>
              <w:bottom w:val="single" w:sz="4" w:space="0" w:color="auto"/>
              <w:right w:val="single" w:sz="4" w:space="0" w:color="auto"/>
            </w:tcBorders>
            <w:vAlign w:val="center"/>
            <w:hideMark/>
          </w:tcPr>
          <w:p w14:paraId="6EC7604A"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Text</w:t>
            </w:r>
          </w:p>
        </w:tc>
      </w:tr>
      <w:tr w:rsidR="00E775EE" w:rsidRPr="00E775EE" w14:paraId="14456CC6" w14:textId="77777777" w:rsidTr="00E775EE">
        <w:trPr>
          <w:tblCellSpacing w:w="15" w:type="dxa"/>
        </w:trPr>
        <w:tc>
          <w:tcPr>
            <w:tcW w:w="0" w:type="auto"/>
            <w:tcBorders>
              <w:left w:val="single" w:sz="4" w:space="0" w:color="auto"/>
              <w:bottom w:val="single" w:sz="4" w:space="0" w:color="auto"/>
              <w:right w:val="single" w:sz="4" w:space="0" w:color="auto"/>
            </w:tcBorders>
            <w:vAlign w:val="center"/>
            <w:hideMark/>
          </w:tcPr>
          <w:p w14:paraId="534E881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Drug Name</w:t>
            </w:r>
          </w:p>
        </w:tc>
        <w:tc>
          <w:tcPr>
            <w:tcW w:w="0" w:type="auto"/>
            <w:tcBorders>
              <w:bottom w:val="single" w:sz="4" w:space="0" w:color="auto"/>
              <w:right w:val="single" w:sz="4" w:space="0" w:color="auto"/>
            </w:tcBorders>
            <w:vAlign w:val="center"/>
            <w:hideMark/>
          </w:tcPr>
          <w:p w14:paraId="06C88AF1"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Name of the drug suspected to be associated with the adverse event</w:t>
            </w:r>
          </w:p>
        </w:tc>
        <w:tc>
          <w:tcPr>
            <w:tcW w:w="0" w:type="auto"/>
            <w:tcBorders>
              <w:bottom w:val="single" w:sz="4" w:space="0" w:color="auto"/>
              <w:right w:val="single" w:sz="4" w:space="0" w:color="auto"/>
            </w:tcBorders>
            <w:vAlign w:val="center"/>
            <w:hideMark/>
          </w:tcPr>
          <w:p w14:paraId="56870130"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7C057BCD" w14:textId="77777777" w:rsidTr="00E775EE">
        <w:trPr>
          <w:tblCellSpacing w:w="15" w:type="dxa"/>
        </w:trPr>
        <w:tc>
          <w:tcPr>
            <w:tcW w:w="0" w:type="auto"/>
            <w:tcBorders>
              <w:left w:val="single" w:sz="4" w:space="0" w:color="auto"/>
              <w:right w:val="single" w:sz="4" w:space="0" w:color="auto"/>
            </w:tcBorders>
            <w:vAlign w:val="center"/>
            <w:hideMark/>
          </w:tcPr>
          <w:p w14:paraId="466AB5B5"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Dosage</w:t>
            </w:r>
          </w:p>
        </w:tc>
        <w:tc>
          <w:tcPr>
            <w:tcW w:w="0" w:type="auto"/>
            <w:tcBorders>
              <w:right w:val="single" w:sz="4" w:space="0" w:color="auto"/>
            </w:tcBorders>
            <w:vAlign w:val="center"/>
            <w:hideMark/>
          </w:tcPr>
          <w:p w14:paraId="06C9A910"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Reported dose of the drug</w:t>
            </w:r>
          </w:p>
        </w:tc>
        <w:tc>
          <w:tcPr>
            <w:tcW w:w="0" w:type="auto"/>
            <w:tcBorders>
              <w:right w:val="single" w:sz="4" w:space="0" w:color="auto"/>
            </w:tcBorders>
            <w:vAlign w:val="center"/>
            <w:hideMark/>
          </w:tcPr>
          <w:p w14:paraId="01678928"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Numeric</w:t>
            </w:r>
          </w:p>
        </w:tc>
      </w:tr>
      <w:tr w:rsidR="00E775EE" w:rsidRPr="00E775EE" w14:paraId="2380AFFB" w14:textId="77777777" w:rsidTr="00E775EE">
        <w:trPr>
          <w:tblCellSpacing w:w="15" w:type="dxa"/>
        </w:trPr>
        <w:tc>
          <w:tcPr>
            <w:tcW w:w="0" w:type="auto"/>
            <w:tcBorders>
              <w:top w:val="single" w:sz="4" w:space="0" w:color="auto"/>
              <w:left w:val="single" w:sz="4" w:space="0" w:color="auto"/>
              <w:right w:val="single" w:sz="4" w:space="0" w:color="auto"/>
            </w:tcBorders>
            <w:vAlign w:val="center"/>
            <w:hideMark/>
          </w:tcPr>
          <w:p w14:paraId="796B511F"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Dosage Unit</w:t>
            </w:r>
          </w:p>
        </w:tc>
        <w:tc>
          <w:tcPr>
            <w:tcW w:w="0" w:type="auto"/>
            <w:tcBorders>
              <w:top w:val="single" w:sz="4" w:space="0" w:color="auto"/>
              <w:right w:val="single" w:sz="4" w:space="0" w:color="auto"/>
            </w:tcBorders>
            <w:vAlign w:val="center"/>
            <w:hideMark/>
          </w:tcPr>
          <w:p w14:paraId="2513FBFD"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Unit of measurement for the drug dose (e.g., mg, ml)</w:t>
            </w:r>
          </w:p>
        </w:tc>
        <w:tc>
          <w:tcPr>
            <w:tcW w:w="0" w:type="auto"/>
            <w:tcBorders>
              <w:top w:val="single" w:sz="4" w:space="0" w:color="auto"/>
              <w:right w:val="single" w:sz="4" w:space="0" w:color="auto"/>
            </w:tcBorders>
            <w:vAlign w:val="center"/>
            <w:hideMark/>
          </w:tcPr>
          <w:p w14:paraId="0AB6D7C7"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11B19A70" w14:textId="77777777" w:rsidTr="00E775EE">
        <w:trPr>
          <w:tblCellSpacing w:w="15" w:type="dxa"/>
        </w:trPr>
        <w:tc>
          <w:tcPr>
            <w:tcW w:w="0" w:type="auto"/>
            <w:tcBorders>
              <w:top w:val="single" w:sz="4" w:space="0" w:color="auto"/>
              <w:left w:val="single" w:sz="4" w:space="0" w:color="auto"/>
              <w:right w:val="single" w:sz="4" w:space="0" w:color="auto"/>
            </w:tcBorders>
            <w:vAlign w:val="center"/>
            <w:hideMark/>
          </w:tcPr>
          <w:p w14:paraId="1AEBFCFD"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Route</w:t>
            </w:r>
          </w:p>
        </w:tc>
        <w:tc>
          <w:tcPr>
            <w:tcW w:w="0" w:type="auto"/>
            <w:tcBorders>
              <w:top w:val="single" w:sz="4" w:space="0" w:color="auto"/>
              <w:right w:val="single" w:sz="4" w:space="0" w:color="auto"/>
            </w:tcBorders>
            <w:vAlign w:val="center"/>
            <w:hideMark/>
          </w:tcPr>
          <w:p w14:paraId="6A55305A"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Route of drug administration (e.g., Oral, Intravenous)</w:t>
            </w:r>
          </w:p>
        </w:tc>
        <w:tc>
          <w:tcPr>
            <w:tcW w:w="0" w:type="auto"/>
            <w:tcBorders>
              <w:top w:val="single" w:sz="4" w:space="0" w:color="auto"/>
              <w:right w:val="single" w:sz="4" w:space="0" w:color="auto"/>
            </w:tcBorders>
            <w:vAlign w:val="center"/>
            <w:hideMark/>
          </w:tcPr>
          <w:p w14:paraId="612CE09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5ABD5147" w14:textId="77777777" w:rsidTr="00E775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7E8564"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Adverse Event (PT)</w:t>
            </w:r>
          </w:p>
        </w:tc>
        <w:tc>
          <w:tcPr>
            <w:tcW w:w="0" w:type="auto"/>
            <w:tcBorders>
              <w:top w:val="single" w:sz="4" w:space="0" w:color="auto"/>
              <w:bottom w:val="single" w:sz="4" w:space="0" w:color="auto"/>
              <w:right w:val="single" w:sz="4" w:space="0" w:color="auto"/>
            </w:tcBorders>
            <w:vAlign w:val="center"/>
            <w:hideMark/>
          </w:tcPr>
          <w:p w14:paraId="41D02AD7"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Medical term describing the adverse event (Preferred Term)</w:t>
            </w:r>
          </w:p>
        </w:tc>
        <w:tc>
          <w:tcPr>
            <w:tcW w:w="0" w:type="auto"/>
            <w:tcBorders>
              <w:top w:val="single" w:sz="4" w:space="0" w:color="auto"/>
              <w:bottom w:val="single" w:sz="4" w:space="0" w:color="auto"/>
              <w:right w:val="single" w:sz="4" w:space="0" w:color="auto"/>
            </w:tcBorders>
            <w:vAlign w:val="center"/>
            <w:hideMark/>
          </w:tcPr>
          <w:p w14:paraId="6A0847F4"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65499303" w14:textId="77777777" w:rsidTr="00E775EE">
        <w:trPr>
          <w:tblCellSpacing w:w="15" w:type="dxa"/>
        </w:trPr>
        <w:tc>
          <w:tcPr>
            <w:tcW w:w="0" w:type="auto"/>
            <w:tcBorders>
              <w:left w:val="single" w:sz="4" w:space="0" w:color="auto"/>
              <w:right w:val="single" w:sz="4" w:space="0" w:color="auto"/>
            </w:tcBorders>
            <w:vAlign w:val="center"/>
            <w:hideMark/>
          </w:tcPr>
          <w:p w14:paraId="2BE3F161"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Event Date</w:t>
            </w:r>
          </w:p>
        </w:tc>
        <w:tc>
          <w:tcPr>
            <w:tcW w:w="0" w:type="auto"/>
            <w:tcBorders>
              <w:right w:val="single" w:sz="4" w:space="0" w:color="auto"/>
            </w:tcBorders>
            <w:vAlign w:val="center"/>
            <w:hideMark/>
          </w:tcPr>
          <w:p w14:paraId="62AFCEE2"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Date when the adverse event occurred</w:t>
            </w:r>
          </w:p>
        </w:tc>
        <w:tc>
          <w:tcPr>
            <w:tcW w:w="0" w:type="auto"/>
            <w:tcBorders>
              <w:right w:val="single" w:sz="4" w:space="0" w:color="auto"/>
            </w:tcBorders>
            <w:vAlign w:val="center"/>
            <w:hideMark/>
          </w:tcPr>
          <w:p w14:paraId="0DA09A3B"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Date</w:t>
            </w:r>
          </w:p>
        </w:tc>
      </w:tr>
      <w:tr w:rsidR="00E775EE" w:rsidRPr="00E775EE" w14:paraId="6F8D35D9" w14:textId="77777777" w:rsidTr="00E775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99C22A"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Report Date</w:t>
            </w:r>
          </w:p>
        </w:tc>
        <w:tc>
          <w:tcPr>
            <w:tcW w:w="0" w:type="auto"/>
            <w:tcBorders>
              <w:top w:val="single" w:sz="4" w:space="0" w:color="auto"/>
              <w:bottom w:val="single" w:sz="4" w:space="0" w:color="auto"/>
              <w:right w:val="single" w:sz="4" w:space="0" w:color="auto"/>
            </w:tcBorders>
            <w:vAlign w:val="center"/>
            <w:hideMark/>
          </w:tcPr>
          <w:p w14:paraId="6FBAAA8F"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Date when the adverse event was reported</w:t>
            </w:r>
          </w:p>
        </w:tc>
        <w:tc>
          <w:tcPr>
            <w:tcW w:w="0" w:type="auto"/>
            <w:tcBorders>
              <w:top w:val="single" w:sz="4" w:space="0" w:color="auto"/>
              <w:bottom w:val="single" w:sz="4" w:space="0" w:color="auto"/>
              <w:right w:val="single" w:sz="4" w:space="0" w:color="auto"/>
            </w:tcBorders>
            <w:vAlign w:val="center"/>
            <w:hideMark/>
          </w:tcPr>
          <w:p w14:paraId="672E1FF7"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Date</w:t>
            </w:r>
          </w:p>
        </w:tc>
      </w:tr>
      <w:tr w:rsidR="00E775EE" w:rsidRPr="00E775EE" w14:paraId="3CE26478" w14:textId="77777777" w:rsidTr="0046308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57ADF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lastRenderedPageBreak/>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A629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Age of the patient at the time of the event</w:t>
            </w:r>
          </w:p>
        </w:tc>
        <w:tc>
          <w:tcPr>
            <w:tcW w:w="0" w:type="auto"/>
            <w:tcBorders>
              <w:top w:val="single" w:sz="4" w:space="0" w:color="auto"/>
              <w:bottom w:val="single" w:sz="4" w:space="0" w:color="auto"/>
              <w:right w:val="single" w:sz="4" w:space="0" w:color="auto"/>
            </w:tcBorders>
            <w:vAlign w:val="center"/>
            <w:hideMark/>
          </w:tcPr>
          <w:p w14:paraId="1E65A7C8"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Numeric</w:t>
            </w:r>
          </w:p>
        </w:tc>
      </w:tr>
      <w:tr w:rsidR="00E775EE" w:rsidRPr="00E775EE" w14:paraId="2741DF24" w14:textId="77777777" w:rsidTr="0046308B">
        <w:trPr>
          <w:tblCellSpacing w:w="15" w:type="dxa"/>
        </w:trPr>
        <w:tc>
          <w:tcPr>
            <w:tcW w:w="0" w:type="auto"/>
            <w:tcBorders>
              <w:left w:val="single" w:sz="4" w:space="0" w:color="auto"/>
            </w:tcBorders>
            <w:vAlign w:val="center"/>
            <w:hideMark/>
          </w:tcPr>
          <w:p w14:paraId="54352E01"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Age Group</w:t>
            </w:r>
          </w:p>
        </w:tc>
        <w:tc>
          <w:tcPr>
            <w:tcW w:w="0" w:type="auto"/>
            <w:tcBorders>
              <w:left w:val="single" w:sz="4" w:space="0" w:color="auto"/>
              <w:right w:val="single" w:sz="4" w:space="0" w:color="auto"/>
            </w:tcBorders>
            <w:vAlign w:val="center"/>
            <w:hideMark/>
          </w:tcPr>
          <w:p w14:paraId="1732B11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Categorized age group (Infant, Child, Adult, Elderly, etc.)</w:t>
            </w:r>
          </w:p>
        </w:tc>
        <w:tc>
          <w:tcPr>
            <w:tcW w:w="0" w:type="auto"/>
            <w:tcBorders>
              <w:right w:val="single" w:sz="4" w:space="0" w:color="auto"/>
            </w:tcBorders>
            <w:vAlign w:val="center"/>
            <w:hideMark/>
          </w:tcPr>
          <w:p w14:paraId="0EC1435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0B5208F9" w14:textId="77777777" w:rsidTr="0046308B">
        <w:trPr>
          <w:tblCellSpacing w:w="15" w:type="dxa"/>
        </w:trPr>
        <w:tc>
          <w:tcPr>
            <w:tcW w:w="0" w:type="auto"/>
            <w:tcBorders>
              <w:top w:val="single" w:sz="4" w:space="0" w:color="auto"/>
              <w:left w:val="single" w:sz="4" w:space="0" w:color="auto"/>
              <w:bottom w:val="single" w:sz="4" w:space="0" w:color="auto"/>
            </w:tcBorders>
            <w:vAlign w:val="center"/>
            <w:hideMark/>
          </w:tcPr>
          <w:p w14:paraId="251A1CD4"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5D0C60E"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Gender of the patient</w:t>
            </w:r>
          </w:p>
        </w:tc>
        <w:tc>
          <w:tcPr>
            <w:tcW w:w="0" w:type="auto"/>
            <w:tcBorders>
              <w:top w:val="single" w:sz="4" w:space="0" w:color="auto"/>
              <w:bottom w:val="single" w:sz="4" w:space="0" w:color="auto"/>
              <w:right w:val="single" w:sz="4" w:space="0" w:color="auto"/>
            </w:tcBorders>
            <w:vAlign w:val="center"/>
            <w:hideMark/>
          </w:tcPr>
          <w:p w14:paraId="654B0D81"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01E16C7D" w14:textId="77777777" w:rsidTr="0046308B">
        <w:trPr>
          <w:tblCellSpacing w:w="15" w:type="dxa"/>
        </w:trPr>
        <w:tc>
          <w:tcPr>
            <w:tcW w:w="0" w:type="auto"/>
            <w:tcBorders>
              <w:left w:val="single" w:sz="4" w:space="0" w:color="auto"/>
            </w:tcBorders>
            <w:vAlign w:val="center"/>
            <w:hideMark/>
          </w:tcPr>
          <w:p w14:paraId="652EFCA4"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Weight</w:t>
            </w:r>
          </w:p>
        </w:tc>
        <w:tc>
          <w:tcPr>
            <w:tcW w:w="0" w:type="auto"/>
            <w:tcBorders>
              <w:left w:val="single" w:sz="4" w:space="0" w:color="auto"/>
              <w:right w:val="single" w:sz="4" w:space="0" w:color="auto"/>
            </w:tcBorders>
            <w:vAlign w:val="center"/>
            <w:hideMark/>
          </w:tcPr>
          <w:p w14:paraId="569F04A8"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Weight of the patient</w:t>
            </w:r>
          </w:p>
        </w:tc>
        <w:tc>
          <w:tcPr>
            <w:tcW w:w="0" w:type="auto"/>
            <w:tcBorders>
              <w:right w:val="single" w:sz="4" w:space="0" w:color="auto"/>
            </w:tcBorders>
            <w:vAlign w:val="center"/>
            <w:hideMark/>
          </w:tcPr>
          <w:p w14:paraId="2D827C25"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Numeric</w:t>
            </w:r>
          </w:p>
        </w:tc>
      </w:tr>
      <w:tr w:rsidR="00E775EE" w:rsidRPr="00E775EE" w14:paraId="46326329" w14:textId="77777777" w:rsidTr="0046308B">
        <w:trPr>
          <w:tblCellSpacing w:w="15" w:type="dxa"/>
        </w:trPr>
        <w:tc>
          <w:tcPr>
            <w:tcW w:w="0" w:type="auto"/>
            <w:tcBorders>
              <w:top w:val="single" w:sz="4" w:space="0" w:color="auto"/>
              <w:left w:val="single" w:sz="4" w:space="0" w:color="auto"/>
            </w:tcBorders>
            <w:vAlign w:val="center"/>
            <w:hideMark/>
          </w:tcPr>
          <w:p w14:paraId="400BB11B"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Reporter Country</w:t>
            </w:r>
          </w:p>
        </w:tc>
        <w:tc>
          <w:tcPr>
            <w:tcW w:w="0" w:type="auto"/>
            <w:tcBorders>
              <w:top w:val="single" w:sz="4" w:space="0" w:color="auto"/>
              <w:left w:val="single" w:sz="4" w:space="0" w:color="auto"/>
              <w:right w:val="single" w:sz="4" w:space="0" w:color="auto"/>
            </w:tcBorders>
            <w:vAlign w:val="center"/>
            <w:hideMark/>
          </w:tcPr>
          <w:p w14:paraId="1B962D68"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Country from which the report was submitted</w:t>
            </w:r>
          </w:p>
        </w:tc>
        <w:tc>
          <w:tcPr>
            <w:tcW w:w="0" w:type="auto"/>
            <w:tcBorders>
              <w:top w:val="single" w:sz="4" w:space="0" w:color="auto"/>
              <w:right w:val="single" w:sz="4" w:space="0" w:color="auto"/>
            </w:tcBorders>
            <w:vAlign w:val="center"/>
            <w:hideMark/>
          </w:tcPr>
          <w:p w14:paraId="6B58BC08"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r w:rsidR="00E775EE" w:rsidRPr="00E775EE" w14:paraId="30712C67" w14:textId="77777777" w:rsidTr="0046308B">
        <w:trPr>
          <w:tblCellSpacing w:w="15" w:type="dxa"/>
        </w:trPr>
        <w:tc>
          <w:tcPr>
            <w:tcW w:w="0" w:type="auto"/>
            <w:tcBorders>
              <w:top w:val="single" w:sz="4" w:space="0" w:color="auto"/>
              <w:left w:val="single" w:sz="4" w:space="0" w:color="auto"/>
              <w:bottom w:val="single" w:sz="4" w:space="0" w:color="auto"/>
            </w:tcBorders>
            <w:vAlign w:val="center"/>
            <w:hideMark/>
          </w:tcPr>
          <w:p w14:paraId="1612F73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Occurrence Country</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37C61"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Country where the adverse event occurred</w:t>
            </w:r>
          </w:p>
        </w:tc>
        <w:tc>
          <w:tcPr>
            <w:tcW w:w="0" w:type="auto"/>
            <w:tcBorders>
              <w:top w:val="single" w:sz="4" w:space="0" w:color="auto"/>
              <w:bottom w:val="single" w:sz="4" w:space="0" w:color="auto"/>
              <w:right w:val="single" w:sz="4" w:space="0" w:color="auto"/>
            </w:tcBorders>
            <w:vAlign w:val="center"/>
            <w:hideMark/>
          </w:tcPr>
          <w:p w14:paraId="4AE78F4C" w14:textId="77777777" w:rsidR="00E775EE" w:rsidRPr="00E775EE" w:rsidRDefault="00E775EE" w:rsidP="00E775EE">
            <w:pPr>
              <w:spacing w:after="0" w:line="240" w:lineRule="auto"/>
              <w:rPr>
                <w:rFonts w:ascii="Times New Roman" w:eastAsia="Times New Roman" w:hAnsi="Times New Roman" w:cs="Times New Roman"/>
                <w:sz w:val="24"/>
                <w:szCs w:val="24"/>
              </w:rPr>
            </w:pPr>
            <w:r w:rsidRPr="00E775EE">
              <w:rPr>
                <w:rFonts w:ascii="Times New Roman" w:eastAsia="Times New Roman" w:hAnsi="Times New Roman" w:cs="Times New Roman"/>
                <w:sz w:val="24"/>
                <w:szCs w:val="24"/>
              </w:rPr>
              <w:t>Categorical</w:t>
            </w:r>
          </w:p>
        </w:tc>
      </w:tr>
    </w:tbl>
    <w:p w14:paraId="3A1EB31F" w14:textId="0D9D502A" w:rsidR="00724B8E" w:rsidRDefault="00724B8E" w:rsidP="00675CFB">
      <w:pPr>
        <w:rPr>
          <w:rFonts w:ascii="Times New Roman" w:hAnsi="Times New Roman" w:cs="Times New Roman"/>
          <w:b/>
          <w:bCs/>
          <w:color w:val="1F3864" w:themeColor="accent1" w:themeShade="80"/>
          <w:sz w:val="28"/>
          <w:szCs w:val="28"/>
        </w:rPr>
      </w:pPr>
    </w:p>
    <w:p w14:paraId="671908E3" w14:textId="197D49E6" w:rsidR="0046308B" w:rsidRDefault="0046308B" w:rsidP="00CD5A9B">
      <w:pPr>
        <w:pBdr>
          <w:bottom w:val="single" w:sz="4" w:space="1" w:color="auto"/>
        </w:pBdr>
        <w:rPr>
          <w:rFonts w:ascii="Times New Roman" w:hAnsi="Times New Roman" w:cs="Times New Roman"/>
          <w:b/>
          <w:bCs/>
          <w:color w:val="1F3864" w:themeColor="accent1" w:themeShade="80"/>
          <w:sz w:val="28"/>
          <w:szCs w:val="28"/>
        </w:rPr>
      </w:pPr>
    </w:p>
    <w:p w14:paraId="0CA3FBB5" w14:textId="6D554017" w:rsidR="00CD5A9B" w:rsidRPr="00CD5A9B" w:rsidRDefault="00CD5A9B" w:rsidP="00CD5A9B">
      <w:pPr>
        <w:spacing w:after="0" w:line="360" w:lineRule="auto"/>
        <w:jc w:val="both"/>
        <w:rPr>
          <w:rFonts w:ascii="Times New Roman" w:eastAsia="Times New Roman" w:hAnsi="Times New Roman" w:cs="Times New Roman"/>
          <w:b/>
          <w:bCs/>
          <w:color w:val="000000" w:themeColor="text1"/>
          <w:sz w:val="28"/>
          <w:szCs w:val="28"/>
        </w:rPr>
      </w:pPr>
      <w:r w:rsidRPr="00CD5A9B">
        <w:rPr>
          <w:rFonts w:ascii="Times New Roman" w:eastAsia="Times New Roman" w:hAnsi="Times New Roman" w:cs="Times New Roman"/>
          <w:b/>
          <w:bCs/>
          <w:color w:val="000000" w:themeColor="text1"/>
          <w:sz w:val="28"/>
          <w:szCs w:val="28"/>
        </w:rPr>
        <w:t>Tools &amp; Technologies</w:t>
      </w:r>
    </w:p>
    <w:p w14:paraId="09FC0A67" w14:textId="77777777" w:rsidR="00CD5A9B" w:rsidRPr="00CD5A9B" w:rsidRDefault="00CD5A9B" w:rsidP="00CD5A9B">
      <w:pPr>
        <w:numPr>
          <w:ilvl w:val="0"/>
          <w:numId w:val="3"/>
        </w:numPr>
        <w:spacing w:after="0" w:line="360" w:lineRule="auto"/>
        <w:jc w:val="both"/>
        <w:rPr>
          <w:rFonts w:ascii="Times New Roman" w:eastAsia="Times New Roman" w:hAnsi="Times New Roman" w:cs="Times New Roman"/>
          <w:sz w:val="24"/>
          <w:szCs w:val="24"/>
        </w:rPr>
      </w:pPr>
      <w:r w:rsidRPr="00CD5A9B">
        <w:rPr>
          <w:rFonts w:ascii="Times New Roman" w:eastAsia="Times New Roman" w:hAnsi="Times New Roman" w:cs="Times New Roman"/>
          <w:b/>
          <w:bCs/>
          <w:sz w:val="24"/>
          <w:szCs w:val="24"/>
        </w:rPr>
        <w:t>Excel:</w:t>
      </w:r>
      <w:r w:rsidRPr="00CD5A9B">
        <w:rPr>
          <w:rFonts w:ascii="Times New Roman" w:eastAsia="Times New Roman" w:hAnsi="Times New Roman" w:cs="Times New Roman"/>
          <w:sz w:val="24"/>
          <w:szCs w:val="24"/>
        </w:rPr>
        <w:t xml:space="preserve"> Data cleaning, transformation, and Pivot Tables.</w:t>
      </w:r>
    </w:p>
    <w:p w14:paraId="22120FAA" w14:textId="6ED40FFC" w:rsidR="00CD5A9B" w:rsidRPr="00CD5A9B" w:rsidRDefault="00CD5A9B" w:rsidP="00CD5A9B">
      <w:pPr>
        <w:numPr>
          <w:ilvl w:val="0"/>
          <w:numId w:val="3"/>
        </w:numPr>
        <w:spacing w:after="0" w:line="360" w:lineRule="auto"/>
        <w:jc w:val="both"/>
        <w:rPr>
          <w:rFonts w:ascii="Times New Roman" w:eastAsia="Times New Roman" w:hAnsi="Times New Roman" w:cs="Times New Roman"/>
          <w:sz w:val="24"/>
          <w:szCs w:val="24"/>
        </w:rPr>
      </w:pPr>
      <w:r w:rsidRPr="00CD5A9B">
        <w:rPr>
          <w:rFonts w:ascii="Times New Roman" w:eastAsia="Times New Roman" w:hAnsi="Times New Roman" w:cs="Times New Roman"/>
          <w:b/>
          <w:bCs/>
          <w:sz w:val="24"/>
          <w:szCs w:val="24"/>
        </w:rPr>
        <w:t>Power BI:</w:t>
      </w:r>
      <w:r w:rsidRPr="00CD5A9B">
        <w:rPr>
          <w:rFonts w:ascii="Times New Roman" w:eastAsia="Times New Roman" w:hAnsi="Times New Roman" w:cs="Times New Roman"/>
          <w:sz w:val="24"/>
          <w:szCs w:val="24"/>
        </w:rPr>
        <w:t xml:space="preserve"> Data modelling, DAX calculations, visualization, and interactive dashboard creation</w:t>
      </w:r>
      <w:r w:rsidRPr="00CD5A9B">
        <w:rPr>
          <w:rFonts w:ascii="Times New Roman" w:eastAsia="Times New Roman" w:hAnsi="Times New Roman" w:cs="Times New Roman"/>
          <w:sz w:val="24"/>
          <w:szCs w:val="24"/>
        </w:rPr>
        <w:t>.</w:t>
      </w:r>
    </w:p>
    <w:p w14:paraId="587639BF" w14:textId="77777777" w:rsidR="00CD5A9B" w:rsidRDefault="00CD5A9B" w:rsidP="00CD5A9B">
      <w:pPr>
        <w:pBdr>
          <w:bottom w:val="single" w:sz="4" w:space="1" w:color="auto"/>
        </w:pBdr>
        <w:spacing w:after="0" w:line="360" w:lineRule="auto"/>
        <w:jc w:val="both"/>
        <w:rPr>
          <w:rFonts w:ascii="Times New Roman" w:eastAsia="Times New Roman" w:hAnsi="Times New Roman" w:cs="Times New Roman"/>
          <w:color w:val="1F3864"/>
          <w:sz w:val="24"/>
          <w:szCs w:val="24"/>
        </w:rPr>
      </w:pPr>
    </w:p>
    <w:p w14:paraId="0011E39C" w14:textId="77777777" w:rsidR="00CD5A9B" w:rsidRPr="00CD5A9B" w:rsidRDefault="00CD5A9B" w:rsidP="00CD5A9B">
      <w:pPr>
        <w:spacing w:after="0" w:line="360" w:lineRule="auto"/>
        <w:ind w:left="720"/>
        <w:jc w:val="both"/>
        <w:rPr>
          <w:rFonts w:ascii="Times New Roman" w:eastAsia="Times New Roman" w:hAnsi="Times New Roman" w:cs="Times New Roman"/>
          <w:color w:val="1F3864"/>
          <w:sz w:val="24"/>
          <w:szCs w:val="24"/>
        </w:rPr>
      </w:pPr>
    </w:p>
    <w:p w14:paraId="3DEB8AF5" w14:textId="7333F09D" w:rsidR="007C21BB" w:rsidRPr="007C21BB" w:rsidRDefault="007C21BB" w:rsidP="007C21BB">
      <w:pPr>
        <w:pStyle w:val="Heading1"/>
        <w:rPr>
          <w:color w:val="auto"/>
        </w:rPr>
      </w:pPr>
      <w:r w:rsidRPr="007C21BB">
        <w:rPr>
          <w:rStyle w:val="Strong"/>
          <w:color w:val="auto"/>
        </w:rPr>
        <w:t>Data Pre-Processing and Transformation (Excel / Power Query)</w:t>
      </w:r>
    </w:p>
    <w:p w14:paraId="103EBB17" w14:textId="68BAF1A3" w:rsidR="007C21BB" w:rsidRPr="007C21BB" w:rsidRDefault="007C21BB" w:rsidP="007C21BB">
      <w:pPr>
        <w:pStyle w:val="Heading2"/>
        <w:rPr>
          <w:color w:val="auto"/>
        </w:rPr>
      </w:pPr>
      <w:r w:rsidRPr="007C21BB">
        <w:rPr>
          <w:rStyle w:val="Strong"/>
          <w:color w:val="auto"/>
        </w:rPr>
        <w:t>Understanding the Raw Dataset</w:t>
      </w:r>
    </w:p>
    <w:p w14:paraId="519C0BEA" w14:textId="77777777" w:rsidR="007C21BB" w:rsidRDefault="007C21BB" w:rsidP="007C21BB">
      <w:pPr>
        <w:pStyle w:val="NormalWeb"/>
      </w:pPr>
      <w:r>
        <w:t>The raw dataset was sourced from the FDA Adverse Event Reporting System (FAERS), which collects spontaneous adverse drug event reports from healthcare professionals, consumers, and pharmaceutical manufacturers. The raw data consisted of multiple tables containing information related to case details, drug information, adverse events, patient demographics, and reporting details.</w:t>
      </w:r>
    </w:p>
    <w:p w14:paraId="6A81F070" w14:textId="77777777" w:rsidR="007C21BB" w:rsidRDefault="007C21BB" w:rsidP="007C21BB">
      <w:pPr>
        <w:pStyle w:val="NormalWeb"/>
      </w:pPr>
      <w:r>
        <w:t xml:space="preserve">Since FAERS data is </w:t>
      </w:r>
      <w:r>
        <w:rPr>
          <w:rStyle w:val="Strong"/>
        </w:rPr>
        <w:t>real-world and voluntary</w:t>
      </w:r>
      <w:r>
        <w:t xml:space="preserve">, it is inherently </w:t>
      </w:r>
      <w:r>
        <w:rPr>
          <w:rStyle w:val="Strong"/>
        </w:rPr>
        <w:t>non-standardized</w:t>
      </w:r>
      <w:r>
        <w:t xml:space="preserve"> and contains:</w:t>
      </w:r>
    </w:p>
    <w:p w14:paraId="15F1F020" w14:textId="77777777" w:rsidR="007C21BB" w:rsidRDefault="007C21BB" w:rsidP="007C21BB">
      <w:pPr>
        <w:pStyle w:val="NormalWeb"/>
        <w:numPr>
          <w:ilvl w:val="0"/>
          <w:numId w:val="4"/>
        </w:numPr>
      </w:pPr>
      <w:r>
        <w:t>Multiple records for the same case</w:t>
      </w:r>
    </w:p>
    <w:p w14:paraId="7D95C3A1" w14:textId="77777777" w:rsidR="007C21BB" w:rsidRDefault="007C21BB" w:rsidP="007C21BB">
      <w:pPr>
        <w:pStyle w:val="NormalWeb"/>
        <w:numPr>
          <w:ilvl w:val="0"/>
          <w:numId w:val="4"/>
        </w:numPr>
      </w:pPr>
      <w:r>
        <w:t>Missing or incomplete values</w:t>
      </w:r>
    </w:p>
    <w:p w14:paraId="757EE6AE" w14:textId="77777777" w:rsidR="007C21BB" w:rsidRDefault="007C21BB" w:rsidP="007C21BB">
      <w:pPr>
        <w:pStyle w:val="NormalWeb"/>
        <w:numPr>
          <w:ilvl w:val="0"/>
          <w:numId w:val="4"/>
        </w:numPr>
      </w:pPr>
      <w:r>
        <w:t>Aggregated adverse event and drug information</w:t>
      </w:r>
    </w:p>
    <w:p w14:paraId="20649055" w14:textId="77777777" w:rsidR="007C21BB" w:rsidRDefault="007C21BB" w:rsidP="007C21BB">
      <w:pPr>
        <w:pStyle w:val="NormalWeb"/>
        <w:numPr>
          <w:ilvl w:val="0"/>
          <w:numId w:val="4"/>
        </w:numPr>
      </w:pPr>
      <w:r>
        <w:t>Inconsistent formats across columns</w:t>
      </w:r>
    </w:p>
    <w:p w14:paraId="4D01CEBE" w14:textId="77777777" w:rsidR="007C21BB" w:rsidRDefault="007C21BB" w:rsidP="007C21BB">
      <w:pPr>
        <w:pStyle w:val="NormalWeb"/>
      </w:pPr>
      <w:r>
        <w:t>Therefore, preprocessing was essential before performing any meaningful analysis.</w:t>
      </w:r>
    </w:p>
    <w:p w14:paraId="59651BE6" w14:textId="77777777" w:rsidR="007C21BB" w:rsidRDefault="007C21BB" w:rsidP="007C21BB">
      <w:r>
        <w:pict w14:anchorId="49C04A71">
          <v:rect id="_x0000_i1025" style="width:0;height:1.5pt" o:hralign="center" o:hrstd="t" o:hr="t" fillcolor="#a0a0a0" stroked="f"/>
        </w:pict>
      </w:r>
    </w:p>
    <w:p w14:paraId="16EC2E55" w14:textId="0B7E6F7D" w:rsidR="007C21BB" w:rsidRPr="007C21BB" w:rsidRDefault="007C21BB" w:rsidP="007C21BB">
      <w:pPr>
        <w:pStyle w:val="Heading2"/>
        <w:rPr>
          <w:color w:val="auto"/>
        </w:rPr>
      </w:pPr>
      <w:r w:rsidRPr="007C21BB">
        <w:rPr>
          <w:rStyle w:val="Strong"/>
          <w:color w:val="auto"/>
        </w:rPr>
        <w:lastRenderedPageBreak/>
        <w:t>Selection of Relevant Columns</w:t>
      </w:r>
    </w:p>
    <w:p w14:paraId="7DBA3C4E" w14:textId="77777777" w:rsidR="007C21BB" w:rsidRDefault="007C21BB" w:rsidP="007C21BB">
      <w:pPr>
        <w:pStyle w:val="Heading3"/>
      </w:pPr>
      <w:r>
        <w:rPr>
          <w:rStyle w:val="Strong"/>
          <w:b/>
          <w:bCs/>
        </w:rPr>
        <w:t>What was done</w:t>
      </w:r>
    </w:p>
    <w:p w14:paraId="6CA87CD6" w14:textId="77777777" w:rsidR="007C21BB" w:rsidRDefault="007C21BB" w:rsidP="007C21BB">
      <w:pPr>
        <w:pStyle w:val="NormalWeb"/>
      </w:pPr>
      <w:r>
        <w:t>From the raw dataset, only columns relevant to pharmacovigilance analysis were retained. These included:</w:t>
      </w:r>
    </w:p>
    <w:p w14:paraId="16CA0B5D" w14:textId="77777777" w:rsidR="007C21BB" w:rsidRDefault="007C21BB" w:rsidP="007C21BB">
      <w:pPr>
        <w:pStyle w:val="NormalWeb"/>
        <w:numPr>
          <w:ilvl w:val="0"/>
          <w:numId w:val="5"/>
        </w:numPr>
      </w:pPr>
      <w:r>
        <w:t>Case identifiers (Primary ID, Case ID, Case Version)</w:t>
      </w:r>
    </w:p>
    <w:p w14:paraId="6022BEBB" w14:textId="77777777" w:rsidR="007C21BB" w:rsidRDefault="007C21BB" w:rsidP="007C21BB">
      <w:pPr>
        <w:pStyle w:val="NormalWeb"/>
        <w:numPr>
          <w:ilvl w:val="0"/>
          <w:numId w:val="5"/>
        </w:numPr>
      </w:pPr>
      <w:r>
        <w:t>Drug information (Drug Name, Dosage, Dosage Unit, Route)</w:t>
      </w:r>
    </w:p>
    <w:p w14:paraId="2FFC04DF" w14:textId="77777777" w:rsidR="007C21BB" w:rsidRDefault="007C21BB" w:rsidP="007C21BB">
      <w:pPr>
        <w:pStyle w:val="NormalWeb"/>
        <w:numPr>
          <w:ilvl w:val="0"/>
          <w:numId w:val="5"/>
        </w:numPr>
      </w:pPr>
      <w:r>
        <w:t>Adverse event information (Preferred Term – PT)</w:t>
      </w:r>
    </w:p>
    <w:p w14:paraId="725398EE" w14:textId="77777777" w:rsidR="007C21BB" w:rsidRDefault="007C21BB" w:rsidP="007C21BB">
      <w:pPr>
        <w:pStyle w:val="NormalWeb"/>
        <w:numPr>
          <w:ilvl w:val="0"/>
          <w:numId w:val="5"/>
        </w:numPr>
      </w:pPr>
      <w:r>
        <w:t>Patient demographics (Age, Gender, Weight, Age Group)</w:t>
      </w:r>
    </w:p>
    <w:p w14:paraId="0C1ECBF7" w14:textId="77777777" w:rsidR="007C21BB" w:rsidRDefault="007C21BB" w:rsidP="007C21BB">
      <w:pPr>
        <w:pStyle w:val="NormalWeb"/>
        <w:numPr>
          <w:ilvl w:val="0"/>
          <w:numId w:val="5"/>
        </w:numPr>
      </w:pPr>
      <w:r>
        <w:t>Reporting information (Event Date, Report Date, Manufacturer Sender, Literature Reference)</w:t>
      </w:r>
    </w:p>
    <w:p w14:paraId="14836C9E" w14:textId="77777777" w:rsidR="007C21BB" w:rsidRDefault="007C21BB" w:rsidP="007C21BB">
      <w:pPr>
        <w:pStyle w:val="Heading3"/>
      </w:pPr>
      <w:r>
        <w:rPr>
          <w:rStyle w:val="Strong"/>
          <w:b/>
          <w:bCs/>
        </w:rPr>
        <w:t>Why this was done</w:t>
      </w:r>
    </w:p>
    <w:p w14:paraId="10EAB17C" w14:textId="77777777" w:rsidR="007C21BB" w:rsidRDefault="007C21BB" w:rsidP="007C21BB">
      <w:pPr>
        <w:pStyle w:val="NormalWeb"/>
      </w:pPr>
      <w:r>
        <w:t>The raw FAERS dataset contains many administrative and system-specific columns that do not contribute to analytical insights. Retaining unnecessary columns increases data size, slows performance in Power BI, and complicates analysis. Selecting only relevant attributes ensured:</w:t>
      </w:r>
    </w:p>
    <w:p w14:paraId="16A78B7C" w14:textId="77777777" w:rsidR="007C21BB" w:rsidRDefault="007C21BB" w:rsidP="007C21BB">
      <w:pPr>
        <w:pStyle w:val="NormalWeb"/>
        <w:numPr>
          <w:ilvl w:val="0"/>
          <w:numId w:val="6"/>
        </w:numPr>
      </w:pPr>
      <w:r>
        <w:t>Improved performance</w:t>
      </w:r>
    </w:p>
    <w:p w14:paraId="349ED8AF" w14:textId="77777777" w:rsidR="007C21BB" w:rsidRDefault="007C21BB" w:rsidP="007C21BB">
      <w:pPr>
        <w:pStyle w:val="NormalWeb"/>
        <w:numPr>
          <w:ilvl w:val="0"/>
          <w:numId w:val="6"/>
        </w:numPr>
      </w:pPr>
      <w:r>
        <w:t>Better readability</w:t>
      </w:r>
    </w:p>
    <w:p w14:paraId="4CEB73BC" w14:textId="77777777" w:rsidR="007C21BB" w:rsidRDefault="007C21BB" w:rsidP="007C21BB">
      <w:pPr>
        <w:pStyle w:val="NormalWeb"/>
        <w:numPr>
          <w:ilvl w:val="0"/>
          <w:numId w:val="6"/>
        </w:numPr>
      </w:pPr>
      <w:r>
        <w:t>Focused analysis aligned with project objectives</w:t>
      </w:r>
    </w:p>
    <w:p w14:paraId="7FC3DC0B" w14:textId="77777777" w:rsidR="007C21BB" w:rsidRDefault="007C21BB" w:rsidP="007C21BB">
      <w:r>
        <w:pict w14:anchorId="70F4B860">
          <v:rect id="_x0000_i1026" style="width:0;height:1.5pt" o:hralign="center" o:hrstd="t" o:hr="t" fillcolor="#a0a0a0" stroked="f"/>
        </w:pict>
      </w:r>
    </w:p>
    <w:p w14:paraId="17DD8FA7" w14:textId="4F8CE7A2" w:rsidR="007C21BB" w:rsidRPr="007C21BB" w:rsidRDefault="007C21BB" w:rsidP="007C21BB">
      <w:pPr>
        <w:pStyle w:val="Heading2"/>
        <w:rPr>
          <w:color w:val="auto"/>
        </w:rPr>
      </w:pPr>
      <w:r w:rsidRPr="007C21BB">
        <w:rPr>
          <w:rStyle w:val="Strong"/>
          <w:color w:val="auto"/>
        </w:rPr>
        <w:t>Removal of Duplicate Records</w:t>
      </w:r>
    </w:p>
    <w:p w14:paraId="29DCC4AC" w14:textId="77777777" w:rsidR="007C21BB" w:rsidRDefault="007C21BB" w:rsidP="007C21BB">
      <w:pPr>
        <w:pStyle w:val="Heading3"/>
      </w:pPr>
      <w:r>
        <w:rPr>
          <w:rStyle w:val="Strong"/>
          <w:b/>
          <w:bCs/>
        </w:rPr>
        <w:t>What was done</w:t>
      </w:r>
    </w:p>
    <w:p w14:paraId="1571CD82" w14:textId="77777777" w:rsidR="007C21BB" w:rsidRDefault="007C21BB" w:rsidP="007C21BB">
      <w:pPr>
        <w:pStyle w:val="NormalWeb"/>
      </w:pPr>
      <w:r>
        <w:t xml:space="preserve">Duplicate records were identified and removed using combinations of </w:t>
      </w:r>
      <w:r>
        <w:rPr>
          <w:rStyle w:val="Strong"/>
        </w:rPr>
        <w:t>Primary ID, Case ID, and Case Version</w:t>
      </w:r>
      <w:r>
        <w:t>.</w:t>
      </w:r>
    </w:p>
    <w:p w14:paraId="49E5B198" w14:textId="77777777" w:rsidR="007C21BB" w:rsidRDefault="007C21BB" w:rsidP="007C21BB">
      <w:pPr>
        <w:pStyle w:val="Heading3"/>
      </w:pPr>
      <w:r>
        <w:rPr>
          <w:rStyle w:val="Strong"/>
          <w:b/>
          <w:bCs/>
        </w:rPr>
        <w:t>Why this was done</w:t>
      </w:r>
    </w:p>
    <w:p w14:paraId="0BDAE4FF" w14:textId="77777777" w:rsidR="007C21BB" w:rsidRDefault="007C21BB" w:rsidP="007C21BB">
      <w:pPr>
        <w:pStyle w:val="NormalWeb"/>
      </w:pPr>
      <w:r>
        <w:t>FAERS allows multiple versions of the same case to be submitted over time as new information becomes available. Without removing duplicates:</w:t>
      </w:r>
    </w:p>
    <w:p w14:paraId="678FB6C4" w14:textId="77777777" w:rsidR="007C21BB" w:rsidRDefault="007C21BB" w:rsidP="007C21BB">
      <w:pPr>
        <w:pStyle w:val="NormalWeb"/>
        <w:numPr>
          <w:ilvl w:val="0"/>
          <w:numId w:val="7"/>
        </w:numPr>
      </w:pPr>
      <w:r>
        <w:t>The same adverse event could be counted multiple times</w:t>
      </w:r>
    </w:p>
    <w:p w14:paraId="0F637CE2" w14:textId="77777777" w:rsidR="007C21BB" w:rsidRDefault="007C21BB" w:rsidP="007C21BB">
      <w:pPr>
        <w:pStyle w:val="NormalWeb"/>
        <w:numPr>
          <w:ilvl w:val="0"/>
          <w:numId w:val="7"/>
        </w:numPr>
      </w:pPr>
      <w:r>
        <w:t>Aggregations such as “Total Reports” would be inflated</w:t>
      </w:r>
    </w:p>
    <w:p w14:paraId="76BAB15B" w14:textId="77777777" w:rsidR="007C21BB" w:rsidRDefault="007C21BB" w:rsidP="007C21BB">
      <w:pPr>
        <w:pStyle w:val="NormalWeb"/>
        <w:numPr>
          <w:ilvl w:val="0"/>
          <w:numId w:val="7"/>
        </w:numPr>
      </w:pPr>
      <w:r>
        <w:t>Trend analysis would become misleading</w:t>
      </w:r>
    </w:p>
    <w:p w14:paraId="7332E64B" w14:textId="77777777" w:rsidR="007C21BB" w:rsidRDefault="007C21BB" w:rsidP="007C21BB">
      <w:pPr>
        <w:pStyle w:val="NormalWeb"/>
      </w:pPr>
      <w:r>
        <w:t xml:space="preserve">Removing duplicates ensured that </w:t>
      </w:r>
      <w:r>
        <w:rPr>
          <w:rStyle w:val="Strong"/>
        </w:rPr>
        <w:t>each adverse event report was counted accurately</w:t>
      </w:r>
      <w:r>
        <w:t>.</w:t>
      </w:r>
    </w:p>
    <w:p w14:paraId="02B9BD5E" w14:textId="77777777" w:rsidR="007C21BB" w:rsidRDefault="007C21BB" w:rsidP="007C21BB">
      <w:r>
        <w:pict w14:anchorId="77522738">
          <v:rect id="_x0000_i1027" style="width:0;height:1.5pt" o:hralign="center" o:hrstd="t" o:hr="t" fillcolor="#a0a0a0" stroked="f"/>
        </w:pict>
      </w:r>
    </w:p>
    <w:p w14:paraId="2AA264D7" w14:textId="5266A901" w:rsidR="007C21BB" w:rsidRPr="007C21BB" w:rsidRDefault="007C21BB" w:rsidP="007C21BB">
      <w:pPr>
        <w:pStyle w:val="Heading2"/>
      </w:pPr>
      <w:r w:rsidRPr="007C21BB">
        <w:rPr>
          <w:rStyle w:val="Strong"/>
          <w:color w:val="auto"/>
        </w:rPr>
        <w:lastRenderedPageBreak/>
        <w:t>Handling Event Date and Report Date Fields</w:t>
      </w:r>
    </w:p>
    <w:p w14:paraId="33034D99" w14:textId="77777777" w:rsidR="007C21BB" w:rsidRDefault="007C21BB" w:rsidP="007C21BB">
      <w:pPr>
        <w:pStyle w:val="Heading3"/>
      </w:pPr>
      <w:r>
        <w:rPr>
          <w:rStyle w:val="Strong"/>
          <w:b/>
          <w:bCs/>
        </w:rPr>
        <w:t>What was done</w:t>
      </w:r>
    </w:p>
    <w:p w14:paraId="20C4A79F" w14:textId="77777777" w:rsidR="007C21BB" w:rsidRDefault="007C21BB" w:rsidP="007C21BB">
      <w:pPr>
        <w:pStyle w:val="NormalWeb"/>
      </w:pPr>
      <w:r>
        <w:t xml:space="preserve">Both </w:t>
      </w:r>
      <w:r>
        <w:rPr>
          <w:rStyle w:val="Emphasis"/>
        </w:rPr>
        <w:t>Event Date</w:t>
      </w:r>
      <w:r>
        <w:t xml:space="preserve"> and </w:t>
      </w:r>
      <w:r>
        <w:rPr>
          <w:rStyle w:val="Emphasis"/>
        </w:rPr>
        <w:t>Report Date</w:t>
      </w:r>
      <w:r>
        <w:t xml:space="preserve"> originally contained date and time components. The time portion was removed, retaining only the date.</w:t>
      </w:r>
    </w:p>
    <w:p w14:paraId="335F4BB7" w14:textId="77777777" w:rsidR="007C21BB" w:rsidRDefault="007C21BB" w:rsidP="007C21BB">
      <w:pPr>
        <w:pStyle w:val="Heading3"/>
      </w:pPr>
      <w:r>
        <w:rPr>
          <w:rStyle w:val="Strong"/>
          <w:b/>
          <w:bCs/>
        </w:rPr>
        <w:t>Why this was done</w:t>
      </w:r>
    </w:p>
    <w:p w14:paraId="69E873DC" w14:textId="77777777" w:rsidR="007C21BB" w:rsidRDefault="007C21BB" w:rsidP="007C21BB">
      <w:pPr>
        <w:pStyle w:val="NormalWeb"/>
        <w:numPr>
          <w:ilvl w:val="0"/>
          <w:numId w:val="8"/>
        </w:numPr>
      </w:pPr>
      <w:r>
        <w:t>Time information was inconsistent and often missing</w:t>
      </w:r>
    </w:p>
    <w:p w14:paraId="15B1AA99" w14:textId="77777777" w:rsidR="007C21BB" w:rsidRDefault="007C21BB" w:rsidP="007C21BB">
      <w:pPr>
        <w:pStyle w:val="NormalWeb"/>
        <w:numPr>
          <w:ilvl w:val="0"/>
          <w:numId w:val="8"/>
        </w:numPr>
      </w:pPr>
      <w:r>
        <w:t xml:space="preserve">The analysis focused on </w:t>
      </w:r>
      <w:r>
        <w:rPr>
          <w:rStyle w:val="Strong"/>
        </w:rPr>
        <w:t>daily and monthly trends</w:t>
      </w:r>
      <w:r>
        <w:t>, not hourly patterns</w:t>
      </w:r>
    </w:p>
    <w:p w14:paraId="5BEA63BB" w14:textId="77777777" w:rsidR="007C21BB" w:rsidRDefault="007C21BB" w:rsidP="007C21BB">
      <w:pPr>
        <w:pStyle w:val="NormalWeb"/>
        <w:numPr>
          <w:ilvl w:val="0"/>
          <w:numId w:val="8"/>
        </w:numPr>
      </w:pPr>
      <w:r>
        <w:t>Power BI performs better and more consistently with standardized date formats</w:t>
      </w:r>
    </w:p>
    <w:p w14:paraId="4A00E6F5" w14:textId="77777777" w:rsidR="007C21BB" w:rsidRDefault="007C21BB" w:rsidP="007C21BB">
      <w:pPr>
        <w:pStyle w:val="NormalWeb"/>
      </w:pPr>
      <w:r>
        <w:t>By converting these fields to date-only format, temporal analysis became cleaner and more reliable.</w:t>
      </w:r>
    </w:p>
    <w:p w14:paraId="1FA91FAB" w14:textId="77777777" w:rsidR="007C21BB" w:rsidRDefault="007C21BB" w:rsidP="007C21BB">
      <w:r>
        <w:pict w14:anchorId="25B7825C">
          <v:rect id="_x0000_i1028" style="width:0;height:1.5pt" o:hralign="center" o:hrstd="t" o:hr="t" fillcolor="#a0a0a0" stroked="f"/>
        </w:pict>
      </w:r>
    </w:p>
    <w:p w14:paraId="3630B4B8" w14:textId="49663BD9" w:rsidR="007C21BB" w:rsidRPr="007C21BB" w:rsidRDefault="007C21BB" w:rsidP="007C21BB">
      <w:pPr>
        <w:pStyle w:val="Heading2"/>
        <w:rPr>
          <w:color w:val="auto"/>
        </w:rPr>
      </w:pPr>
      <w:r w:rsidRPr="007C21BB">
        <w:rPr>
          <w:rStyle w:val="Strong"/>
          <w:color w:val="auto"/>
        </w:rPr>
        <w:t>Standardization of Age Group Values</w:t>
      </w:r>
    </w:p>
    <w:p w14:paraId="0591C945" w14:textId="77777777" w:rsidR="007C21BB" w:rsidRDefault="007C21BB" w:rsidP="007C21BB">
      <w:pPr>
        <w:pStyle w:val="Heading3"/>
      </w:pPr>
      <w:r>
        <w:rPr>
          <w:rStyle w:val="Strong"/>
          <w:b/>
          <w:bCs/>
        </w:rPr>
        <w:t>What was done</w:t>
      </w:r>
    </w:p>
    <w:p w14:paraId="44E3080D" w14:textId="77777777" w:rsidR="007C21BB" w:rsidRDefault="007C21BB" w:rsidP="007C21BB">
      <w:pPr>
        <w:pStyle w:val="NormalWeb"/>
      </w:pPr>
      <w:r>
        <w:t>Abbreviated age group codes such as:</w:t>
      </w:r>
    </w:p>
    <w:p w14:paraId="54B8A619" w14:textId="77777777" w:rsidR="007C21BB" w:rsidRDefault="007C21BB" w:rsidP="007C21BB">
      <w:pPr>
        <w:pStyle w:val="NormalWeb"/>
        <w:numPr>
          <w:ilvl w:val="0"/>
          <w:numId w:val="9"/>
        </w:numPr>
      </w:pPr>
      <w:r>
        <w:t>A</w:t>
      </w:r>
    </w:p>
    <w:p w14:paraId="4AC902F2" w14:textId="77777777" w:rsidR="007C21BB" w:rsidRDefault="007C21BB" w:rsidP="007C21BB">
      <w:pPr>
        <w:pStyle w:val="NormalWeb"/>
        <w:numPr>
          <w:ilvl w:val="0"/>
          <w:numId w:val="9"/>
        </w:numPr>
      </w:pPr>
      <w:r>
        <w:t>I</w:t>
      </w:r>
    </w:p>
    <w:p w14:paraId="1C82CD0A" w14:textId="77777777" w:rsidR="007C21BB" w:rsidRDefault="007C21BB" w:rsidP="007C21BB">
      <w:pPr>
        <w:pStyle w:val="NormalWeb"/>
        <w:numPr>
          <w:ilvl w:val="0"/>
          <w:numId w:val="9"/>
        </w:numPr>
      </w:pPr>
      <w:r>
        <w:t>T</w:t>
      </w:r>
    </w:p>
    <w:p w14:paraId="6100CB47" w14:textId="77777777" w:rsidR="007C21BB" w:rsidRDefault="007C21BB" w:rsidP="007C21BB">
      <w:pPr>
        <w:pStyle w:val="NormalWeb"/>
        <w:numPr>
          <w:ilvl w:val="0"/>
          <w:numId w:val="9"/>
        </w:numPr>
      </w:pPr>
      <w:r>
        <w:t>C</w:t>
      </w:r>
    </w:p>
    <w:p w14:paraId="76834A0B" w14:textId="77777777" w:rsidR="007C21BB" w:rsidRDefault="007C21BB" w:rsidP="007C21BB">
      <w:pPr>
        <w:pStyle w:val="NormalWeb"/>
      </w:pPr>
      <w:r>
        <w:t>were expanded to full forms:</w:t>
      </w:r>
    </w:p>
    <w:p w14:paraId="25BC6D60" w14:textId="77777777" w:rsidR="007C21BB" w:rsidRDefault="007C21BB" w:rsidP="007C21BB">
      <w:pPr>
        <w:pStyle w:val="NormalWeb"/>
        <w:numPr>
          <w:ilvl w:val="0"/>
          <w:numId w:val="10"/>
        </w:numPr>
      </w:pPr>
      <w:r>
        <w:t>Adult</w:t>
      </w:r>
    </w:p>
    <w:p w14:paraId="48BCCC93" w14:textId="77777777" w:rsidR="007C21BB" w:rsidRDefault="007C21BB" w:rsidP="007C21BB">
      <w:pPr>
        <w:pStyle w:val="NormalWeb"/>
        <w:numPr>
          <w:ilvl w:val="0"/>
          <w:numId w:val="10"/>
        </w:numPr>
      </w:pPr>
      <w:r>
        <w:t>Infant</w:t>
      </w:r>
    </w:p>
    <w:p w14:paraId="0E00EEEF" w14:textId="77777777" w:rsidR="007C21BB" w:rsidRDefault="007C21BB" w:rsidP="007C21BB">
      <w:pPr>
        <w:pStyle w:val="NormalWeb"/>
        <w:numPr>
          <w:ilvl w:val="0"/>
          <w:numId w:val="10"/>
        </w:numPr>
      </w:pPr>
      <w:r>
        <w:t>Teenager</w:t>
      </w:r>
    </w:p>
    <w:p w14:paraId="54DAFDE5" w14:textId="77777777" w:rsidR="007C21BB" w:rsidRDefault="007C21BB" w:rsidP="007C21BB">
      <w:pPr>
        <w:pStyle w:val="NormalWeb"/>
        <w:numPr>
          <w:ilvl w:val="0"/>
          <w:numId w:val="10"/>
        </w:numPr>
      </w:pPr>
      <w:r>
        <w:t>Child</w:t>
      </w:r>
    </w:p>
    <w:p w14:paraId="704B276F" w14:textId="77777777" w:rsidR="007C21BB" w:rsidRDefault="007C21BB" w:rsidP="007C21BB">
      <w:pPr>
        <w:pStyle w:val="Heading3"/>
      </w:pPr>
      <w:r>
        <w:rPr>
          <w:rStyle w:val="Strong"/>
          <w:b/>
          <w:bCs/>
        </w:rPr>
        <w:t>Why this was done</w:t>
      </w:r>
    </w:p>
    <w:p w14:paraId="0E34C716" w14:textId="77777777" w:rsidR="007C21BB" w:rsidRDefault="007C21BB" w:rsidP="007C21BB">
      <w:pPr>
        <w:pStyle w:val="NormalWeb"/>
      </w:pPr>
      <w:r>
        <w:t>Abbreviations are difficult to interpret for non-technical users and evaluators. Expanding them:</w:t>
      </w:r>
    </w:p>
    <w:p w14:paraId="19C650EA" w14:textId="77777777" w:rsidR="007C21BB" w:rsidRDefault="007C21BB" w:rsidP="007C21BB">
      <w:pPr>
        <w:pStyle w:val="NormalWeb"/>
        <w:numPr>
          <w:ilvl w:val="0"/>
          <w:numId w:val="11"/>
        </w:numPr>
      </w:pPr>
      <w:r>
        <w:t>Improved clarity and readability</w:t>
      </w:r>
    </w:p>
    <w:p w14:paraId="681AE424" w14:textId="77777777" w:rsidR="007C21BB" w:rsidRDefault="007C21BB" w:rsidP="007C21BB">
      <w:pPr>
        <w:pStyle w:val="NormalWeb"/>
        <w:numPr>
          <w:ilvl w:val="0"/>
          <w:numId w:val="11"/>
        </w:numPr>
      </w:pPr>
      <w:r>
        <w:t>Reduced ambiguity in visualizations</w:t>
      </w:r>
    </w:p>
    <w:p w14:paraId="6AAF2FB0" w14:textId="77777777" w:rsidR="007C21BB" w:rsidRDefault="007C21BB" w:rsidP="007C21BB">
      <w:pPr>
        <w:pStyle w:val="NormalWeb"/>
        <w:numPr>
          <w:ilvl w:val="0"/>
          <w:numId w:val="11"/>
        </w:numPr>
      </w:pPr>
      <w:proofErr w:type="spellStart"/>
      <w:r>
        <w:t>Made</w:t>
      </w:r>
      <w:proofErr w:type="spellEnd"/>
      <w:r>
        <w:t xml:space="preserve"> dashboard insights self-explanatory</w:t>
      </w:r>
    </w:p>
    <w:p w14:paraId="5DC56161" w14:textId="77777777" w:rsidR="007C21BB" w:rsidRDefault="007C21BB" w:rsidP="007C21BB">
      <w:pPr>
        <w:pStyle w:val="NormalWeb"/>
      </w:pPr>
      <w:r>
        <w:t>This step was essential for effective communication of demographic trends.</w:t>
      </w:r>
    </w:p>
    <w:p w14:paraId="7835BC66" w14:textId="77777777" w:rsidR="007C21BB" w:rsidRDefault="007C21BB" w:rsidP="007C21BB">
      <w:r>
        <w:lastRenderedPageBreak/>
        <w:pict w14:anchorId="0C10D65F">
          <v:rect id="_x0000_i1029" style="width:0;height:1.5pt" o:hralign="center" o:hrstd="t" o:hr="t" fillcolor="#a0a0a0" stroked="f"/>
        </w:pict>
      </w:r>
    </w:p>
    <w:p w14:paraId="4089800D" w14:textId="325C2561" w:rsidR="007C21BB" w:rsidRPr="007C21BB" w:rsidRDefault="007C21BB" w:rsidP="007C21BB">
      <w:pPr>
        <w:pStyle w:val="Heading2"/>
        <w:rPr>
          <w:color w:val="auto"/>
        </w:rPr>
      </w:pPr>
      <w:r w:rsidRPr="007C21BB">
        <w:rPr>
          <w:rStyle w:val="Strong"/>
          <w:color w:val="auto"/>
        </w:rPr>
        <w:t>Refinement of Drug Information</w:t>
      </w:r>
    </w:p>
    <w:p w14:paraId="76025B3F" w14:textId="77777777" w:rsidR="007C21BB" w:rsidRDefault="007C21BB" w:rsidP="007C21BB">
      <w:pPr>
        <w:pStyle w:val="Heading3"/>
      </w:pPr>
      <w:r>
        <w:rPr>
          <w:rStyle w:val="Strong"/>
          <w:b/>
          <w:bCs/>
        </w:rPr>
        <w:t>What was done</w:t>
      </w:r>
    </w:p>
    <w:p w14:paraId="537368A3" w14:textId="77777777" w:rsidR="007C21BB" w:rsidRDefault="007C21BB" w:rsidP="007C21BB">
      <w:pPr>
        <w:pStyle w:val="NormalWeb"/>
      </w:pPr>
      <w:r>
        <w:t xml:space="preserve">Some records contained </w:t>
      </w:r>
      <w:r>
        <w:rPr>
          <w:rStyle w:val="Strong"/>
        </w:rPr>
        <w:t>multiple drug names</w:t>
      </w:r>
      <w:r>
        <w:t xml:space="preserve"> for a single case. Only the </w:t>
      </w:r>
      <w:r>
        <w:rPr>
          <w:rStyle w:val="Strong"/>
        </w:rPr>
        <w:t>Primary Suspect Drug</w:t>
      </w:r>
      <w:r>
        <w:t xml:space="preserve"> was retained in the final dataset.</w:t>
      </w:r>
    </w:p>
    <w:p w14:paraId="0D820CA9" w14:textId="77777777" w:rsidR="007C21BB" w:rsidRDefault="007C21BB" w:rsidP="007C21BB">
      <w:pPr>
        <w:pStyle w:val="Heading3"/>
      </w:pPr>
      <w:r>
        <w:rPr>
          <w:rStyle w:val="Strong"/>
          <w:b/>
          <w:bCs/>
        </w:rPr>
        <w:t>Why this was done</w:t>
      </w:r>
    </w:p>
    <w:p w14:paraId="512C61E5" w14:textId="77777777" w:rsidR="007C21BB" w:rsidRDefault="007C21BB" w:rsidP="007C21BB">
      <w:pPr>
        <w:pStyle w:val="NormalWeb"/>
      </w:pPr>
      <w:r>
        <w:t>FAERS reports may list:</w:t>
      </w:r>
    </w:p>
    <w:p w14:paraId="2EB4785E" w14:textId="77777777" w:rsidR="007C21BB" w:rsidRDefault="007C21BB" w:rsidP="007C21BB">
      <w:pPr>
        <w:pStyle w:val="NormalWeb"/>
        <w:numPr>
          <w:ilvl w:val="0"/>
          <w:numId w:val="12"/>
        </w:numPr>
      </w:pPr>
      <w:r>
        <w:t>Primary suspect drugs</w:t>
      </w:r>
    </w:p>
    <w:p w14:paraId="5C7A7062" w14:textId="77777777" w:rsidR="007C21BB" w:rsidRDefault="007C21BB" w:rsidP="007C21BB">
      <w:pPr>
        <w:pStyle w:val="NormalWeb"/>
        <w:numPr>
          <w:ilvl w:val="0"/>
          <w:numId w:val="12"/>
        </w:numPr>
      </w:pPr>
      <w:r>
        <w:t>Secondary suspect drugs</w:t>
      </w:r>
    </w:p>
    <w:p w14:paraId="60364F51" w14:textId="77777777" w:rsidR="007C21BB" w:rsidRDefault="007C21BB" w:rsidP="007C21BB">
      <w:pPr>
        <w:pStyle w:val="NormalWeb"/>
        <w:numPr>
          <w:ilvl w:val="0"/>
          <w:numId w:val="12"/>
        </w:numPr>
      </w:pPr>
      <w:r>
        <w:t>Concomitant medications</w:t>
      </w:r>
    </w:p>
    <w:p w14:paraId="1E8DCFF6" w14:textId="77777777" w:rsidR="007C21BB" w:rsidRDefault="007C21BB" w:rsidP="007C21BB">
      <w:pPr>
        <w:pStyle w:val="NormalWeb"/>
      </w:pPr>
      <w:r>
        <w:t>Including all drugs in a single column would:</w:t>
      </w:r>
    </w:p>
    <w:p w14:paraId="416FDBAC" w14:textId="77777777" w:rsidR="007C21BB" w:rsidRDefault="007C21BB" w:rsidP="007C21BB">
      <w:pPr>
        <w:pStyle w:val="NormalWeb"/>
        <w:numPr>
          <w:ilvl w:val="0"/>
          <w:numId w:val="13"/>
        </w:numPr>
      </w:pPr>
      <w:r>
        <w:t>Inflate drug counts</w:t>
      </w:r>
    </w:p>
    <w:p w14:paraId="7B4B1E03" w14:textId="77777777" w:rsidR="007C21BB" w:rsidRDefault="007C21BB" w:rsidP="007C21BB">
      <w:pPr>
        <w:pStyle w:val="NormalWeb"/>
        <w:numPr>
          <w:ilvl w:val="0"/>
          <w:numId w:val="13"/>
        </w:numPr>
      </w:pPr>
      <w:r>
        <w:t>Make it unclear which drug is most likely associated with the adverse event</w:t>
      </w:r>
    </w:p>
    <w:p w14:paraId="0BCB52B4" w14:textId="77777777" w:rsidR="007C21BB" w:rsidRDefault="007C21BB" w:rsidP="007C21BB">
      <w:pPr>
        <w:pStyle w:val="NormalWeb"/>
      </w:pPr>
      <w:r>
        <w:t xml:space="preserve">Restricting analysis to the </w:t>
      </w:r>
      <w:r>
        <w:rPr>
          <w:rStyle w:val="Strong"/>
        </w:rPr>
        <w:t>Primary Suspect Drug</w:t>
      </w:r>
      <w:r>
        <w:t xml:space="preserve"> ensured:</w:t>
      </w:r>
    </w:p>
    <w:p w14:paraId="12306F60" w14:textId="77777777" w:rsidR="007C21BB" w:rsidRDefault="007C21BB" w:rsidP="007C21BB">
      <w:pPr>
        <w:pStyle w:val="NormalWeb"/>
        <w:numPr>
          <w:ilvl w:val="0"/>
          <w:numId w:val="14"/>
        </w:numPr>
      </w:pPr>
      <w:r>
        <w:t>Clear attribution of adverse events</w:t>
      </w:r>
    </w:p>
    <w:p w14:paraId="672D8140" w14:textId="77777777" w:rsidR="007C21BB" w:rsidRDefault="007C21BB" w:rsidP="007C21BB">
      <w:pPr>
        <w:pStyle w:val="NormalWeb"/>
        <w:numPr>
          <w:ilvl w:val="0"/>
          <w:numId w:val="14"/>
        </w:numPr>
      </w:pPr>
      <w:r>
        <w:t>More meaningful drug safety insights</w:t>
      </w:r>
    </w:p>
    <w:p w14:paraId="57C46A1C" w14:textId="77777777" w:rsidR="007C21BB" w:rsidRDefault="007C21BB" w:rsidP="007C21BB">
      <w:pPr>
        <w:pStyle w:val="NormalWeb"/>
        <w:numPr>
          <w:ilvl w:val="0"/>
          <w:numId w:val="14"/>
        </w:numPr>
      </w:pPr>
      <w:r>
        <w:t>Cleaner visualizations</w:t>
      </w:r>
    </w:p>
    <w:p w14:paraId="2527A9A9" w14:textId="77777777" w:rsidR="007C21BB" w:rsidRDefault="007C21BB" w:rsidP="007C21BB">
      <w:r>
        <w:pict w14:anchorId="7CFCB0E8">
          <v:rect id="_x0000_i1030" style="width:0;height:1.5pt" o:hralign="center" o:hrstd="t" o:hr="t" fillcolor="#a0a0a0" stroked="f"/>
        </w:pict>
      </w:r>
    </w:p>
    <w:p w14:paraId="7DA48B09" w14:textId="4A65DF40" w:rsidR="007C21BB" w:rsidRPr="007C21BB" w:rsidRDefault="007C21BB" w:rsidP="007C21BB">
      <w:pPr>
        <w:pStyle w:val="Heading2"/>
        <w:rPr>
          <w:color w:val="auto"/>
        </w:rPr>
      </w:pPr>
      <w:r w:rsidRPr="007C21BB">
        <w:rPr>
          <w:rStyle w:val="Strong"/>
          <w:color w:val="auto"/>
        </w:rPr>
        <w:t>Handling Adverse Event (PT) Data</w:t>
      </w:r>
    </w:p>
    <w:p w14:paraId="2C76E5E3" w14:textId="77777777" w:rsidR="007C21BB" w:rsidRDefault="007C21BB" w:rsidP="007C21BB">
      <w:pPr>
        <w:pStyle w:val="Heading3"/>
      </w:pPr>
      <w:r>
        <w:rPr>
          <w:rStyle w:val="Strong"/>
          <w:b/>
          <w:bCs/>
        </w:rPr>
        <w:t>What was done</w:t>
      </w:r>
    </w:p>
    <w:p w14:paraId="685DF4A1" w14:textId="77777777" w:rsidR="007C21BB" w:rsidRDefault="007C21BB" w:rsidP="007C21BB">
      <w:pPr>
        <w:pStyle w:val="NormalWeb"/>
      </w:pPr>
      <w:r>
        <w:t xml:space="preserve">Adverse events were retained using </w:t>
      </w:r>
      <w:r>
        <w:rPr>
          <w:rStyle w:val="Strong"/>
        </w:rPr>
        <w:t>Preferred Term (PT)</w:t>
      </w:r>
      <w:r>
        <w:t xml:space="preserve"> level descriptions. Cases with multiple adverse events were refined to avoid excessive aggregation in a single cell.</w:t>
      </w:r>
    </w:p>
    <w:p w14:paraId="777EA30B" w14:textId="77777777" w:rsidR="007C21BB" w:rsidRDefault="007C21BB" w:rsidP="007C21BB">
      <w:pPr>
        <w:pStyle w:val="Heading3"/>
      </w:pPr>
      <w:r>
        <w:rPr>
          <w:rStyle w:val="Strong"/>
          <w:b/>
          <w:bCs/>
        </w:rPr>
        <w:t>Why this was done</w:t>
      </w:r>
    </w:p>
    <w:p w14:paraId="5041E60A" w14:textId="77777777" w:rsidR="007C21BB" w:rsidRDefault="007C21BB" w:rsidP="007C21BB">
      <w:pPr>
        <w:pStyle w:val="NormalWeb"/>
      </w:pPr>
      <w:r>
        <w:t>A single drug can be associated with multiple adverse events in one report. If all events are kept without refinement:</w:t>
      </w:r>
    </w:p>
    <w:p w14:paraId="0B22F004" w14:textId="77777777" w:rsidR="007C21BB" w:rsidRDefault="007C21BB" w:rsidP="007C21BB">
      <w:pPr>
        <w:pStyle w:val="NormalWeb"/>
        <w:numPr>
          <w:ilvl w:val="0"/>
          <w:numId w:val="15"/>
        </w:numPr>
      </w:pPr>
      <w:r>
        <w:t>One record may show a long list of adverse events</w:t>
      </w:r>
    </w:p>
    <w:p w14:paraId="565E8FE2" w14:textId="77777777" w:rsidR="007C21BB" w:rsidRDefault="007C21BB" w:rsidP="007C21BB">
      <w:pPr>
        <w:pStyle w:val="NormalWeb"/>
        <w:numPr>
          <w:ilvl w:val="0"/>
          <w:numId w:val="15"/>
        </w:numPr>
      </w:pPr>
      <w:r>
        <w:t>Visualizations become cluttered</w:t>
      </w:r>
    </w:p>
    <w:p w14:paraId="04C2C76B" w14:textId="77777777" w:rsidR="007C21BB" w:rsidRDefault="007C21BB" w:rsidP="007C21BB">
      <w:pPr>
        <w:pStyle w:val="NormalWeb"/>
        <w:numPr>
          <w:ilvl w:val="0"/>
          <w:numId w:val="15"/>
        </w:numPr>
      </w:pPr>
      <w:r>
        <w:t>Interpretation becomes difficult</w:t>
      </w:r>
    </w:p>
    <w:p w14:paraId="3F690014" w14:textId="77777777" w:rsidR="007C21BB" w:rsidRDefault="007C21BB" w:rsidP="007C21BB">
      <w:pPr>
        <w:pStyle w:val="NormalWeb"/>
      </w:pPr>
      <w:r>
        <w:lastRenderedPageBreak/>
        <w:t>Using PT-level terms and refinement ensured consistent categorization and improved interpretability.</w:t>
      </w:r>
    </w:p>
    <w:p w14:paraId="3A34DF8D" w14:textId="77777777" w:rsidR="007C21BB" w:rsidRDefault="007C21BB" w:rsidP="007C21BB">
      <w:r>
        <w:pict w14:anchorId="051BAF8B">
          <v:rect id="_x0000_i1031" style="width:0;height:1.5pt" o:hralign="center" o:hrstd="t" o:hr="t" fillcolor="#a0a0a0" stroked="f"/>
        </w:pict>
      </w:r>
    </w:p>
    <w:p w14:paraId="1970E75C" w14:textId="677F49DF" w:rsidR="007C21BB" w:rsidRPr="007C21BB" w:rsidRDefault="007C21BB" w:rsidP="007C21BB">
      <w:pPr>
        <w:pStyle w:val="Heading2"/>
        <w:rPr>
          <w:color w:val="auto"/>
        </w:rPr>
      </w:pPr>
      <w:r w:rsidRPr="007C21BB">
        <w:rPr>
          <w:rStyle w:val="Strong"/>
          <w:color w:val="auto"/>
        </w:rPr>
        <w:t>Handling Missing and “Not Reported” Values</w:t>
      </w:r>
    </w:p>
    <w:p w14:paraId="1B6884AC" w14:textId="77777777" w:rsidR="007C21BB" w:rsidRDefault="007C21BB" w:rsidP="007C21BB">
      <w:pPr>
        <w:pStyle w:val="Heading3"/>
      </w:pPr>
      <w:r>
        <w:rPr>
          <w:rStyle w:val="Strong"/>
          <w:b/>
          <w:bCs/>
        </w:rPr>
        <w:t>What was done</w:t>
      </w:r>
    </w:p>
    <w:p w14:paraId="13B68292" w14:textId="77777777" w:rsidR="007C21BB" w:rsidRDefault="007C21BB" w:rsidP="007C21BB">
      <w:pPr>
        <w:pStyle w:val="NormalWeb"/>
      </w:pPr>
      <w:r>
        <w:t>Missing values were handled differently depending on the column:</w:t>
      </w:r>
    </w:p>
    <w:p w14:paraId="5BBBC479" w14:textId="77777777" w:rsidR="007C21BB" w:rsidRDefault="007C21BB" w:rsidP="007C21BB">
      <w:pPr>
        <w:pStyle w:val="NormalWeb"/>
        <w:numPr>
          <w:ilvl w:val="0"/>
          <w:numId w:val="16"/>
        </w:numPr>
      </w:pPr>
      <w:r>
        <w:rPr>
          <w:rStyle w:val="Strong"/>
        </w:rPr>
        <w:t>Age and Weight:</w:t>
      </w:r>
      <w:r>
        <w:t xml:space="preserve"> Excluded only from average calculations</w:t>
      </w:r>
    </w:p>
    <w:p w14:paraId="4D6D40F4" w14:textId="77777777" w:rsidR="007C21BB" w:rsidRDefault="007C21BB" w:rsidP="007C21BB">
      <w:pPr>
        <w:pStyle w:val="NormalWeb"/>
        <w:numPr>
          <w:ilvl w:val="0"/>
          <w:numId w:val="16"/>
        </w:numPr>
      </w:pPr>
      <w:r>
        <w:rPr>
          <w:rStyle w:val="Strong"/>
        </w:rPr>
        <w:t>Categorical fields:</w:t>
      </w:r>
      <w:r>
        <w:t xml:space="preserve"> Retained as “Not Reported”</w:t>
      </w:r>
    </w:p>
    <w:p w14:paraId="7361B92A" w14:textId="77777777" w:rsidR="007C21BB" w:rsidRDefault="007C21BB" w:rsidP="007C21BB">
      <w:pPr>
        <w:pStyle w:val="NormalWeb"/>
        <w:numPr>
          <w:ilvl w:val="0"/>
          <w:numId w:val="16"/>
        </w:numPr>
      </w:pPr>
      <w:r>
        <w:rPr>
          <w:rStyle w:val="Strong"/>
        </w:rPr>
        <w:t>Drug and Adverse Event fields:</w:t>
      </w:r>
      <w:r>
        <w:t xml:space="preserve"> Filtered at visualization level</w:t>
      </w:r>
    </w:p>
    <w:p w14:paraId="07096903" w14:textId="77777777" w:rsidR="007C21BB" w:rsidRDefault="007C21BB" w:rsidP="007C21BB">
      <w:pPr>
        <w:pStyle w:val="NormalWeb"/>
        <w:numPr>
          <w:ilvl w:val="0"/>
          <w:numId w:val="16"/>
        </w:numPr>
      </w:pPr>
      <w:r>
        <w:rPr>
          <w:rStyle w:val="Strong"/>
        </w:rPr>
        <w:t>Event Date:</w:t>
      </w:r>
      <w:r>
        <w:t xml:space="preserve"> Excluded only from time-trend analysis</w:t>
      </w:r>
    </w:p>
    <w:p w14:paraId="0F0E492C" w14:textId="77777777" w:rsidR="007C21BB" w:rsidRDefault="007C21BB" w:rsidP="007C21BB">
      <w:pPr>
        <w:pStyle w:val="Heading3"/>
      </w:pPr>
      <w:r>
        <w:rPr>
          <w:rStyle w:val="Strong"/>
          <w:b/>
          <w:bCs/>
        </w:rPr>
        <w:t>Why this was done</w:t>
      </w:r>
    </w:p>
    <w:p w14:paraId="3219CF7D" w14:textId="77777777" w:rsidR="007C21BB" w:rsidRDefault="007C21BB" w:rsidP="007C21BB">
      <w:pPr>
        <w:pStyle w:val="NormalWeb"/>
      </w:pPr>
      <w:r>
        <w:t>Deleting rows with missing values would significantly reduce dataset size and may introduce bias. Instead:</w:t>
      </w:r>
    </w:p>
    <w:p w14:paraId="2339B239" w14:textId="77777777" w:rsidR="007C21BB" w:rsidRDefault="007C21BB" w:rsidP="007C21BB">
      <w:pPr>
        <w:pStyle w:val="NormalWeb"/>
        <w:numPr>
          <w:ilvl w:val="0"/>
          <w:numId w:val="17"/>
        </w:numPr>
      </w:pPr>
      <w:r>
        <w:t>Retaining missing data preserves reporting volume</w:t>
      </w:r>
    </w:p>
    <w:p w14:paraId="7776F6F1" w14:textId="77777777" w:rsidR="007C21BB" w:rsidRDefault="007C21BB" w:rsidP="007C21BB">
      <w:pPr>
        <w:pStyle w:val="NormalWeb"/>
        <w:numPr>
          <w:ilvl w:val="0"/>
          <w:numId w:val="17"/>
        </w:numPr>
      </w:pPr>
      <w:r>
        <w:t>Filtering at visualization level provides transparency</w:t>
      </w:r>
    </w:p>
    <w:p w14:paraId="29EC6B45" w14:textId="77777777" w:rsidR="007C21BB" w:rsidRDefault="007C21BB" w:rsidP="007C21BB">
      <w:pPr>
        <w:pStyle w:val="NormalWeb"/>
        <w:numPr>
          <w:ilvl w:val="0"/>
          <w:numId w:val="17"/>
        </w:numPr>
      </w:pPr>
      <w:r>
        <w:t>Calculations remain statistically meaningful</w:t>
      </w:r>
    </w:p>
    <w:p w14:paraId="6DDC094F" w14:textId="77777777" w:rsidR="007C21BB" w:rsidRDefault="007C21BB" w:rsidP="007C21BB">
      <w:pPr>
        <w:pStyle w:val="NormalWeb"/>
      </w:pPr>
      <w:r>
        <w:t>This selective approach reflects real-world pharmacovigilance practices.</w:t>
      </w:r>
    </w:p>
    <w:p w14:paraId="2D5E1456" w14:textId="77777777" w:rsidR="007C21BB" w:rsidRDefault="007C21BB" w:rsidP="007C21BB">
      <w:r>
        <w:pict w14:anchorId="122A1355">
          <v:rect id="_x0000_i1032" style="width:0;height:1.5pt" o:hralign="center" o:hrstd="t" o:hr="t" fillcolor="#a0a0a0" stroked="f"/>
        </w:pict>
      </w:r>
    </w:p>
    <w:p w14:paraId="0D3EEBCE" w14:textId="3E2FF7A4" w:rsidR="007C21BB" w:rsidRPr="007C21BB" w:rsidRDefault="007C21BB" w:rsidP="007C21BB">
      <w:pPr>
        <w:pStyle w:val="Heading2"/>
        <w:rPr>
          <w:color w:val="auto"/>
        </w:rPr>
      </w:pPr>
      <w:r w:rsidRPr="007C21BB">
        <w:rPr>
          <w:rStyle w:val="Strong"/>
          <w:color w:val="auto"/>
        </w:rPr>
        <w:t>Integration of Manufacturer and Literature Information</w:t>
      </w:r>
    </w:p>
    <w:p w14:paraId="41E8F908" w14:textId="77777777" w:rsidR="007C21BB" w:rsidRDefault="007C21BB" w:rsidP="007C21BB">
      <w:pPr>
        <w:pStyle w:val="Heading3"/>
      </w:pPr>
      <w:r>
        <w:rPr>
          <w:rStyle w:val="Strong"/>
          <w:b/>
          <w:bCs/>
        </w:rPr>
        <w:t>What was done</w:t>
      </w:r>
    </w:p>
    <w:p w14:paraId="21A66E6A" w14:textId="77777777" w:rsidR="007C21BB" w:rsidRDefault="007C21BB" w:rsidP="007C21BB">
      <w:pPr>
        <w:pStyle w:val="NormalWeb"/>
      </w:pPr>
      <w:r>
        <w:t>Manufacturer Sender (MFR_SNDR), Case Version, and Literature Reference fields were retained in the final dataset.</w:t>
      </w:r>
    </w:p>
    <w:p w14:paraId="08E6AF6E" w14:textId="77777777" w:rsidR="007C21BB" w:rsidRDefault="007C21BB" w:rsidP="007C21BB">
      <w:pPr>
        <w:pStyle w:val="Heading3"/>
      </w:pPr>
      <w:r>
        <w:rPr>
          <w:rStyle w:val="Strong"/>
          <w:b/>
          <w:bCs/>
        </w:rPr>
        <w:t>Why this was done</w:t>
      </w:r>
    </w:p>
    <w:p w14:paraId="14E4B70D" w14:textId="77777777" w:rsidR="007C21BB" w:rsidRDefault="007C21BB" w:rsidP="007C21BB">
      <w:pPr>
        <w:pStyle w:val="NormalWeb"/>
      </w:pPr>
      <w:r>
        <w:t>These attributes support:</w:t>
      </w:r>
    </w:p>
    <w:p w14:paraId="254F2805" w14:textId="77777777" w:rsidR="007C21BB" w:rsidRDefault="007C21BB" w:rsidP="007C21BB">
      <w:pPr>
        <w:pStyle w:val="NormalWeb"/>
        <w:numPr>
          <w:ilvl w:val="0"/>
          <w:numId w:val="18"/>
        </w:numPr>
      </w:pPr>
      <w:r>
        <w:t>Source-based analysis</w:t>
      </w:r>
    </w:p>
    <w:p w14:paraId="68BF076E" w14:textId="77777777" w:rsidR="007C21BB" w:rsidRDefault="007C21BB" w:rsidP="007C21BB">
      <w:pPr>
        <w:pStyle w:val="NormalWeb"/>
        <w:numPr>
          <w:ilvl w:val="0"/>
          <w:numId w:val="18"/>
        </w:numPr>
      </w:pPr>
      <w:r>
        <w:t>Regulatory and compliance insights</w:t>
      </w:r>
    </w:p>
    <w:p w14:paraId="038CE8F9" w14:textId="77777777" w:rsidR="007C21BB" w:rsidRDefault="007C21BB" w:rsidP="007C21BB">
      <w:pPr>
        <w:pStyle w:val="NormalWeb"/>
        <w:numPr>
          <w:ilvl w:val="0"/>
          <w:numId w:val="18"/>
        </w:numPr>
      </w:pPr>
      <w:r>
        <w:t>Traceability of reported cases</w:t>
      </w:r>
    </w:p>
    <w:p w14:paraId="4FD23C0C" w14:textId="77777777" w:rsidR="007C21BB" w:rsidRDefault="007C21BB" w:rsidP="007C21BB">
      <w:pPr>
        <w:pStyle w:val="NormalWeb"/>
      </w:pPr>
      <w:r>
        <w:t>Including these fields enhanced analytical depth without compromising clarity.</w:t>
      </w:r>
    </w:p>
    <w:p w14:paraId="4F567CEA" w14:textId="77777777" w:rsidR="007C21BB" w:rsidRDefault="007C21BB" w:rsidP="007C21BB">
      <w:r>
        <w:lastRenderedPageBreak/>
        <w:pict w14:anchorId="73346151">
          <v:rect id="_x0000_i1033" style="width:0;height:1.5pt" o:hralign="center" o:hrstd="t" o:hr="t" fillcolor="#a0a0a0" stroked="f"/>
        </w:pict>
      </w:r>
    </w:p>
    <w:p w14:paraId="4402EDB5" w14:textId="71945B0D" w:rsidR="007C21BB" w:rsidRPr="007C21BB" w:rsidRDefault="007C21BB" w:rsidP="007C21BB">
      <w:pPr>
        <w:pStyle w:val="Heading2"/>
        <w:rPr>
          <w:color w:val="auto"/>
        </w:rPr>
      </w:pPr>
      <w:r w:rsidRPr="007C21BB">
        <w:rPr>
          <w:rStyle w:val="Strong"/>
          <w:color w:val="auto"/>
        </w:rPr>
        <w:t>Creation of Final Cleaned Dataset (Sheet 1)</w:t>
      </w:r>
    </w:p>
    <w:p w14:paraId="3F660448" w14:textId="77777777" w:rsidR="007C21BB" w:rsidRDefault="007C21BB" w:rsidP="007C21BB">
      <w:pPr>
        <w:pStyle w:val="Heading3"/>
      </w:pPr>
      <w:r>
        <w:rPr>
          <w:rStyle w:val="Strong"/>
          <w:b/>
          <w:bCs/>
        </w:rPr>
        <w:t>What was done</w:t>
      </w:r>
    </w:p>
    <w:p w14:paraId="47BF1B97" w14:textId="77777777" w:rsidR="007C21BB" w:rsidRDefault="007C21BB" w:rsidP="007C21BB">
      <w:pPr>
        <w:pStyle w:val="NormalWeb"/>
      </w:pPr>
      <w:r>
        <w:t xml:space="preserve">All cleaned, transformed, and validated columns were consolidated into </w:t>
      </w:r>
      <w:r>
        <w:rPr>
          <w:rStyle w:val="Strong"/>
        </w:rPr>
        <w:t>Sheet 1</w:t>
      </w:r>
      <w:r>
        <w:t>, forming the final dataset used for Power BI analysis.</w:t>
      </w:r>
    </w:p>
    <w:p w14:paraId="09925D1B" w14:textId="77777777" w:rsidR="007C21BB" w:rsidRDefault="007C21BB" w:rsidP="007C21BB">
      <w:pPr>
        <w:pStyle w:val="Heading3"/>
      </w:pPr>
      <w:r>
        <w:rPr>
          <w:rStyle w:val="Strong"/>
          <w:b/>
          <w:bCs/>
        </w:rPr>
        <w:t>Why this was done</w:t>
      </w:r>
    </w:p>
    <w:p w14:paraId="4F0A81D7" w14:textId="77777777" w:rsidR="007C21BB" w:rsidRDefault="007C21BB" w:rsidP="007C21BB">
      <w:pPr>
        <w:pStyle w:val="NormalWeb"/>
        <w:numPr>
          <w:ilvl w:val="0"/>
          <w:numId w:val="19"/>
        </w:numPr>
      </w:pPr>
      <w:r>
        <w:t>Power BI performs best with a single flat table</w:t>
      </w:r>
    </w:p>
    <w:p w14:paraId="6123F550" w14:textId="77777777" w:rsidR="007C21BB" w:rsidRDefault="007C21BB" w:rsidP="007C21BB">
      <w:pPr>
        <w:pStyle w:val="NormalWeb"/>
        <w:numPr>
          <w:ilvl w:val="0"/>
          <w:numId w:val="19"/>
        </w:numPr>
      </w:pPr>
      <w:r>
        <w:t>Simplifies data modeling</w:t>
      </w:r>
    </w:p>
    <w:p w14:paraId="3B86E098" w14:textId="77777777" w:rsidR="007C21BB" w:rsidRDefault="007C21BB" w:rsidP="007C21BB">
      <w:pPr>
        <w:pStyle w:val="NormalWeb"/>
        <w:numPr>
          <w:ilvl w:val="0"/>
          <w:numId w:val="19"/>
        </w:numPr>
      </w:pPr>
      <w:r>
        <w:t>Reduces relationship complexity</w:t>
      </w:r>
    </w:p>
    <w:p w14:paraId="4062FB97" w14:textId="77777777" w:rsidR="007C21BB" w:rsidRDefault="007C21BB" w:rsidP="007C21BB">
      <w:pPr>
        <w:pStyle w:val="NormalWeb"/>
        <w:numPr>
          <w:ilvl w:val="0"/>
          <w:numId w:val="19"/>
        </w:numPr>
      </w:pPr>
      <w:r>
        <w:t>Improves dashboard responsiveness</w:t>
      </w:r>
    </w:p>
    <w:p w14:paraId="305A9790" w14:textId="77777777" w:rsidR="007C21BB" w:rsidRDefault="007C21BB" w:rsidP="007C21BB">
      <w:pPr>
        <w:pStyle w:val="NormalWeb"/>
      </w:pPr>
      <w:r>
        <w:t xml:space="preserve">This final dataset represents an </w:t>
      </w:r>
      <w:r>
        <w:rPr>
          <w:rStyle w:val="Strong"/>
        </w:rPr>
        <w:t>analysis-ready, standardized, and reliable version</w:t>
      </w:r>
      <w:r>
        <w:t xml:space="preserve"> of the raw FAERS data.</w:t>
      </w:r>
    </w:p>
    <w:p w14:paraId="1E7542A3" w14:textId="77777777" w:rsidR="007C21BB" w:rsidRDefault="007C21BB" w:rsidP="007C21BB">
      <w:r>
        <w:pict w14:anchorId="3B865E88">
          <v:rect id="_x0000_i1034" style="width:0;height:1.5pt" o:hralign="center" o:hrstd="t" o:hr="t" fillcolor="#a0a0a0" stroked="f"/>
        </w:pict>
      </w:r>
    </w:p>
    <w:p w14:paraId="138A1A18" w14:textId="77777777" w:rsidR="007C21BB" w:rsidRDefault="007C21BB" w:rsidP="007C21BB">
      <w:pPr>
        <w:pStyle w:val="Heading3"/>
      </w:pPr>
      <w:r>
        <w:rPr>
          <w:rFonts w:ascii="Segoe UI Emoji" w:hAnsi="Segoe UI Emoji" w:cs="Segoe UI Emoji"/>
        </w:rPr>
        <w:t>✅</w:t>
      </w:r>
      <w:r>
        <w:t xml:space="preserve"> </w:t>
      </w:r>
      <w:r>
        <w:rPr>
          <w:rStyle w:val="Strong"/>
          <w:b/>
          <w:bCs/>
        </w:rPr>
        <w:t>Outcome of Pre-Processing</w:t>
      </w:r>
    </w:p>
    <w:p w14:paraId="3417CB02" w14:textId="77777777" w:rsidR="007C21BB" w:rsidRDefault="007C21BB" w:rsidP="007C21BB">
      <w:pPr>
        <w:pStyle w:val="NormalWeb"/>
      </w:pPr>
      <w:r>
        <w:t>After completing these steps:</w:t>
      </w:r>
    </w:p>
    <w:p w14:paraId="0FD3DFB9" w14:textId="77777777" w:rsidR="007C21BB" w:rsidRDefault="007C21BB" w:rsidP="007C21BB">
      <w:pPr>
        <w:pStyle w:val="NormalWeb"/>
        <w:numPr>
          <w:ilvl w:val="0"/>
          <w:numId w:val="20"/>
        </w:numPr>
      </w:pPr>
      <w:r>
        <w:t>Data quality issues were resolved</w:t>
      </w:r>
    </w:p>
    <w:p w14:paraId="4E3A876F" w14:textId="77777777" w:rsidR="007C21BB" w:rsidRDefault="007C21BB" w:rsidP="007C21BB">
      <w:pPr>
        <w:pStyle w:val="NormalWeb"/>
        <w:numPr>
          <w:ilvl w:val="0"/>
          <w:numId w:val="20"/>
        </w:numPr>
      </w:pPr>
      <w:r>
        <w:t>Redundancy was minimized</w:t>
      </w:r>
    </w:p>
    <w:p w14:paraId="366A9540" w14:textId="77777777" w:rsidR="007C21BB" w:rsidRDefault="007C21BB" w:rsidP="007C21BB">
      <w:pPr>
        <w:pStyle w:val="NormalWeb"/>
        <w:numPr>
          <w:ilvl w:val="0"/>
          <w:numId w:val="20"/>
        </w:numPr>
      </w:pPr>
      <w:r>
        <w:t>Interpretability was improved</w:t>
      </w:r>
    </w:p>
    <w:p w14:paraId="31EC8F9E" w14:textId="77777777" w:rsidR="007C21BB" w:rsidRDefault="007C21BB" w:rsidP="007C21BB">
      <w:pPr>
        <w:pStyle w:val="NormalWeb"/>
        <w:numPr>
          <w:ilvl w:val="0"/>
          <w:numId w:val="20"/>
        </w:numPr>
      </w:pPr>
      <w:r>
        <w:t>The dataset became suitable for interactive visualization and insight generation in Power BI</w:t>
      </w:r>
    </w:p>
    <w:p w14:paraId="5B4E724B" w14:textId="77777777" w:rsidR="007C21BB" w:rsidRDefault="007C21BB" w:rsidP="007C21BB">
      <w:r>
        <w:pict w14:anchorId="2CE555DC">
          <v:rect id="_x0000_i1035" style="width:0;height:1.5pt" o:hralign="center" o:hrstd="t" o:hr="t" fillcolor="#a0a0a0" stroked="f"/>
        </w:pict>
      </w:r>
    </w:p>
    <w:p w14:paraId="64BC44EE" w14:textId="77777777" w:rsidR="007C21BB" w:rsidRDefault="007C21BB" w:rsidP="007C21BB">
      <w:pPr>
        <w:pStyle w:val="z-TopofForm"/>
      </w:pPr>
      <w:r>
        <w:t>Top of Form</w:t>
      </w:r>
    </w:p>
    <w:p w14:paraId="0CE02722" w14:textId="5E7B62E5" w:rsidR="007C21BB" w:rsidRDefault="007C21BB" w:rsidP="007C21BB"/>
    <w:p w14:paraId="7F5FB903" w14:textId="77777777" w:rsidR="00EE5279" w:rsidRPr="00EE5279" w:rsidRDefault="00EE5279" w:rsidP="00EE5279">
      <w:pPr>
        <w:pStyle w:val="Heading2"/>
        <w:rPr>
          <w:color w:val="auto"/>
        </w:rPr>
      </w:pPr>
      <w:r w:rsidRPr="00EE5279">
        <w:rPr>
          <w:rStyle w:val="Strong"/>
          <w:color w:val="auto"/>
        </w:rPr>
        <w:t>Data Modelling and DAX (Power BI)</w:t>
      </w:r>
    </w:p>
    <w:p w14:paraId="1649B1D0" w14:textId="2B8D740C" w:rsidR="00EE5279" w:rsidRDefault="00EE5279" w:rsidP="00EE5279">
      <w:pPr>
        <w:pStyle w:val="Heading3"/>
      </w:pPr>
      <w:r>
        <w:rPr>
          <w:rStyle w:val="Strong"/>
          <w:b/>
          <w:bCs/>
        </w:rPr>
        <w:t>Data Modelling Approach</w:t>
      </w:r>
    </w:p>
    <w:p w14:paraId="243726A5" w14:textId="77777777" w:rsidR="00EE5279" w:rsidRDefault="00EE5279" w:rsidP="00EE5279">
      <w:pPr>
        <w:pStyle w:val="NormalWeb"/>
      </w:pPr>
      <w:r>
        <w:t xml:space="preserve">After completing data cleaning and transformation in Excel, the final cleaned dataset was imported into </w:t>
      </w:r>
      <w:r>
        <w:rPr>
          <w:rStyle w:val="Strong"/>
        </w:rPr>
        <w:t>Power BI Desktop</w:t>
      </w:r>
      <w:r>
        <w:t xml:space="preserve"> for data modeling and analysis. Since the preprocessing stage consolidated all relevant information into a single flat table (</w:t>
      </w:r>
      <w:r>
        <w:rPr>
          <w:rStyle w:val="Strong"/>
        </w:rPr>
        <w:t>Sheet 1</w:t>
      </w:r>
      <w:r>
        <w:t xml:space="preserve">), a </w:t>
      </w:r>
      <w:r>
        <w:rPr>
          <w:rStyle w:val="Strong"/>
        </w:rPr>
        <w:t>simple and efficient data model</w:t>
      </w:r>
      <w:r>
        <w:t xml:space="preserve"> was adopted.</w:t>
      </w:r>
    </w:p>
    <w:p w14:paraId="72D2569D" w14:textId="77777777" w:rsidR="00EE5279" w:rsidRDefault="00EE5279" w:rsidP="00EE5279">
      <w:pPr>
        <w:pStyle w:val="NormalWeb"/>
      </w:pPr>
      <w:r>
        <w:lastRenderedPageBreak/>
        <w:t xml:space="preserve">The dataset followed a </w:t>
      </w:r>
      <w:r>
        <w:rPr>
          <w:rStyle w:val="Strong"/>
        </w:rPr>
        <w:t>denormalized structure</w:t>
      </w:r>
      <w:r>
        <w:t>, where all attributes related to cases, drugs, adverse events, patient demographics, and reporting details were present in one table. This approach was chosen to:</w:t>
      </w:r>
    </w:p>
    <w:p w14:paraId="0A51BA9A" w14:textId="77777777" w:rsidR="00EE5279" w:rsidRDefault="00EE5279" w:rsidP="00EE5279">
      <w:pPr>
        <w:pStyle w:val="NormalWeb"/>
        <w:numPr>
          <w:ilvl w:val="0"/>
          <w:numId w:val="22"/>
        </w:numPr>
      </w:pPr>
      <w:r>
        <w:t>Reduce model complexity</w:t>
      </w:r>
    </w:p>
    <w:p w14:paraId="7C705945" w14:textId="77777777" w:rsidR="00EE5279" w:rsidRDefault="00EE5279" w:rsidP="00EE5279">
      <w:pPr>
        <w:pStyle w:val="NormalWeb"/>
        <w:numPr>
          <w:ilvl w:val="0"/>
          <w:numId w:val="22"/>
        </w:numPr>
      </w:pPr>
      <w:r>
        <w:t>Avoid unnecessary table relationships</w:t>
      </w:r>
    </w:p>
    <w:p w14:paraId="7D1D9629" w14:textId="77777777" w:rsidR="00EE5279" w:rsidRDefault="00EE5279" w:rsidP="00EE5279">
      <w:pPr>
        <w:pStyle w:val="NormalWeb"/>
        <w:numPr>
          <w:ilvl w:val="0"/>
          <w:numId w:val="22"/>
        </w:numPr>
      </w:pPr>
      <w:r>
        <w:t>Improve report performance and refresh speed</w:t>
      </w:r>
    </w:p>
    <w:p w14:paraId="7316AAE3" w14:textId="77777777" w:rsidR="00EE5279" w:rsidRDefault="00EE5279" w:rsidP="00EE5279">
      <w:pPr>
        <w:pStyle w:val="NormalWeb"/>
        <w:numPr>
          <w:ilvl w:val="0"/>
          <w:numId w:val="22"/>
        </w:numPr>
      </w:pPr>
      <w:r>
        <w:t>Simplify DAX calculations</w:t>
      </w:r>
    </w:p>
    <w:p w14:paraId="47A6BA61" w14:textId="6CA9C600" w:rsidR="00EE5279" w:rsidRDefault="00EE5279" w:rsidP="00EE5279">
      <w:pPr>
        <w:pStyle w:val="NormalWeb"/>
      </w:pPr>
      <w:r>
        <w:t xml:space="preserve">Because the dataset was already structured and analysis-ready, </w:t>
      </w:r>
      <w:r>
        <w:rPr>
          <w:rStyle w:val="Strong"/>
        </w:rPr>
        <w:t>no additional relationships</w:t>
      </w:r>
      <w:r>
        <w:t xml:space="preserve"> between multiple tables were required.</w:t>
      </w:r>
    </w:p>
    <w:p w14:paraId="2946C01A" w14:textId="77777777" w:rsidR="00EE5279" w:rsidRDefault="00EE5279" w:rsidP="00EE5279">
      <w:pPr>
        <w:pStyle w:val="Heading3"/>
      </w:pPr>
      <w:r>
        <w:rPr>
          <w:rStyle w:val="Strong"/>
          <w:b/>
          <w:bCs/>
        </w:rPr>
        <w:t>Measures vs Calculated Columns</w:t>
      </w:r>
    </w:p>
    <w:p w14:paraId="1A447E2A" w14:textId="77777777" w:rsidR="00EE5279" w:rsidRDefault="00EE5279" w:rsidP="00EE5279">
      <w:pPr>
        <w:pStyle w:val="NormalWeb"/>
      </w:pPr>
      <w:r>
        <w:t xml:space="preserve">In Power BI, analytical logic can be implemented using </w:t>
      </w:r>
      <w:r>
        <w:rPr>
          <w:rStyle w:val="Strong"/>
        </w:rPr>
        <w:t>calculated columns</w:t>
      </w:r>
      <w:r>
        <w:t xml:space="preserve"> or </w:t>
      </w:r>
      <w:r>
        <w:rPr>
          <w:rStyle w:val="Strong"/>
        </w:rPr>
        <w:t>measures</w:t>
      </w:r>
      <w:r>
        <w:t xml:space="preserve">. For this project, </w:t>
      </w:r>
      <w:r>
        <w:rPr>
          <w:rStyle w:val="Strong"/>
        </w:rPr>
        <w:t>measures were preferred over calculated columns</w:t>
      </w:r>
      <w:r>
        <w:t xml:space="preserve"> wherever aggregation was required.</w:t>
      </w:r>
    </w:p>
    <w:p w14:paraId="50A8C721" w14:textId="77777777" w:rsidR="00EE5279" w:rsidRDefault="00EE5279" w:rsidP="00EE5279">
      <w:pPr>
        <w:pStyle w:val="NormalWeb"/>
      </w:pPr>
      <w:r>
        <w:rPr>
          <w:rStyle w:val="Strong"/>
        </w:rPr>
        <w:t>Reason for choosing measures:</w:t>
      </w:r>
    </w:p>
    <w:p w14:paraId="75EC2DD4" w14:textId="77777777" w:rsidR="00EE5279" w:rsidRDefault="00EE5279" w:rsidP="00EE5279">
      <w:pPr>
        <w:pStyle w:val="NormalWeb"/>
        <w:numPr>
          <w:ilvl w:val="0"/>
          <w:numId w:val="23"/>
        </w:numPr>
      </w:pPr>
      <w:r>
        <w:t>Measures are evaluated dynamically based on filters and slicers</w:t>
      </w:r>
    </w:p>
    <w:p w14:paraId="00A70CFD" w14:textId="77777777" w:rsidR="00EE5279" w:rsidRDefault="00EE5279" w:rsidP="00EE5279">
      <w:pPr>
        <w:pStyle w:val="NormalWeb"/>
        <w:numPr>
          <w:ilvl w:val="0"/>
          <w:numId w:val="23"/>
        </w:numPr>
      </w:pPr>
      <w:r>
        <w:t>They reduce data model size compared to calculated columns</w:t>
      </w:r>
    </w:p>
    <w:p w14:paraId="23A9F9D6" w14:textId="77777777" w:rsidR="00EE5279" w:rsidRDefault="00EE5279" w:rsidP="00EE5279">
      <w:pPr>
        <w:pStyle w:val="NormalWeb"/>
        <w:numPr>
          <w:ilvl w:val="0"/>
          <w:numId w:val="23"/>
        </w:numPr>
      </w:pPr>
      <w:r>
        <w:t>They provide accurate aggregations for visuals such as cards, charts, and tables</w:t>
      </w:r>
    </w:p>
    <w:p w14:paraId="4AE25BDD" w14:textId="77777777" w:rsidR="00EE5279" w:rsidRDefault="00EE5279" w:rsidP="00EE5279">
      <w:pPr>
        <w:pStyle w:val="NormalWeb"/>
      </w:pPr>
      <w:r>
        <w:t>Calculated columns were avoided unless necessary, as they increase dataset size and are evaluated row by row.</w:t>
      </w:r>
    </w:p>
    <w:p w14:paraId="600749C2" w14:textId="77777777" w:rsidR="00EE5279" w:rsidRDefault="00EE5279" w:rsidP="00EE5279">
      <w:pPr>
        <w:pStyle w:val="Heading3"/>
      </w:pPr>
      <w:r>
        <w:rPr>
          <w:rStyle w:val="Strong"/>
          <w:b/>
          <w:bCs/>
        </w:rPr>
        <w:t>DAX Measures Created</w:t>
      </w:r>
    </w:p>
    <w:p w14:paraId="12A57A63" w14:textId="54C33743" w:rsidR="00EE5279" w:rsidRDefault="00EE5279" w:rsidP="00EE5279">
      <w:pPr>
        <w:pStyle w:val="NormalWeb"/>
      </w:pPr>
      <w:r>
        <w:t xml:space="preserve">To support meaningful analysis and visualization, the following </w:t>
      </w:r>
      <w:r>
        <w:rPr>
          <w:rStyle w:val="Strong"/>
        </w:rPr>
        <w:t>DAX measures</w:t>
      </w:r>
      <w:r>
        <w:t xml:space="preserve"> were created:</w:t>
      </w:r>
    </w:p>
    <w:p w14:paraId="360C6A43" w14:textId="77777777" w:rsidR="00EE5279" w:rsidRDefault="00EE5279" w:rsidP="00EE5279">
      <w:pPr>
        <w:pStyle w:val="Heading4"/>
      </w:pPr>
      <w:r>
        <w:rPr>
          <w:rStyle w:val="Strong"/>
          <w:b w:val="0"/>
          <w:bCs w:val="0"/>
        </w:rPr>
        <w:t>Total Reports</w:t>
      </w:r>
    </w:p>
    <w:p w14:paraId="15554C1B" w14:textId="77777777" w:rsidR="00EE5279" w:rsidRDefault="00EE5279" w:rsidP="00EE5279">
      <w:pPr>
        <w:pStyle w:val="NormalWeb"/>
      </w:pPr>
      <w:r>
        <w:rPr>
          <w:rStyle w:val="Strong"/>
        </w:rPr>
        <w:t>DAX Formula:</w:t>
      </w:r>
    </w:p>
    <w:p w14:paraId="04557164" w14:textId="77777777" w:rsidR="00EE5279" w:rsidRDefault="00EE5279" w:rsidP="00EE5279">
      <w:pPr>
        <w:pStyle w:val="HTMLPreformatted"/>
        <w:rPr>
          <w:rStyle w:val="HTMLCode"/>
        </w:rPr>
      </w:pPr>
      <w:r>
        <w:rPr>
          <w:rStyle w:val="HTMLCode"/>
        </w:rPr>
        <w:t>Total Reports = COUNT(Sheet1[</w:t>
      </w:r>
      <w:proofErr w:type="spellStart"/>
      <w:r>
        <w:rPr>
          <w:rStyle w:val="HTMLCode"/>
        </w:rPr>
        <w:t>PrimaryID</w:t>
      </w:r>
      <w:proofErr w:type="spellEnd"/>
      <w:r>
        <w:rPr>
          <w:rStyle w:val="HTMLCode"/>
        </w:rPr>
        <w:t>])</w:t>
      </w:r>
    </w:p>
    <w:p w14:paraId="5CEBCB0A" w14:textId="77777777" w:rsidR="00EE5279" w:rsidRDefault="00EE5279" w:rsidP="00EE5279">
      <w:pPr>
        <w:pStyle w:val="NormalWeb"/>
      </w:pPr>
      <w:r>
        <w:rPr>
          <w:rStyle w:val="Strong"/>
        </w:rPr>
        <w:t>Explanation:</w:t>
      </w:r>
      <w:r>
        <w:br/>
        <w:t>This measure calculates the total number of adverse event reports by counting unique report identifiers. It serves as a key metric to understand the overall volume of reported cases.</w:t>
      </w:r>
    </w:p>
    <w:p w14:paraId="5CD923EF" w14:textId="77777777" w:rsidR="00EE5279" w:rsidRDefault="00EE5279" w:rsidP="00EE5279">
      <w:pPr>
        <w:pStyle w:val="NormalWeb"/>
      </w:pPr>
      <w:r>
        <w:rPr>
          <w:rStyle w:val="Strong"/>
        </w:rPr>
        <w:t>Why this measure was needed:</w:t>
      </w:r>
    </w:p>
    <w:p w14:paraId="114477D8" w14:textId="77777777" w:rsidR="00EE5279" w:rsidRDefault="00EE5279" w:rsidP="00EE5279">
      <w:pPr>
        <w:pStyle w:val="NormalWeb"/>
        <w:numPr>
          <w:ilvl w:val="0"/>
          <w:numId w:val="24"/>
        </w:numPr>
      </w:pPr>
      <w:r>
        <w:t>To provide a high-level overview of reporting volume</w:t>
      </w:r>
    </w:p>
    <w:p w14:paraId="0AB66227" w14:textId="77777777" w:rsidR="00EE5279" w:rsidRDefault="00EE5279" w:rsidP="00EE5279">
      <w:pPr>
        <w:pStyle w:val="NormalWeb"/>
        <w:numPr>
          <w:ilvl w:val="0"/>
          <w:numId w:val="24"/>
        </w:numPr>
      </w:pPr>
      <w:r>
        <w:t>To act as a reference metric for other analyses</w:t>
      </w:r>
    </w:p>
    <w:p w14:paraId="11E02CFD" w14:textId="77777777" w:rsidR="00EE5279" w:rsidRDefault="00EE5279" w:rsidP="00EE5279">
      <w:pPr>
        <w:pStyle w:val="NormalWeb"/>
        <w:numPr>
          <w:ilvl w:val="0"/>
          <w:numId w:val="24"/>
        </w:numPr>
      </w:pPr>
      <w:r>
        <w:t>To display in KPI cards for quick insights</w:t>
      </w:r>
    </w:p>
    <w:p w14:paraId="39A3D331" w14:textId="77777777" w:rsidR="00EE5279" w:rsidRDefault="00EE5279" w:rsidP="00EE5279">
      <w:pPr>
        <w:pStyle w:val="Heading4"/>
      </w:pPr>
      <w:r>
        <w:rPr>
          <w:rStyle w:val="Strong"/>
          <w:b w:val="0"/>
          <w:bCs w:val="0"/>
        </w:rPr>
        <w:lastRenderedPageBreak/>
        <w:t>Average Weight</w:t>
      </w:r>
    </w:p>
    <w:p w14:paraId="5CE9DFE8" w14:textId="77777777" w:rsidR="00EE5279" w:rsidRDefault="00EE5279" w:rsidP="00EE5279">
      <w:pPr>
        <w:pStyle w:val="NormalWeb"/>
      </w:pPr>
      <w:r>
        <w:rPr>
          <w:rStyle w:val="Strong"/>
        </w:rPr>
        <w:t>DAX Formula:</w:t>
      </w:r>
    </w:p>
    <w:p w14:paraId="133FB0B5" w14:textId="77777777" w:rsidR="00EE5279" w:rsidRDefault="00EE5279" w:rsidP="00EE5279">
      <w:pPr>
        <w:pStyle w:val="HTMLPreformatted"/>
        <w:rPr>
          <w:rStyle w:val="HTMLCode"/>
        </w:rPr>
      </w:pPr>
      <w:r>
        <w:rPr>
          <w:rStyle w:val="HTMLCode"/>
        </w:rPr>
        <w:t>Average Weight = AVERAGE(Sheet1[Weight])</w:t>
      </w:r>
    </w:p>
    <w:p w14:paraId="0D6AD90A" w14:textId="77777777" w:rsidR="00EE5279" w:rsidRDefault="00EE5279" w:rsidP="00EE5279">
      <w:pPr>
        <w:pStyle w:val="NormalWeb"/>
      </w:pPr>
      <w:r>
        <w:rPr>
          <w:rStyle w:val="Strong"/>
        </w:rPr>
        <w:t>Explanation:</w:t>
      </w:r>
      <w:r>
        <w:br/>
        <w:t>This measure computes the average patient weight using valid numeric values only.</w:t>
      </w:r>
    </w:p>
    <w:p w14:paraId="5714FA78" w14:textId="77777777" w:rsidR="00EE5279" w:rsidRDefault="00EE5279" w:rsidP="00EE5279">
      <w:pPr>
        <w:pStyle w:val="NormalWeb"/>
      </w:pPr>
      <w:r>
        <w:rPr>
          <w:rStyle w:val="Strong"/>
        </w:rPr>
        <w:t>Why this measure was needed:</w:t>
      </w:r>
    </w:p>
    <w:p w14:paraId="5AD9C361" w14:textId="77777777" w:rsidR="00EE5279" w:rsidRDefault="00EE5279" w:rsidP="00EE5279">
      <w:pPr>
        <w:pStyle w:val="NormalWeb"/>
        <w:numPr>
          <w:ilvl w:val="0"/>
          <w:numId w:val="25"/>
        </w:numPr>
      </w:pPr>
      <w:r>
        <w:t>To support clinical interpretation of adverse events</w:t>
      </w:r>
    </w:p>
    <w:p w14:paraId="6F294EC1" w14:textId="77777777" w:rsidR="00EE5279" w:rsidRDefault="00EE5279" w:rsidP="00EE5279">
      <w:pPr>
        <w:pStyle w:val="NormalWeb"/>
        <w:numPr>
          <w:ilvl w:val="0"/>
          <w:numId w:val="25"/>
        </w:numPr>
      </w:pPr>
      <w:r>
        <w:t>To provide context for dosage-related analysis</w:t>
      </w:r>
    </w:p>
    <w:p w14:paraId="1EBF3F3F" w14:textId="620ECD91" w:rsidR="00EE5279" w:rsidRDefault="00EE5279" w:rsidP="00EE5279">
      <w:pPr>
        <w:pStyle w:val="NormalWeb"/>
        <w:numPr>
          <w:ilvl w:val="0"/>
          <w:numId w:val="25"/>
        </w:numPr>
      </w:pPr>
      <w:r>
        <w:t>To display key summary statistics in KPI cards</w:t>
      </w:r>
    </w:p>
    <w:p w14:paraId="18303725" w14:textId="77777777" w:rsidR="00EE5279" w:rsidRDefault="00EE5279" w:rsidP="00EE5279">
      <w:pPr>
        <w:pStyle w:val="Heading4"/>
      </w:pPr>
      <w:r>
        <w:rPr>
          <w:rStyle w:val="Strong"/>
          <w:b w:val="0"/>
          <w:bCs w:val="0"/>
        </w:rPr>
        <w:t>Average Age</w:t>
      </w:r>
    </w:p>
    <w:p w14:paraId="0CC03BDE" w14:textId="77777777" w:rsidR="00EE5279" w:rsidRDefault="00EE5279" w:rsidP="00EE5279">
      <w:pPr>
        <w:pStyle w:val="NormalWeb"/>
      </w:pPr>
      <w:r>
        <w:rPr>
          <w:rStyle w:val="Strong"/>
        </w:rPr>
        <w:t>DAX Formula:</w:t>
      </w:r>
    </w:p>
    <w:p w14:paraId="45C57AAE" w14:textId="77777777" w:rsidR="00EE5279" w:rsidRDefault="00EE5279" w:rsidP="00EE5279">
      <w:pPr>
        <w:pStyle w:val="HTMLPreformatted"/>
        <w:rPr>
          <w:rStyle w:val="HTMLCode"/>
        </w:rPr>
      </w:pPr>
      <w:r>
        <w:rPr>
          <w:rStyle w:val="HTMLCode"/>
        </w:rPr>
        <w:t>Average Age = AVERAGE(Sheet1[Age])</w:t>
      </w:r>
    </w:p>
    <w:p w14:paraId="4400468B" w14:textId="77777777" w:rsidR="00EE5279" w:rsidRDefault="00EE5279" w:rsidP="00EE5279">
      <w:pPr>
        <w:pStyle w:val="NormalWeb"/>
      </w:pPr>
      <w:r>
        <w:rPr>
          <w:rStyle w:val="Strong"/>
        </w:rPr>
        <w:t>Explanation:</w:t>
      </w:r>
      <w:r>
        <w:br/>
        <w:t>This measure calculates the average age of patients involved in adverse event reports. Records with missing or invalid age values are automatically excluded from the calculation.</w:t>
      </w:r>
    </w:p>
    <w:p w14:paraId="599F1A76" w14:textId="77777777" w:rsidR="00EE5279" w:rsidRDefault="00EE5279" w:rsidP="00EE5279">
      <w:pPr>
        <w:pStyle w:val="NormalWeb"/>
      </w:pPr>
      <w:r>
        <w:rPr>
          <w:rStyle w:val="Strong"/>
        </w:rPr>
        <w:t>Why this measure was needed:</w:t>
      </w:r>
    </w:p>
    <w:p w14:paraId="47C70426" w14:textId="77777777" w:rsidR="00EE5279" w:rsidRDefault="00EE5279" w:rsidP="00EE5279">
      <w:pPr>
        <w:pStyle w:val="NormalWeb"/>
        <w:numPr>
          <w:ilvl w:val="0"/>
          <w:numId w:val="26"/>
        </w:numPr>
      </w:pPr>
      <w:r>
        <w:t>To understand the demographic profile of affected patients</w:t>
      </w:r>
    </w:p>
    <w:p w14:paraId="38F6F322" w14:textId="77777777" w:rsidR="00EE5279" w:rsidRDefault="00EE5279" w:rsidP="00EE5279">
      <w:pPr>
        <w:pStyle w:val="NormalWeb"/>
        <w:numPr>
          <w:ilvl w:val="0"/>
          <w:numId w:val="26"/>
        </w:numPr>
      </w:pPr>
      <w:r>
        <w:t>To avoid skewing results due to missing data</w:t>
      </w:r>
    </w:p>
    <w:p w14:paraId="74DA2435" w14:textId="6E7A86CC" w:rsidR="00EE5279" w:rsidRDefault="00EE5279" w:rsidP="00EE5279">
      <w:pPr>
        <w:pStyle w:val="NormalWeb"/>
        <w:numPr>
          <w:ilvl w:val="0"/>
          <w:numId w:val="26"/>
        </w:numPr>
      </w:pPr>
      <w:r>
        <w:t>To enable age-based trend analysis</w:t>
      </w:r>
    </w:p>
    <w:p w14:paraId="46A7F4E4" w14:textId="638CA374" w:rsidR="008916F2" w:rsidRDefault="008916F2" w:rsidP="008916F2">
      <w:pPr>
        <w:pStyle w:val="NormalWeb"/>
        <w:ind w:left="720"/>
      </w:pPr>
      <w:r>
        <w:rPr>
          <w:noProof/>
        </w:rPr>
        <w:drawing>
          <wp:inline distT="0" distB="0" distL="0" distR="0" wp14:anchorId="7092B147" wp14:editId="2A99CA57">
            <wp:extent cx="5705475" cy="2619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5475" cy="2619375"/>
                    </a:xfrm>
                    <a:prstGeom prst="rect">
                      <a:avLst/>
                    </a:prstGeom>
                    <a:noFill/>
                    <a:ln>
                      <a:noFill/>
                    </a:ln>
                  </pic:spPr>
                </pic:pic>
              </a:graphicData>
            </a:graphic>
          </wp:inline>
        </w:drawing>
      </w:r>
    </w:p>
    <w:p w14:paraId="6D924268" w14:textId="76FC3BDB" w:rsidR="008916F2" w:rsidRDefault="008916F2" w:rsidP="008916F2">
      <w:pPr>
        <w:pStyle w:val="NormalWeb"/>
        <w:ind w:left="720"/>
      </w:pPr>
      <w:r>
        <w:rPr>
          <w:noProof/>
        </w:rPr>
        <w:lastRenderedPageBreak/>
        <w:drawing>
          <wp:inline distT="0" distB="0" distL="0" distR="0" wp14:anchorId="7A14A186" wp14:editId="79D4E258">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0D27518" w14:textId="77777777" w:rsidR="00F6589D" w:rsidRDefault="00F6589D" w:rsidP="008916F2">
      <w:pPr>
        <w:pStyle w:val="NormalWeb"/>
        <w:ind w:left="720"/>
      </w:pPr>
    </w:p>
    <w:p w14:paraId="4591445C" w14:textId="7983D013" w:rsidR="008916F2" w:rsidRDefault="008916F2" w:rsidP="008916F2">
      <w:pPr>
        <w:pStyle w:val="NormalWeb"/>
        <w:ind w:left="720"/>
      </w:pPr>
      <w:r>
        <w:rPr>
          <w:noProof/>
        </w:rPr>
        <w:drawing>
          <wp:inline distT="0" distB="0" distL="0" distR="0" wp14:anchorId="1CE9D5E2" wp14:editId="11C6D994">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9D09A2B" w14:textId="77777777" w:rsidR="003B5BE3" w:rsidRDefault="003B5BE3" w:rsidP="00F6589D">
      <w:pPr>
        <w:pStyle w:val="Heading2"/>
        <w:rPr>
          <w:rStyle w:val="Strong"/>
          <w:color w:val="auto"/>
          <w:sz w:val="28"/>
          <w:szCs w:val="28"/>
        </w:rPr>
      </w:pPr>
    </w:p>
    <w:p w14:paraId="44661AA9" w14:textId="4E3B73A7" w:rsidR="00F6589D" w:rsidRPr="00F6589D" w:rsidRDefault="00F6589D" w:rsidP="00F6589D">
      <w:pPr>
        <w:pStyle w:val="Heading2"/>
        <w:rPr>
          <w:color w:val="auto"/>
          <w:sz w:val="28"/>
          <w:szCs w:val="28"/>
        </w:rPr>
      </w:pPr>
      <w:r w:rsidRPr="00F6589D">
        <w:rPr>
          <w:rStyle w:val="Strong"/>
          <w:color w:val="auto"/>
          <w:sz w:val="28"/>
          <w:szCs w:val="28"/>
        </w:rPr>
        <w:t>Analysis and Visualizations (Power BI)</w:t>
      </w:r>
    </w:p>
    <w:p w14:paraId="1C19AA07" w14:textId="06C0B7F7" w:rsidR="00F6589D" w:rsidRDefault="00F6589D" w:rsidP="00F6589D">
      <w:pPr>
        <w:pStyle w:val="Heading3"/>
      </w:pPr>
      <w:r>
        <w:rPr>
          <w:rStyle w:val="Strong"/>
          <w:b/>
          <w:bCs/>
        </w:rPr>
        <w:t xml:space="preserve"> Overview of Analytical Approach</w:t>
      </w:r>
    </w:p>
    <w:p w14:paraId="1F9C7FD9" w14:textId="77777777" w:rsidR="00F6589D" w:rsidRDefault="00F6589D" w:rsidP="00F6589D">
      <w:pPr>
        <w:pStyle w:val="NormalWeb"/>
      </w:pPr>
      <w:r>
        <w:t xml:space="preserve">After completing data preprocessing and data modeling, the cleaned dataset was analyzed using </w:t>
      </w:r>
      <w:r>
        <w:rPr>
          <w:rStyle w:val="Strong"/>
        </w:rPr>
        <w:t>Power BI</w:t>
      </w:r>
      <w:r>
        <w:t xml:space="preserve"> to identify meaningful patterns in adverse drug event reporting. The analysis focused on answering key pharmacovigilance questions related to drug safety, patient demographics, adverse event frequency, routes of administration, and reporting trends over time.</w:t>
      </w:r>
    </w:p>
    <w:p w14:paraId="51E16F3D" w14:textId="77777777" w:rsidR="00F6589D" w:rsidRDefault="00F6589D" w:rsidP="00F6589D">
      <w:pPr>
        <w:pStyle w:val="NormalWeb"/>
      </w:pPr>
      <w:r>
        <w:t>Interactive visualizations were designed to allow dynamic exploration of the data using filters and slicers. Each visualization was created with a specific analytical objective to ensure clarity, interpretability, and relevance.</w:t>
      </w:r>
    </w:p>
    <w:p w14:paraId="507554F8" w14:textId="77777777" w:rsidR="00F6589D" w:rsidRDefault="00F6589D" w:rsidP="00F6589D">
      <w:r>
        <w:pict w14:anchorId="18BF5351">
          <v:rect id="_x0000_i1064" style="width:0;height:1.5pt" o:hralign="center" o:hrstd="t" o:hr="t" fillcolor="#a0a0a0" stroked="f"/>
        </w:pict>
      </w:r>
    </w:p>
    <w:p w14:paraId="404997D1" w14:textId="2E9EBF27" w:rsidR="00F6589D" w:rsidRDefault="00F6589D" w:rsidP="00F6589D">
      <w:pPr>
        <w:pStyle w:val="Heading3"/>
      </w:pPr>
      <w:r>
        <w:rPr>
          <w:rStyle w:val="Strong"/>
          <w:b/>
          <w:bCs/>
        </w:rPr>
        <w:t>Key Performance Indicators (KPI Cards)</w:t>
      </w:r>
    </w:p>
    <w:p w14:paraId="62521214" w14:textId="77777777" w:rsidR="00F6589D" w:rsidRDefault="00F6589D" w:rsidP="00F6589D">
      <w:pPr>
        <w:pStyle w:val="NormalWeb"/>
      </w:pPr>
      <w:r>
        <w:rPr>
          <w:rStyle w:val="Strong"/>
        </w:rPr>
        <w:t>Visual Used:</w:t>
      </w:r>
      <w:r>
        <w:t xml:space="preserve"> KPI Cards</w:t>
      </w:r>
    </w:p>
    <w:p w14:paraId="018C6B5A" w14:textId="77777777" w:rsidR="00F6589D" w:rsidRDefault="00F6589D" w:rsidP="00F6589D">
      <w:pPr>
        <w:pStyle w:val="NormalWeb"/>
      </w:pPr>
      <w:r>
        <w:t>The dashboard includes KPI cards displaying:</w:t>
      </w:r>
    </w:p>
    <w:p w14:paraId="02FF0642" w14:textId="77777777" w:rsidR="00F6589D" w:rsidRDefault="00F6589D" w:rsidP="00F6589D">
      <w:pPr>
        <w:pStyle w:val="NormalWeb"/>
        <w:numPr>
          <w:ilvl w:val="0"/>
          <w:numId w:val="27"/>
        </w:numPr>
      </w:pPr>
      <w:r>
        <w:t>Total number of adverse event reports</w:t>
      </w:r>
    </w:p>
    <w:p w14:paraId="0C9FCC0D" w14:textId="77777777" w:rsidR="00F6589D" w:rsidRDefault="00F6589D" w:rsidP="00F6589D">
      <w:pPr>
        <w:pStyle w:val="NormalWeb"/>
        <w:numPr>
          <w:ilvl w:val="0"/>
          <w:numId w:val="27"/>
        </w:numPr>
      </w:pPr>
      <w:r>
        <w:t>Average age of affected patients</w:t>
      </w:r>
    </w:p>
    <w:p w14:paraId="6963C4EE" w14:textId="77777777" w:rsidR="00F6589D" w:rsidRDefault="00F6589D" w:rsidP="00F6589D">
      <w:pPr>
        <w:pStyle w:val="NormalWeb"/>
        <w:numPr>
          <w:ilvl w:val="0"/>
          <w:numId w:val="27"/>
        </w:numPr>
      </w:pPr>
      <w:r>
        <w:t>Average weight of affected patients</w:t>
      </w:r>
    </w:p>
    <w:p w14:paraId="3386C47C" w14:textId="77777777" w:rsidR="00F6589D" w:rsidRDefault="00F6589D" w:rsidP="00F6589D">
      <w:pPr>
        <w:pStyle w:val="NormalWeb"/>
      </w:pPr>
      <w:r>
        <w:rPr>
          <w:rStyle w:val="Strong"/>
        </w:rPr>
        <w:t>Purpose:</w:t>
      </w:r>
      <w:r>
        <w:br/>
        <w:t>KPI cards provide a high-level summary of the dataset and allow users to quickly understand the overall scale and demographic characteristics of reported cases.</w:t>
      </w:r>
    </w:p>
    <w:p w14:paraId="542CAA9A" w14:textId="77777777" w:rsidR="00F6589D" w:rsidRDefault="00F6589D" w:rsidP="00F6589D">
      <w:pPr>
        <w:pStyle w:val="NormalWeb"/>
      </w:pPr>
      <w:r>
        <w:rPr>
          <w:rStyle w:val="Strong"/>
        </w:rPr>
        <w:t>Why this visualization was chosen:</w:t>
      </w:r>
    </w:p>
    <w:p w14:paraId="5099C2D1" w14:textId="77777777" w:rsidR="00F6589D" w:rsidRDefault="00F6589D" w:rsidP="00F6589D">
      <w:pPr>
        <w:pStyle w:val="NormalWeb"/>
        <w:numPr>
          <w:ilvl w:val="0"/>
          <w:numId w:val="28"/>
        </w:numPr>
      </w:pPr>
      <w:r>
        <w:t>Enables instant insight into key metrics</w:t>
      </w:r>
    </w:p>
    <w:p w14:paraId="35D3A2D8" w14:textId="77777777" w:rsidR="00F6589D" w:rsidRDefault="00F6589D" w:rsidP="00F6589D">
      <w:pPr>
        <w:pStyle w:val="NormalWeb"/>
        <w:numPr>
          <w:ilvl w:val="0"/>
          <w:numId w:val="28"/>
        </w:numPr>
      </w:pPr>
      <w:r>
        <w:t>Responds dynamically to filters and slicers</w:t>
      </w:r>
    </w:p>
    <w:p w14:paraId="131B06EC" w14:textId="32B74EEB" w:rsidR="00F6589D" w:rsidRDefault="00F6589D" w:rsidP="00F6589D">
      <w:pPr>
        <w:pStyle w:val="NormalWeb"/>
        <w:numPr>
          <w:ilvl w:val="0"/>
          <w:numId w:val="28"/>
        </w:numPr>
      </w:pPr>
      <w:r>
        <w:t>Serves as a reference point for all other analyses</w:t>
      </w:r>
    </w:p>
    <w:p w14:paraId="3D5B6B68" w14:textId="76901899" w:rsidR="003B5BE3" w:rsidRDefault="003B5BE3" w:rsidP="003B5BE3">
      <w:pPr>
        <w:pStyle w:val="NormalWeb"/>
      </w:pPr>
      <w:r>
        <w:rPr>
          <w:noProof/>
        </w:rPr>
        <w:lastRenderedPageBreak/>
        <w:drawing>
          <wp:inline distT="0" distB="0" distL="0" distR="0" wp14:anchorId="43CBFB16" wp14:editId="4EA370B0">
            <wp:extent cx="5943600" cy="2962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p>
    <w:p w14:paraId="0EE54608" w14:textId="77777777" w:rsidR="00F6589D" w:rsidRDefault="00F6589D" w:rsidP="00F6589D">
      <w:r>
        <w:pict w14:anchorId="7EEC04B7">
          <v:rect id="_x0000_i1065" style="width:0;height:1.5pt" o:hralign="center" o:hrstd="t" o:hr="t" fillcolor="#a0a0a0" stroked="f"/>
        </w:pict>
      </w:r>
    </w:p>
    <w:p w14:paraId="0CBC6086" w14:textId="77777777" w:rsidR="00F6589D" w:rsidRDefault="00F6589D" w:rsidP="00F6589D">
      <w:pPr>
        <w:pStyle w:val="Heading3"/>
      </w:pPr>
      <w:r>
        <w:rPr>
          <w:rStyle w:val="Strong"/>
          <w:b/>
          <w:bCs/>
        </w:rPr>
        <w:t>8.3 Top 10 Primary Suspect Drugs</w:t>
      </w:r>
    </w:p>
    <w:p w14:paraId="31CFB053" w14:textId="77777777" w:rsidR="00F6589D" w:rsidRDefault="00F6589D" w:rsidP="00F6589D">
      <w:pPr>
        <w:pStyle w:val="NormalWeb"/>
      </w:pPr>
      <w:r>
        <w:rPr>
          <w:rStyle w:val="Strong"/>
        </w:rPr>
        <w:t>Visual Used:</w:t>
      </w:r>
      <w:r>
        <w:t xml:space="preserve"> Bar Chart</w:t>
      </w:r>
    </w:p>
    <w:p w14:paraId="07AC2A1C" w14:textId="77777777" w:rsidR="00F6589D" w:rsidRDefault="00F6589D" w:rsidP="00F6589D">
      <w:pPr>
        <w:pStyle w:val="NormalWeb"/>
      </w:pPr>
      <w:r>
        <w:t xml:space="preserve">This visualization displays the </w:t>
      </w:r>
      <w:r>
        <w:rPr>
          <w:rStyle w:val="Strong"/>
        </w:rPr>
        <w:t>top 10 drugs</w:t>
      </w:r>
      <w:r>
        <w:t xml:space="preserve"> most frequently reported as </w:t>
      </w:r>
      <w:r>
        <w:rPr>
          <w:rStyle w:val="Strong"/>
        </w:rPr>
        <w:t>primary suspects</w:t>
      </w:r>
      <w:r>
        <w:t xml:space="preserve"> in adverse event cases.</w:t>
      </w:r>
    </w:p>
    <w:p w14:paraId="72D8325C" w14:textId="77777777" w:rsidR="00F6589D" w:rsidRDefault="00F6589D" w:rsidP="00F6589D">
      <w:pPr>
        <w:pStyle w:val="NormalWeb"/>
      </w:pPr>
      <w:r>
        <w:rPr>
          <w:rStyle w:val="Strong"/>
        </w:rPr>
        <w:t>Analysis Performed:</w:t>
      </w:r>
    </w:p>
    <w:p w14:paraId="6B10EA7B" w14:textId="77777777" w:rsidR="00F6589D" w:rsidRDefault="00F6589D" w:rsidP="00F6589D">
      <w:pPr>
        <w:pStyle w:val="NormalWeb"/>
        <w:numPr>
          <w:ilvl w:val="0"/>
          <w:numId w:val="29"/>
        </w:numPr>
      </w:pPr>
      <w:r>
        <w:t>Reports were aggregated by primary suspect drug</w:t>
      </w:r>
    </w:p>
    <w:p w14:paraId="030062A7" w14:textId="77777777" w:rsidR="00F6589D" w:rsidRDefault="00F6589D" w:rsidP="00F6589D">
      <w:pPr>
        <w:pStyle w:val="NormalWeb"/>
        <w:numPr>
          <w:ilvl w:val="0"/>
          <w:numId w:val="29"/>
        </w:numPr>
      </w:pPr>
      <w:r>
        <w:t>“Not Reported” values were excluded at the visual level</w:t>
      </w:r>
    </w:p>
    <w:p w14:paraId="40D55EC9" w14:textId="77777777" w:rsidR="00F6589D" w:rsidRDefault="00F6589D" w:rsidP="00F6589D">
      <w:pPr>
        <w:pStyle w:val="NormalWeb"/>
        <w:numPr>
          <w:ilvl w:val="0"/>
          <w:numId w:val="29"/>
        </w:numPr>
      </w:pPr>
      <w:r>
        <w:t>Top-N filtering was applied to highlight the most relevant drugs</w:t>
      </w:r>
    </w:p>
    <w:p w14:paraId="54A20EC0" w14:textId="77777777" w:rsidR="00F6589D" w:rsidRDefault="00F6589D" w:rsidP="00F6589D">
      <w:pPr>
        <w:pStyle w:val="NormalWeb"/>
      </w:pPr>
      <w:r>
        <w:rPr>
          <w:rStyle w:val="Strong"/>
        </w:rPr>
        <w:t>Purpose:</w:t>
      </w:r>
      <w:r>
        <w:br/>
        <w:t>To identify drugs that are most commonly associated with adverse event reports.</w:t>
      </w:r>
    </w:p>
    <w:p w14:paraId="681CC266" w14:textId="6F26E13B" w:rsidR="00F6589D" w:rsidRDefault="00F6589D" w:rsidP="00F6589D">
      <w:pPr>
        <w:pStyle w:val="NormalWeb"/>
      </w:pPr>
      <w:r>
        <w:rPr>
          <w:rStyle w:val="Strong"/>
        </w:rPr>
        <w:t>Insight Provided:</w:t>
      </w:r>
      <w:r>
        <w:br/>
        <w:t>This visualization helps prioritize drugs that may require closer pharmacovigilance monitoring or further investigation.</w:t>
      </w:r>
    </w:p>
    <w:p w14:paraId="43972AD7" w14:textId="589EC7D6" w:rsidR="003B5BE3" w:rsidRDefault="003B5BE3" w:rsidP="003B5BE3">
      <w:pPr>
        <w:pStyle w:val="NormalWeb"/>
      </w:pPr>
      <w:r>
        <w:rPr>
          <w:noProof/>
        </w:rPr>
        <w:lastRenderedPageBreak/>
        <w:drawing>
          <wp:inline distT="0" distB="0" distL="0" distR="0" wp14:anchorId="7B9FFC18" wp14:editId="644F7DED">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39C8D5E" w14:textId="77777777" w:rsidR="003B5BE3" w:rsidRDefault="003B5BE3" w:rsidP="00F6589D">
      <w:pPr>
        <w:pStyle w:val="NormalWeb"/>
      </w:pPr>
    </w:p>
    <w:p w14:paraId="325ABD6A" w14:textId="77777777" w:rsidR="00F6589D" w:rsidRDefault="00F6589D" w:rsidP="00F6589D">
      <w:r>
        <w:pict w14:anchorId="3F7DECD2">
          <v:rect id="_x0000_i1066" style="width:0;height:1.5pt" o:hralign="center" o:hrstd="t" o:hr="t" fillcolor="#a0a0a0" stroked="f"/>
        </w:pict>
      </w:r>
    </w:p>
    <w:p w14:paraId="5E2156BC" w14:textId="77777777" w:rsidR="00F6589D" w:rsidRDefault="00F6589D" w:rsidP="00F6589D">
      <w:pPr>
        <w:pStyle w:val="Heading3"/>
      </w:pPr>
      <w:r>
        <w:rPr>
          <w:rStyle w:val="Strong"/>
          <w:b/>
          <w:bCs/>
        </w:rPr>
        <w:t>8.4 Top 10 Reported Adverse Events</w:t>
      </w:r>
    </w:p>
    <w:p w14:paraId="40095239" w14:textId="77777777" w:rsidR="00F6589D" w:rsidRDefault="00F6589D" w:rsidP="00F6589D">
      <w:pPr>
        <w:pStyle w:val="NormalWeb"/>
      </w:pPr>
      <w:r>
        <w:rPr>
          <w:rStyle w:val="Strong"/>
        </w:rPr>
        <w:t>Visual Used:</w:t>
      </w:r>
      <w:r>
        <w:t xml:space="preserve"> Bar Chart</w:t>
      </w:r>
    </w:p>
    <w:p w14:paraId="40A42C13" w14:textId="77777777" w:rsidR="00F6589D" w:rsidRDefault="00F6589D" w:rsidP="00F6589D">
      <w:pPr>
        <w:pStyle w:val="NormalWeb"/>
      </w:pPr>
      <w:r>
        <w:t xml:space="preserve">This chart shows the </w:t>
      </w:r>
      <w:r>
        <w:rPr>
          <w:rStyle w:val="Strong"/>
        </w:rPr>
        <w:t>most frequently reported adverse events</w:t>
      </w:r>
      <w:r>
        <w:t xml:space="preserve"> based on Preferred Term (PT) classification.</w:t>
      </w:r>
    </w:p>
    <w:p w14:paraId="753BA6CC" w14:textId="77777777" w:rsidR="00F6589D" w:rsidRDefault="00F6589D" w:rsidP="00F6589D">
      <w:pPr>
        <w:pStyle w:val="NormalWeb"/>
      </w:pPr>
      <w:r>
        <w:rPr>
          <w:rStyle w:val="Strong"/>
        </w:rPr>
        <w:t>Analysis Performed:</w:t>
      </w:r>
    </w:p>
    <w:p w14:paraId="0C7ACE68" w14:textId="77777777" w:rsidR="00F6589D" w:rsidRDefault="00F6589D" w:rsidP="00F6589D">
      <w:pPr>
        <w:pStyle w:val="NormalWeb"/>
        <w:numPr>
          <w:ilvl w:val="0"/>
          <w:numId w:val="30"/>
        </w:numPr>
      </w:pPr>
      <w:r>
        <w:t>Adverse events were grouped and counted</w:t>
      </w:r>
    </w:p>
    <w:p w14:paraId="5E4D2DA4" w14:textId="77777777" w:rsidR="00F6589D" w:rsidRDefault="00F6589D" w:rsidP="00F6589D">
      <w:pPr>
        <w:pStyle w:val="NormalWeb"/>
        <w:numPr>
          <w:ilvl w:val="0"/>
          <w:numId w:val="30"/>
        </w:numPr>
      </w:pPr>
      <w:r>
        <w:t>Filters were applied to remove non-informative values</w:t>
      </w:r>
    </w:p>
    <w:p w14:paraId="51DCDFD1" w14:textId="77777777" w:rsidR="00F6589D" w:rsidRDefault="00F6589D" w:rsidP="00F6589D">
      <w:pPr>
        <w:pStyle w:val="NormalWeb"/>
        <w:numPr>
          <w:ilvl w:val="0"/>
          <w:numId w:val="30"/>
        </w:numPr>
      </w:pPr>
      <w:r>
        <w:t>Sorted in descending order for better interpretation</w:t>
      </w:r>
    </w:p>
    <w:p w14:paraId="21833CB4" w14:textId="77777777" w:rsidR="00F6589D" w:rsidRDefault="00F6589D" w:rsidP="00F6589D">
      <w:pPr>
        <w:pStyle w:val="NormalWeb"/>
      </w:pPr>
      <w:r>
        <w:rPr>
          <w:rStyle w:val="Strong"/>
        </w:rPr>
        <w:t>Purpose:</w:t>
      </w:r>
      <w:r>
        <w:br/>
        <w:t>To understand the most common types of adverse reactions reported across all drugs.</w:t>
      </w:r>
    </w:p>
    <w:p w14:paraId="42BC8ED2" w14:textId="0E5D8426" w:rsidR="00F6589D" w:rsidRDefault="00F6589D" w:rsidP="00F6589D">
      <w:pPr>
        <w:pStyle w:val="NormalWeb"/>
      </w:pPr>
      <w:r>
        <w:rPr>
          <w:rStyle w:val="Strong"/>
        </w:rPr>
        <w:t>Insight Provided:</w:t>
      </w:r>
      <w:r>
        <w:br/>
        <w:t>The visualization highlights recurring safety concerns and helps identify patterns in reported adverse reactions.</w:t>
      </w:r>
    </w:p>
    <w:p w14:paraId="34A35769" w14:textId="17B66FC5" w:rsidR="003B5BE3" w:rsidRDefault="00065BC6" w:rsidP="00F6589D">
      <w:pPr>
        <w:pStyle w:val="NormalWeb"/>
      </w:pPr>
      <w:r w:rsidRPr="00065BC6">
        <w:lastRenderedPageBreak/>
        <w:drawing>
          <wp:inline distT="0" distB="0" distL="0" distR="0" wp14:anchorId="4CEAA944" wp14:editId="72112A95">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56BFE86D" w14:textId="77777777" w:rsidR="00F6589D" w:rsidRDefault="00F6589D" w:rsidP="00F6589D">
      <w:r>
        <w:pict w14:anchorId="5CF3165E">
          <v:rect id="_x0000_i1067" style="width:0;height:1.5pt" o:hralign="center" o:hrstd="t" o:hr="t" fillcolor="#a0a0a0" stroked="f"/>
        </w:pict>
      </w:r>
    </w:p>
    <w:p w14:paraId="1B448B25" w14:textId="77777777" w:rsidR="00F6589D" w:rsidRDefault="00F6589D" w:rsidP="00F6589D">
      <w:pPr>
        <w:pStyle w:val="Heading3"/>
      </w:pPr>
      <w:r>
        <w:rPr>
          <w:rStyle w:val="Strong"/>
          <w:b/>
          <w:bCs/>
        </w:rPr>
        <w:t>8.5 Reports by Age Group</w:t>
      </w:r>
    </w:p>
    <w:p w14:paraId="2F9AD359" w14:textId="77777777" w:rsidR="00F6589D" w:rsidRDefault="00F6589D" w:rsidP="00F6589D">
      <w:pPr>
        <w:pStyle w:val="NormalWeb"/>
      </w:pPr>
      <w:r>
        <w:rPr>
          <w:rStyle w:val="Strong"/>
        </w:rPr>
        <w:t>Visual Used:</w:t>
      </w:r>
      <w:r>
        <w:t xml:space="preserve"> Column Chart</w:t>
      </w:r>
    </w:p>
    <w:p w14:paraId="61AACD0E" w14:textId="77777777" w:rsidR="00F6589D" w:rsidRDefault="00F6589D" w:rsidP="00F6589D">
      <w:pPr>
        <w:pStyle w:val="NormalWeb"/>
      </w:pPr>
      <w:r>
        <w:t>This visualization displays the distribution of adverse event reports across different age groups such as Infant, Child, Adult, and Elderly.</w:t>
      </w:r>
    </w:p>
    <w:p w14:paraId="7089761D" w14:textId="77777777" w:rsidR="00F6589D" w:rsidRDefault="00F6589D" w:rsidP="00F6589D">
      <w:pPr>
        <w:pStyle w:val="NormalWeb"/>
      </w:pPr>
      <w:r>
        <w:rPr>
          <w:rStyle w:val="Strong"/>
        </w:rPr>
        <w:t>Analysis Performed:</w:t>
      </w:r>
    </w:p>
    <w:p w14:paraId="6485232E" w14:textId="77777777" w:rsidR="00F6589D" w:rsidRDefault="00F6589D" w:rsidP="00F6589D">
      <w:pPr>
        <w:pStyle w:val="NormalWeb"/>
        <w:numPr>
          <w:ilvl w:val="0"/>
          <w:numId w:val="31"/>
        </w:numPr>
      </w:pPr>
      <w:r>
        <w:t>Age group abbreviations were expanded during preprocessing</w:t>
      </w:r>
    </w:p>
    <w:p w14:paraId="62A3843C" w14:textId="77777777" w:rsidR="00F6589D" w:rsidRDefault="00F6589D" w:rsidP="00F6589D">
      <w:pPr>
        <w:pStyle w:val="NormalWeb"/>
        <w:numPr>
          <w:ilvl w:val="0"/>
          <w:numId w:val="31"/>
        </w:numPr>
      </w:pPr>
      <w:r>
        <w:t>Reports were aggregated by age group</w:t>
      </w:r>
    </w:p>
    <w:p w14:paraId="3614DA8C" w14:textId="77777777" w:rsidR="00F6589D" w:rsidRDefault="00F6589D" w:rsidP="00F6589D">
      <w:pPr>
        <w:pStyle w:val="NormalWeb"/>
      </w:pPr>
      <w:r>
        <w:rPr>
          <w:rStyle w:val="Strong"/>
        </w:rPr>
        <w:t>Purpose:</w:t>
      </w:r>
      <w:r>
        <w:br/>
        <w:t>To analyze which demographic groups are most affected by adverse drug events.</w:t>
      </w:r>
    </w:p>
    <w:p w14:paraId="59110426" w14:textId="179B9CB4" w:rsidR="00F6589D" w:rsidRDefault="00F6589D" w:rsidP="00F6589D">
      <w:pPr>
        <w:pStyle w:val="NormalWeb"/>
      </w:pPr>
      <w:r>
        <w:rPr>
          <w:rStyle w:val="Strong"/>
        </w:rPr>
        <w:t>Insight Provided:</w:t>
      </w:r>
      <w:r>
        <w:br/>
        <w:t>The chart shows that certain age groups, particularly adults and elderly populations, account for a higher proportion of reported cases.</w:t>
      </w:r>
    </w:p>
    <w:p w14:paraId="44AB3BB9" w14:textId="026615E8" w:rsidR="00065BC6" w:rsidRDefault="00065BC6" w:rsidP="00065BC6">
      <w:pPr>
        <w:pStyle w:val="NormalWeb"/>
      </w:pPr>
      <w:r>
        <w:rPr>
          <w:noProof/>
        </w:rPr>
        <w:lastRenderedPageBreak/>
        <w:drawing>
          <wp:inline distT="0" distB="0" distL="0" distR="0" wp14:anchorId="20BB1898" wp14:editId="469CA4AB">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7D7618F" w14:textId="77777777" w:rsidR="00065BC6" w:rsidRDefault="00065BC6" w:rsidP="00F6589D">
      <w:pPr>
        <w:pStyle w:val="NormalWeb"/>
      </w:pPr>
    </w:p>
    <w:p w14:paraId="7CD91718" w14:textId="77777777" w:rsidR="00F6589D" w:rsidRDefault="00F6589D" w:rsidP="00F6589D">
      <w:r>
        <w:pict w14:anchorId="74AE0B6E">
          <v:rect id="_x0000_i1068" style="width:0;height:1.5pt" o:hralign="center" o:hrstd="t" o:hr="t" fillcolor="#a0a0a0" stroked="f"/>
        </w:pict>
      </w:r>
    </w:p>
    <w:p w14:paraId="2F57E623" w14:textId="77777777" w:rsidR="00F6589D" w:rsidRDefault="00F6589D" w:rsidP="00F6589D">
      <w:pPr>
        <w:pStyle w:val="Heading3"/>
      </w:pPr>
      <w:r>
        <w:rPr>
          <w:rStyle w:val="Strong"/>
          <w:b/>
          <w:bCs/>
        </w:rPr>
        <w:t>8.6 Route of Drug Administration</w:t>
      </w:r>
    </w:p>
    <w:p w14:paraId="5A248E47" w14:textId="77777777" w:rsidR="00F6589D" w:rsidRDefault="00F6589D" w:rsidP="00F6589D">
      <w:pPr>
        <w:pStyle w:val="NormalWeb"/>
      </w:pPr>
      <w:r>
        <w:rPr>
          <w:rStyle w:val="Strong"/>
        </w:rPr>
        <w:t>Visual Used:</w:t>
      </w:r>
      <w:r>
        <w:t xml:space="preserve"> Donut Chart</w:t>
      </w:r>
    </w:p>
    <w:p w14:paraId="47731129" w14:textId="77777777" w:rsidR="00F6589D" w:rsidRDefault="00F6589D" w:rsidP="00F6589D">
      <w:pPr>
        <w:pStyle w:val="NormalWeb"/>
      </w:pPr>
      <w:r>
        <w:t xml:space="preserve">This visualization represents the distribution of adverse event reports by </w:t>
      </w:r>
      <w:r>
        <w:rPr>
          <w:rStyle w:val="Strong"/>
        </w:rPr>
        <w:t>route of administration</w:t>
      </w:r>
      <w:r>
        <w:t xml:space="preserve"> (e.g., Oral, Intravenous).</w:t>
      </w:r>
    </w:p>
    <w:p w14:paraId="246623CB" w14:textId="77777777" w:rsidR="00F6589D" w:rsidRDefault="00F6589D" w:rsidP="00F6589D">
      <w:pPr>
        <w:pStyle w:val="NormalWeb"/>
      </w:pPr>
      <w:r>
        <w:rPr>
          <w:rStyle w:val="Strong"/>
        </w:rPr>
        <w:t>Analysis Performed:</w:t>
      </w:r>
    </w:p>
    <w:p w14:paraId="7D77EAAD" w14:textId="77777777" w:rsidR="00F6589D" w:rsidRDefault="00F6589D" w:rsidP="00F6589D">
      <w:pPr>
        <w:pStyle w:val="NormalWeb"/>
        <w:numPr>
          <w:ilvl w:val="0"/>
          <w:numId w:val="32"/>
        </w:numPr>
      </w:pPr>
      <w:r>
        <w:t>Reports were grouped by route</w:t>
      </w:r>
    </w:p>
    <w:p w14:paraId="7C72D712" w14:textId="77777777" w:rsidR="00F6589D" w:rsidRDefault="00F6589D" w:rsidP="00F6589D">
      <w:pPr>
        <w:pStyle w:val="NormalWeb"/>
        <w:numPr>
          <w:ilvl w:val="0"/>
          <w:numId w:val="32"/>
        </w:numPr>
      </w:pPr>
      <w:r>
        <w:t>Less frequent routes were visually de-emphasized</w:t>
      </w:r>
    </w:p>
    <w:p w14:paraId="5CB1C0DA" w14:textId="77777777" w:rsidR="00F6589D" w:rsidRDefault="00F6589D" w:rsidP="00F6589D">
      <w:pPr>
        <w:pStyle w:val="NormalWeb"/>
      </w:pPr>
      <w:r>
        <w:rPr>
          <w:rStyle w:val="Strong"/>
        </w:rPr>
        <w:t>Purpose:</w:t>
      </w:r>
      <w:r>
        <w:br/>
        <w:t>To understand how drug administration routes relate to adverse event reporting.</w:t>
      </w:r>
    </w:p>
    <w:p w14:paraId="2A405A04" w14:textId="2E8530B1" w:rsidR="00F6589D" w:rsidRDefault="00F6589D" w:rsidP="00F6589D">
      <w:pPr>
        <w:pStyle w:val="NormalWeb"/>
      </w:pPr>
      <w:r>
        <w:rPr>
          <w:rStyle w:val="Strong"/>
        </w:rPr>
        <w:t>Insight Provided:</w:t>
      </w:r>
      <w:r>
        <w:br/>
        <w:t>Oral and intravenous routes dominate reporting, indicating common modes of drug usage associated with adverse events.</w:t>
      </w:r>
    </w:p>
    <w:p w14:paraId="2E33FE65" w14:textId="76A6D063" w:rsidR="00A07282" w:rsidRDefault="00A07282" w:rsidP="00A07282">
      <w:pPr>
        <w:pStyle w:val="NormalWeb"/>
      </w:pPr>
      <w:r>
        <w:rPr>
          <w:noProof/>
        </w:rPr>
        <w:lastRenderedPageBreak/>
        <w:drawing>
          <wp:inline distT="0" distB="0" distL="0" distR="0" wp14:anchorId="1494DECC" wp14:editId="09F427C8">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6A9B3D1" w14:textId="77777777" w:rsidR="00A07282" w:rsidRDefault="00A07282" w:rsidP="00F6589D">
      <w:pPr>
        <w:pStyle w:val="NormalWeb"/>
      </w:pPr>
    </w:p>
    <w:p w14:paraId="01CA17BC" w14:textId="77777777" w:rsidR="00F6589D" w:rsidRDefault="00F6589D" w:rsidP="00F6589D">
      <w:r>
        <w:pict w14:anchorId="53F981C2">
          <v:rect id="_x0000_i1069" style="width:0;height:1.5pt" o:hralign="center" o:hrstd="t" o:hr="t" fillcolor="#a0a0a0" stroked="f"/>
        </w:pict>
      </w:r>
    </w:p>
    <w:p w14:paraId="40FD3754" w14:textId="77777777" w:rsidR="00F6589D" w:rsidRDefault="00F6589D" w:rsidP="00F6589D">
      <w:pPr>
        <w:pStyle w:val="Heading3"/>
      </w:pPr>
      <w:r>
        <w:rPr>
          <w:rStyle w:val="Strong"/>
          <w:b/>
          <w:bCs/>
        </w:rPr>
        <w:t>8.7 Adverse Event Reports Over Time</w:t>
      </w:r>
    </w:p>
    <w:p w14:paraId="4D40558D" w14:textId="77777777" w:rsidR="00F6589D" w:rsidRDefault="00F6589D" w:rsidP="00F6589D">
      <w:pPr>
        <w:pStyle w:val="NormalWeb"/>
      </w:pPr>
      <w:r>
        <w:rPr>
          <w:rStyle w:val="Strong"/>
        </w:rPr>
        <w:t>Visual Used:</w:t>
      </w:r>
      <w:r>
        <w:t xml:space="preserve"> Line Chart</w:t>
      </w:r>
    </w:p>
    <w:p w14:paraId="381EF05E" w14:textId="77777777" w:rsidR="00F6589D" w:rsidRDefault="00F6589D" w:rsidP="00F6589D">
      <w:pPr>
        <w:pStyle w:val="NormalWeb"/>
      </w:pPr>
      <w:r>
        <w:t>This visualization shows trends in adverse event reporting over time based on event or report dates.</w:t>
      </w:r>
    </w:p>
    <w:p w14:paraId="15F82071" w14:textId="77777777" w:rsidR="00F6589D" w:rsidRDefault="00F6589D" w:rsidP="00F6589D">
      <w:pPr>
        <w:pStyle w:val="NormalWeb"/>
      </w:pPr>
      <w:r>
        <w:rPr>
          <w:rStyle w:val="Strong"/>
        </w:rPr>
        <w:t>Analysis Performed:</w:t>
      </w:r>
    </w:p>
    <w:p w14:paraId="6B013DCE" w14:textId="77777777" w:rsidR="00F6589D" w:rsidRDefault="00F6589D" w:rsidP="00F6589D">
      <w:pPr>
        <w:pStyle w:val="NormalWeb"/>
        <w:numPr>
          <w:ilvl w:val="0"/>
          <w:numId w:val="33"/>
        </w:numPr>
      </w:pPr>
      <w:r>
        <w:t>Date-time values were standardized during preprocessing</w:t>
      </w:r>
    </w:p>
    <w:p w14:paraId="29ACEEDD" w14:textId="77777777" w:rsidR="00F6589D" w:rsidRDefault="00F6589D" w:rsidP="00F6589D">
      <w:pPr>
        <w:pStyle w:val="NormalWeb"/>
        <w:numPr>
          <w:ilvl w:val="0"/>
          <w:numId w:val="33"/>
        </w:numPr>
      </w:pPr>
      <w:r>
        <w:t>Missing dates were excluded from trend analysis</w:t>
      </w:r>
    </w:p>
    <w:p w14:paraId="6A5464D5" w14:textId="77777777" w:rsidR="00F6589D" w:rsidRDefault="00F6589D" w:rsidP="00F6589D">
      <w:pPr>
        <w:pStyle w:val="NormalWeb"/>
        <w:numPr>
          <w:ilvl w:val="0"/>
          <w:numId w:val="33"/>
        </w:numPr>
      </w:pPr>
      <w:r>
        <w:t>Reports were aggregated by time period</w:t>
      </w:r>
    </w:p>
    <w:p w14:paraId="42AD2355" w14:textId="77777777" w:rsidR="00F6589D" w:rsidRDefault="00F6589D" w:rsidP="00F6589D">
      <w:pPr>
        <w:pStyle w:val="NormalWeb"/>
      </w:pPr>
      <w:r>
        <w:rPr>
          <w:rStyle w:val="Strong"/>
        </w:rPr>
        <w:t>Purpose:</w:t>
      </w:r>
      <w:r>
        <w:br/>
        <w:t>To identify temporal trends and changes in reporting behavior.</w:t>
      </w:r>
    </w:p>
    <w:p w14:paraId="0731598F" w14:textId="113CFBCC" w:rsidR="00F6589D" w:rsidRDefault="00F6589D" w:rsidP="00F6589D">
      <w:pPr>
        <w:pStyle w:val="NormalWeb"/>
      </w:pPr>
      <w:r>
        <w:rPr>
          <w:rStyle w:val="Strong"/>
        </w:rPr>
        <w:t>Insight Provided:</w:t>
      </w:r>
      <w:r>
        <w:br/>
        <w:t>An upward trend in reporting is observed in recent periods, reflecting increased awareness and improved reporting practices.</w:t>
      </w:r>
    </w:p>
    <w:p w14:paraId="55EBF740" w14:textId="59235ADD" w:rsidR="00A07282" w:rsidRDefault="00A07282" w:rsidP="00A07282">
      <w:pPr>
        <w:pStyle w:val="NormalWeb"/>
      </w:pPr>
      <w:r>
        <w:rPr>
          <w:noProof/>
        </w:rPr>
        <w:lastRenderedPageBreak/>
        <w:drawing>
          <wp:inline distT="0" distB="0" distL="0" distR="0" wp14:anchorId="65D921A0" wp14:editId="245B2EE9">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6B946CF1" w14:textId="77777777" w:rsidR="00A07282" w:rsidRDefault="00A07282" w:rsidP="00F6589D">
      <w:pPr>
        <w:pStyle w:val="NormalWeb"/>
      </w:pPr>
    </w:p>
    <w:p w14:paraId="0B458916" w14:textId="77777777" w:rsidR="00F6589D" w:rsidRDefault="00F6589D" w:rsidP="00F6589D">
      <w:r>
        <w:pict w14:anchorId="25F3C0A0">
          <v:rect id="_x0000_i1070" style="width:0;height:1.5pt" o:hralign="center" o:hrstd="t" o:hr="t" fillcolor="#a0a0a0" stroked="f"/>
        </w:pict>
      </w:r>
    </w:p>
    <w:p w14:paraId="05A8C512" w14:textId="77777777" w:rsidR="00F6589D" w:rsidRDefault="00F6589D" w:rsidP="00F6589D">
      <w:pPr>
        <w:pStyle w:val="Heading3"/>
      </w:pPr>
      <w:r>
        <w:rPr>
          <w:rStyle w:val="Strong"/>
          <w:b/>
          <w:bCs/>
        </w:rPr>
        <w:t>8.8 Use of Filters and Slicers</w:t>
      </w:r>
    </w:p>
    <w:p w14:paraId="369D003B" w14:textId="77777777" w:rsidR="00F6589D" w:rsidRDefault="00F6589D" w:rsidP="00F6589D">
      <w:pPr>
        <w:pStyle w:val="NormalWeb"/>
      </w:pPr>
      <w:r>
        <w:rPr>
          <w:rStyle w:val="Strong"/>
        </w:rPr>
        <w:t>Slicers Used:</w:t>
      </w:r>
    </w:p>
    <w:p w14:paraId="401EB638" w14:textId="77777777" w:rsidR="00F6589D" w:rsidRDefault="00F6589D" w:rsidP="00F6589D">
      <w:pPr>
        <w:pStyle w:val="NormalWeb"/>
        <w:numPr>
          <w:ilvl w:val="0"/>
          <w:numId w:val="34"/>
        </w:numPr>
      </w:pPr>
      <w:r>
        <w:t>Event Date</w:t>
      </w:r>
    </w:p>
    <w:p w14:paraId="75415390" w14:textId="77777777" w:rsidR="00F6589D" w:rsidRDefault="00F6589D" w:rsidP="00F6589D">
      <w:pPr>
        <w:pStyle w:val="NormalWeb"/>
        <w:numPr>
          <w:ilvl w:val="0"/>
          <w:numId w:val="34"/>
        </w:numPr>
      </w:pPr>
      <w:r>
        <w:t>Age Group</w:t>
      </w:r>
    </w:p>
    <w:p w14:paraId="662FB79E" w14:textId="77777777" w:rsidR="00F6589D" w:rsidRDefault="00F6589D" w:rsidP="00F6589D">
      <w:pPr>
        <w:pStyle w:val="NormalWeb"/>
        <w:numPr>
          <w:ilvl w:val="0"/>
          <w:numId w:val="34"/>
        </w:numPr>
      </w:pPr>
      <w:r>
        <w:t>Route of Administration</w:t>
      </w:r>
    </w:p>
    <w:p w14:paraId="4FA40F6D" w14:textId="77777777" w:rsidR="00F6589D" w:rsidRDefault="00F6589D" w:rsidP="00F6589D">
      <w:pPr>
        <w:pStyle w:val="NormalWeb"/>
      </w:pPr>
      <w:r>
        <w:rPr>
          <w:rStyle w:val="Strong"/>
        </w:rPr>
        <w:t>Purpose:</w:t>
      </w:r>
      <w:r>
        <w:br/>
        <w:t>Filters and slicers allow users to dynamically interact with the dashboard and focus on specific subsets of data without altering the underlying dataset.</w:t>
      </w:r>
    </w:p>
    <w:p w14:paraId="63F09912" w14:textId="77777777" w:rsidR="00F6589D" w:rsidRDefault="00F6589D" w:rsidP="00F6589D">
      <w:pPr>
        <w:pStyle w:val="NormalWeb"/>
      </w:pPr>
      <w:r>
        <w:rPr>
          <w:rStyle w:val="Strong"/>
        </w:rPr>
        <w:t>Benefit:</w:t>
      </w:r>
    </w:p>
    <w:p w14:paraId="202D2487" w14:textId="77777777" w:rsidR="00F6589D" w:rsidRDefault="00F6589D" w:rsidP="00F6589D">
      <w:pPr>
        <w:pStyle w:val="NormalWeb"/>
        <w:numPr>
          <w:ilvl w:val="0"/>
          <w:numId w:val="35"/>
        </w:numPr>
      </w:pPr>
      <w:r>
        <w:t>Enhances exploratory analysis</w:t>
      </w:r>
    </w:p>
    <w:p w14:paraId="7EDF127A" w14:textId="77777777" w:rsidR="00F6589D" w:rsidRDefault="00F6589D" w:rsidP="00F6589D">
      <w:pPr>
        <w:pStyle w:val="NormalWeb"/>
        <w:numPr>
          <w:ilvl w:val="0"/>
          <w:numId w:val="35"/>
        </w:numPr>
      </w:pPr>
      <w:r>
        <w:t>Improves user engagement</w:t>
      </w:r>
    </w:p>
    <w:p w14:paraId="4ED4BE71" w14:textId="77777777" w:rsidR="00F6589D" w:rsidRDefault="00F6589D" w:rsidP="00F6589D">
      <w:pPr>
        <w:pStyle w:val="NormalWeb"/>
        <w:numPr>
          <w:ilvl w:val="0"/>
          <w:numId w:val="35"/>
        </w:numPr>
      </w:pPr>
      <w:r>
        <w:t>Supports flexible, scenario-based insights</w:t>
      </w:r>
    </w:p>
    <w:p w14:paraId="529AD316" w14:textId="77777777" w:rsidR="00F6589D" w:rsidRDefault="00F6589D" w:rsidP="00F6589D">
      <w:r>
        <w:pict w14:anchorId="1331891A">
          <v:rect id="_x0000_i1071" style="width:0;height:1.5pt" o:hralign="center" o:hrstd="t" o:hr="t" fillcolor="#a0a0a0" stroked="f"/>
        </w:pict>
      </w:r>
    </w:p>
    <w:p w14:paraId="4205FD2D" w14:textId="77777777" w:rsidR="00A07282" w:rsidRDefault="00A07282" w:rsidP="00F6589D">
      <w:pPr>
        <w:pStyle w:val="Heading3"/>
        <w:rPr>
          <w:rStyle w:val="Strong"/>
          <w:b/>
          <w:bCs/>
        </w:rPr>
      </w:pPr>
    </w:p>
    <w:p w14:paraId="18A0CB43" w14:textId="39F3EB33" w:rsidR="00F6589D" w:rsidRDefault="00F6589D" w:rsidP="00F6589D">
      <w:pPr>
        <w:pStyle w:val="Heading3"/>
      </w:pPr>
      <w:r>
        <w:rPr>
          <w:rStyle w:val="Strong"/>
          <w:b/>
          <w:bCs/>
        </w:rPr>
        <w:lastRenderedPageBreak/>
        <w:t>Overall Analytical Outcome</w:t>
      </w:r>
    </w:p>
    <w:p w14:paraId="121F29F0" w14:textId="3D15E0E3" w:rsidR="00A07282" w:rsidRDefault="00A07282" w:rsidP="00A07282">
      <w:pPr>
        <w:pStyle w:val="NormalWeb"/>
      </w:pPr>
      <w:r>
        <w:rPr>
          <w:noProof/>
        </w:rPr>
        <w:drawing>
          <wp:inline distT="0" distB="0" distL="0" distR="0" wp14:anchorId="3DF599EF" wp14:editId="3680B57B">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1E992B6" w14:textId="77777777" w:rsidR="00BD2B4F" w:rsidRPr="00BD2B4F" w:rsidRDefault="00BD2B4F" w:rsidP="00BD2B4F">
      <w:pPr>
        <w:pStyle w:val="Heading1"/>
        <w:rPr>
          <w:color w:val="auto"/>
        </w:rPr>
      </w:pPr>
      <w:r w:rsidRPr="00BD2B4F">
        <w:rPr>
          <w:rStyle w:val="Strong"/>
          <w:color w:val="auto"/>
        </w:rPr>
        <w:t>Insights &amp; Conclusions</w:t>
      </w:r>
    </w:p>
    <w:p w14:paraId="18AE0D69" w14:textId="77777777" w:rsidR="00BD2B4F" w:rsidRPr="00BD2B4F" w:rsidRDefault="00BD2B4F" w:rsidP="00BD2B4F">
      <w:pPr>
        <w:pStyle w:val="Heading2"/>
        <w:rPr>
          <w:color w:val="auto"/>
        </w:rPr>
      </w:pPr>
      <w:r w:rsidRPr="00BD2B4F">
        <w:rPr>
          <w:rStyle w:val="Strong"/>
          <w:color w:val="auto"/>
        </w:rPr>
        <w:t>Key Findings</w:t>
      </w:r>
    </w:p>
    <w:p w14:paraId="68453EF2" w14:textId="77777777" w:rsidR="00BD2B4F" w:rsidRDefault="00BD2B4F" w:rsidP="00BD2B4F">
      <w:pPr>
        <w:pStyle w:val="NormalWeb"/>
      </w:pPr>
      <w:r>
        <w:t xml:space="preserve">The analysis of the FAERS adverse event dataset reveals that </w:t>
      </w:r>
      <w:r>
        <w:rPr>
          <w:rStyle w:val="Strong"/>
        </w:rPr>
        <w:t>XOLAIR</w:t>
      </w:r>
      <w:r>
        <w:t xml:space="preserve"> is the most frequently reported primary suspect drug, followed by </w:t>
      </w:r>
      <w:r>
        <w:rPr>
          <w:rStyle w:val="Strong"/>
        </w:rPr>
        <w:t>RISPERDAL</w:t>
      </w:r>
      <w:r>
        <w:t xml:space="preserve"> and </w:t>
      </w:r>
      <w:r>
        <w:rPr>
          <w:rStyle w:val="Strong"/>
        </w:rPr>
        <w:t>XYREM</w:t>
      </w:r>
      <w:r>
        <w:t xml:space="preserve">. Manufacturer-wise, </w:t>
      </w:r>
      <w:r>
        <w:rPr>
          <w:rStyle w:val="Strong"/>
        </w:rPr>
        <w:t>TAKEDA</w:t>
      </w:r>
      <w:r>
        <w:t xml:space="preserve"> has submitted the highest number of adverse event reports, indicating either a larger market presence or stronger pharmacovigilance reporting practices.</w:t>
      </w:r>
    </w:p>
    <w:p w14:paraId="438CC6E5" w14:textId="77777777" w:rsidR="00BD2B4F" w:rsidRDefault="00BD2B4F" w:rsidP="00BD2B4F">
      <w:pPr>
        <w:pStyle w:val="NormalWeb"/>
      </w:pPr>
      <w:r>
        <w:t xml:space="preserve">The </w:t>
      </w:r>
      <w:r>
        <w:rPr>
          <w:rStyle w:val="Strong"/>
        </w:rPr>
        <w:t>adult</w:t>
      </w:r>
      <w:r>
        <w:t xml:space="preserve"> and </w:t>
      </w:r>
      <w:r>
        <w:rPr>
          <w:rStyle w:val="Strong"/>
        </w:rPr>
        <w:t>elderly</w:t>
      </w:r>
      <w:r>
        <w:t xml:space="preserve"> age groups contribute to the majority of reported cases, suggesting that adverse events are more commonly associated with long-term medication usage and chronic disease management. The </w:t>
      </w:r>
      <w:r>
        <w:rPr>
          <w:rStyle w:val="Strong"/>
        </w:rPr>
        <w:t>oral route of administration</w:t>
      </w:r>
      <w:r>
        <w:t xml:space="preserve"> dominates adverse event reporting, followed by </w:t>
      </w:r>
      <w:r>
        <w:rPr>
          <w:rStyle w:val="Strong"/>
        </w:rPr>
        <w:t>subcutaneous</w:t>
      </w:r>
      <w:r>
        <w:t xml:space="preserve"> and </w:t>
      </w:r>
      <w:r>
        <w:rPr>
          <w:rStyle w:val="Strong"/>
        </w:rPr>
        <w:t>intravenous routes</w:t>
      </w:r>
      <w:r>
        <w:t>.</w:t>
      </w:r>
    </w:p>
    <w:p w14:paraId="0AB71823" w14:textId="77777777" w:rsidR="00BD2B4F" w:rsidRDefault="00BD2B4F" w:rsidP="00BD2B4F">
      <w:pPr>
        <w:pStyle w:val="NormalWeb"/>
      </w:pPr>
      <w:r>
        <w:t xml:space="preserve">A sharp </w:t>
      </w:r>
      <w:r>
        <w:rPr>
          <w:rStyle w:val="Strong"/>
        </w:rPr>
        <w:t>increase in adverse event reporting over recent years</w:t>
      </w:r>
      <w:r>
        <w:t>, particularly after 2018, highlights improved regulatory compliance, increased patient awareness, and enhanced post-marketing surveillance activities.</w:t>
      </w:r>
    </w:p>
    <w:p w14:paraId="2D259B22" w14:textId="77777777" w:rsidR="00BD2B4F" w:rsidRDefault="00BD2B4F" w:rsidP="00BD2B4F">
      <w:r>
        <w:pict w14:anchorId="5BA0D81B">
          <v:rect id="_x0000_i1095" style="width:0;height:1.5pt" o:hralign="center" o:hrstd="t" o:hr="t" fillcolor="#a0a0a0" stroked="f"/>
        </w:pict>
      </w:r>
    </w:p>
    <w:p w14:paraId="2E40DBA9" w14:textId="77777777" w:rsidR="00BD2B4F" w:rsidRDefault="00BD2B4F" w:rsidP="00BD2B4F">
      <w:pPr>
        <w:pStyle w:val="Heading2"/>
        <w:rPr>
          <w:rStyle w:val="Strong"/>
          <w:color w:val="auto"/>
          <w:sz w:val="32"/>
          <w:szCs w:val="32"/>
        </w:rPr>
      </w:pPr>
    </w:p>
    <w:p w14:paraId="16BD2578" w14:textId="25D317B2" w:rsidR="00BD2B4F" w:rsidRPr="00BD2B4F" w:rsidRDefault="00BD2B4F" w:rsidP="00BD2B4F">
      <w:pPr>
        <w:pStyle w:val="Heading2"/>
        <w:rPr>
          <w:color w:val="auto"/>
          <w:sz w:val="32"/>
          <w:szCs w:val="32"/>
        </w:rPr>
      </w:pPr>
      <w:r w:rsidRPr="00BD2B4F">
        <w:rPr>
          <w:rStyle w:val="Strong"/>
          <w:color w:val="auto"/>
          <w:sz w:val="32"/>
          <w:szCs w:val="32"/>
        </w:rPr>
        <w:t>Analysis Insights</w:t>
      </w:r>
    </w:p>
    <w:p w14:paraId="71533652" w14:textId="77777777" w:rsidR="00BD2B4F" w:rsidRDefault="00BD2B4F" w:rsidP="00BD2B4F">
      <w:pPr>
        <w:pStyle w:val="Heading3"/>
      </w:pPr>
      <w:r>
        <w:rPr>
          <w:rStyle w:val="Strong"/>
          <w:b/>
          <w:bCs/>
        </w:rPr>
        <w:t>1. Descriptive Analysis (What happened?)</w:t>
      </w:r>
    </w:p>
    <w:p w14:paraId="2057DDCE" w14:textId="77777777" w:rsidR="00BD2B4F" w:rsidRDefault="00BD2B4F" w:rsidP="00BD2B4F">
      <w:pPr>
        <w:pStyle w:val="NormalWeb"/>
        <w:numPr>
          <w:ilvl w:val="0"/>
          <w:numId w:val="37"/>
        </w:numPr>
      </w:pPr>
      <w:r>
        <w:rPr>
          <w:rStyle w:val="Strong"/>
        </w:rPr>
        <w:t>XOLAIR</w:t>
      </w:r>
      <w:r>
        <w:t xml:space="preserve"> recorded the highest number of adverse event reports, making it the most prominent drug in the dataset.</w:t>
      </w:r>
    </w:p>
    <w:p w14:paraId="65E4DE9B" w14:textId="77777777" w:rsidR="00BD2B4F" w:rsidRDefault="00BD2B4F" w:rsidP="00BD2B4F">
      <w:pPr>
        <w:pStyle w:val="NormalWeb"/>
        <w:numPr>
          <w:ilvl w:val="0"/>
          <w:numId w:val="37"/>
        </w:numPr>
      </w:pPr>
      <w:r>
        <w:rPr>
          <w:rStyle w:val="Strong"/>
        </w:rPr>
        <w:t>RISPERDAL</w:t>
      </w:r>
      <w:r>
        <w:t xml:space="preserve"> and </w:t>
      </w:r>
      <w:r>
        <w:rPr>
          <w:rStyle w:val="Strong"/>
        </w:rPr>
        <w:t>XYREM</w:t>
      </w:r>
      <w:r>
        <w:t xml:space="preserve"> also show significant reporting frequency, indicating close monitoring or higher patient exposure.</w:t>
      </w:r>
    </w:p>
    <w:p w14:paraId="183CD80C" w14:textId="77777777" w:rsidR="00BD2B4F" w:rsidRDefault="00BD2B4F" w:rsidP="00BD2B4F">
      <w:pPr>
        <w:pStyle w:val="NormalWeb"/>
        <w:numPr>
          <w:ilvl w:val="0"/>
          <w:numId w:val="37"/>
        </w:numPr>
      </w:pPr>
      <w:r>
        <w:rPr>
          <w:rStyle w:val="Strong"/>
        </w:rPr>
        <w:t>TAKEDA</w:t>
      </w:r>
      <w:r>
        <w:t xml:space="preserve"> is the leading manufacturer sender, followed by </w:t>
      </w:r>
      <w:r>
        <w:rPr>
          <w:rStyle w:val="Strong"/>
        </w:rPr>
        <w:t>PFIZER</w:t>
      </w:r>
      <w:r>
        <w:t xml:space="preserve">, </w:t>
      </w:r>
      <w:r>
        <w:rPr>
          <w:rStyle w:val="Strong"/>
        </w:rPr>
        <w:t>ROCHE</w:t>
      </w:r>
      <w:r>
        <w:t xml:space="preserve">, and </w:t>
      </w:r>
      <w:r>
        <w:rPr>
          <w:rStyle w:val="Strong"/>
        </w:rPr>
        <w:t>AURINIA</w:t>
      </w:r>
      <w:r>
        <w:t>.</w:t>
      </w:r>
    </w:p>
    <w:p w14:paraId="713901DF" w14:textId="77777777" w:rsidR="00BD2B4F" w:rsidRDefault="00BD2B4F" w:rsidP="00BD2B4F">
      <w:pPr>
        <w:pStyle w:val="NormalWeb"/>
        <w:numPr>
          <w:ilvl w:val="0"/>
          <w:numId w:val="37"/>
        </w:numPr>
      </w:pPr>
      <w:r>
        <w:t>Adults represent the largest affected population group, followed by the elderly, while children and infants show comparatively fewer reports.</w:t>
      </w:r>
    </w:p>
    <w:p w14:paraId="3309CD16" w14:textId="77777777" w:rsidR="00BD2B4F" w:rsidRDefault="00BD2B4F" w:rsidP="00BD2B4F">
      <w:pPr>
        <w:pStyle w:val="NormalWeb"/>
        <w:numPr>
          <w:ilvl w:val="0"/>
          <w:numId w:val="37"/>
        </w:numPr>
      </w:pPr>
      <w:r>
        <w:t xml:space="preserve">The </w:t>
      </w:r>
      <w:r>
        <w:rPr>
          <w:rStyle w:val="Strong"/>
        </w:rPr>
        <w:t>oral route</w:t>
      </w:r>
      <w:r>
        <w:t xml:space="preserve"> accounts for the majority of drug administrations linked to adverse events.</w:t>
      </w:r>
    </w:p>
    <w:p w14:paraId="1A0D8F40" w14:textId="77777777" w:rsidR="00BD2B4F" w:rsidRDefault="00BD2B4F" w:rsidP="00BD2B4F">
      <w:pPr>
        <w:pStyle w:val="NormalWeb"/>
        <w:numPr>
          <w:ilvl w:val="0"/>
          <w:numId w:val="37"/>
        </w:numPr>
      </w:pPr>
      <w:r>
        <w:t>Adverse event reporting shows minimal activity in earlier years and a steep rise in recent years.</w:t>
      </w:r>
    </w:p>
    <w:p w14:paraId="153D3DF4" w14:textId="77777777" w:rsidR="00BD2B4F" w:rsidRDefault="00BD2B4F" w:rsidP="00BD2B4F">
      <w:r>
        <w:pict w14:anchorId="448F6032">
          <v:rect id="_x0000_i1096" style="width:0;height:1.5pt" o:hralign="center" o:hrstd="t" o:hr="t" fillcolor="#a0a0a0" stroked="f"/>
        </w:pict>
      </w:r>
    </w:p>
    <w:p w14:paraId="697E79DA" w14:textId="77777777" w:rsidR="00BD2B4F" w:rsidRDefault="00BD2B4F" w:rsidP="00BD2B4F">
      <w:pPr>
        <w:pStyle w:val="Heading3"/>
      </w:pPr>
      <w:r>
        <w:rPr>
          <w:rStyle w:val="Strong"/>
          <w:b/>
          <w:bCs/>
        </w:rPr>
        <w:t>2. Diagnostic Analysis (Why did it happen?)</w:t>
      </w:r>
    </w:p>
    <w:p w14:paraId="34159396" w14:textId="77777777" w:rsidR="00BD2B4F" w:rsidRDefault="00BD2B4F" w:rsidP="00BD2B4F">
      <w:pPr>
        <w:pStyle w:val="NormalWeb"/>
        <w:numPr>
          <w:ilvl w:val="0"/>
          <w:numId w:val="38"/>
        </w:numPr>
      </w:pPr>
      <w:r>
        <w:t xml:space="preserve">Drugs like </w:t>
      </w:r>
      <w:r>
        <w:rPr>
          <w:rStyle w:val="Strong"/>
        </w:rPr>
        <w:t>XOLAIR</w:t>
      </w:r>
      <w:r>
        <w:t xml:space="preserve"> and </w:t>
      </w:r>
      <w:r>
        <w:rPr>
          <w:rStyle w:val="Strong"/>
        </w:rPr>
        <w:t>RISPERDAL</w:t>
      </w:r>
      <w:r>
        <w:t xml:space="preserve"> are widely prescribed for chronic and immune-related conditions, increasing long-term exposure and reporting likelihood.</w:t>
      </w:r>
    </w:p>
    <w:p w14:paraId="3ACBB0D8" w14:textId="77777777" w:rsidR="00BD2B4F" w:rsidRDefault="00BD2B4F" w:rsidP="00BD2B4F">
      <w:pPr>
        <w:pStyle w:val="NormalWeb"/>
        <w:numPr>
          <w:ilvl w:val="0"/>
          <w:numId w:val="38"/>
        </w:numPr>
      </w:pPr>
      <w:r>
        <w:t xml:space="preserve">Higher reports from </w:t>
      </w:r>
      <w:r>
        <w:rPr>
          <w:rStyle w:val="Strong"/>
        </w:rPr>
        <w:t>TAKEDA</w:t>
      </w:r>
      <w:r>
        <w:t xml:space="preserve"> may be due to a robust pharmacovigilance system and proactive reporting rather than poor drug safety alone.</w:t>
      </w:r>
    </w:p>
    <w:p w14:paraId="334C0FA8" w14:textId="77777777" w:rsidR="00BD2B4F" w:rsidRDefault="00BD2B4F" w:rsidP="00BD2B4F">
      <w:pPr>
        <w:pStyle w:val="NormalWeb"/>
        <w:numPr>
          <w:ilvl w:val="0"/>
          <w:numId w:val="38"/>
        </w:numPr>
      </w:pPr>
      <w:r>
        <w:t>Adults and elderly patients often take multiple medications (polypharmacy), increasing the risk of adverse reactions.</w:t>
      </w:r>
    </w:p>
    <w:p w14:paraId="08017AEC" w14:textId="77777777" w:rsidR="00BD2B4F" w:rsidRDefault="00BD2B4F" w:rsidP="00BD2B4F">
      <w:pPr>
        <w:pStyle w:val="NormalWeb"/>
        <w:numPr>
          <w:ilvl w:val="0"/>
          <w:numId w:val="38"/>
        </w:numPr>
      </w:pPr>
      <w:r>
        <w:t>Oral administration is the most common drug delivery method, explaining its higher association with reported events.</w:t>
      </w:r>
    </w:p>
    <w:p w14:paraId="3BD56FE0" w14:textId="77777777" w:rsidR="00BD2B4F" w:rsidRDefault="00BD2B4F" w:rsidP="00BD2B4F">
      <w:pPr>
        <w:pStyle w:val="NormalWeb"/>
        <w:numPr>
          <w:ilvl w:val="0"/>
          <w:numId w:val="38"/>
        </w:numPr>
      </w:pPr>
      <w:r>
        <w:t>The spike in recent years correlates with stricter regulatory requirements and increased awareness of adverse event reporting systems.</w:t>
      </w:r>
    </w:p>
    <w:p w14:paraId="0631AA70" w14:textId="77777777" w:rsidR="00BD2B4F" w:rsidRDefault="00BD2B4F" w:rsidP="00BD2B4F">
      <w:r>
        <w:pict w14:anchorId="4B6A3694">
          <v:rect id="_x0000_i1097" style="width:0;height:1.5pt" o:hralign="center" o:hrstd="t" o:hr="t" fillcolor="#a0a0a0" stroked="f"/>
        </w:pict>
      </w:r>
    </w:p>
    <w:p w14:paraId="3A6437CC" w14:textId="77777777" w:rsidR="00BD2B4F" w:rsidRDefault="00BD2B4F" w:rsidP="00BD2B4F">
      <w:pPr>
        <w:pStyle w:val="Heading3"/>
      </w:pPr>
      <w:r>
        <w:rPr>
          <w:rStyle w:val="Strong"/>
          <w:b/>
          <w:bCs/>
        </w:rPr>
        <w:t>3. Predictive Analysis (What is likely to happen?)</w:t>
      </w:r>
    </w:p>
    <w:p w14:paraId="31BD4DEC" w14:textId="77777777" w:rsidR="00BD2B4F" w:rsidRDefault="00BD2B4F" w:rsidP="00BD2B4F">
      <w:pPr>
        <w:pStyle w:val="NormalWeb"/>
        <w:numPr>
          <w:ilvl w:val="0"/>
          <w:numId w:val="39"/>
        </w:numPr>
      </w:pPr>
      <w:r>
        <w:t xml:space="preserve">Adverse event reporting is expected to </w:t>
      </w:r>
      <w:r>
        <w:rPr>
          <w:rStyle w:val="Strong"/>
        </w:rPr>
        <w:t>continue increasing</w:t>
      </w:r>
      <w:r>
        <w:t xml:space="preserve"> as regulatory frameworks and reporting awareness strengthen.</w:t>
      </w:r>
    </w:p>
    <w:p w14:paraId="46633525" w14:textId="77777777" w:rsidR="00BD2B4F" w:rsidRDefault="00BD2B4F" w:rsidP="00BD2B4F">
      <w:pPr>
        <w:pStyle w:val="NormalWeb"/>
        <w:numPr>
          <w:ilvl w:val="0"/>
          <w:numId w:val="39"/>
        </w:numPr>
      </w:pPr>
      <w:r>
        <w:t xml:space="preserve">Drugs such as </w:t>
      </w:r>
      <w:r>
        <w:rPr>
          <w:rStyle w:val="Strong"/>
        </w:rPr>
        <w:t>XOLAIR</w:t>
      </w:r>
      <w:r>
        <w:t xml:space="preserve"> and </w:t>
      </w:r>
      <w:r>
        <w:rPr>
          <w:rStyle w:val="Strong"/>
        </w:rPr>
        <w:t>RISPERDAL</w:t>
      </w:r>
      <w:r>
        <w:t xml:space="preserve"> will likely remain under close regulatory scrutiny due to consistent reporting trends.</w:t>
      </w:r>
    </w:p>
    <w:p w14:paraId="66FAA12F" w14:textId="77777777" w:rsidR="00BD2B4F" w:rsidRDefault="00BD2B4F" w:rsidP="00BD2B4F">
      <w:pPr>
        <w:pStyle w:val="NormalWeb"/>
        <w:numPr>
          <w:ilvl w:val="0"/>
          <w:numId w:val="39"/>
        </w:numPr>
      </w:pPr>
      <w:r>
        <w:t xml:space="preserve">Manufacturers with high reporting volumes, such as </w:t>
      </w:r>
      <w:r>
        <w:rPr>
          <w:rStyle w:val="Strong"/>
        </w:rPr>
        <w:t>TAKEDA</w:t>
      </w:r>
      <w:r>
        <w:t>, may face more frequent safety reviews and post-marketing studies.</w:t>
      </w:r>
    </w:p>
    <w:p w14:paraId="380672A0" w14:textId="77777777" w:rsidR="00BD2B4F" w:rsidRDefault="00BD2B4F" w:rsidP="00BD2B4F">
      <w:pPr>
        <w:pStyle w:val="NormalWeb"/>
        <w:numPr>
          <w:ilvl w:val="0"/>
          <w:numId w:val="39"/>
        </w:numPr>
      </w:pPr>
      <w:r>
        <w:t>Elderly patient groups may show increased adverse event trends due to aging populations and rising chronic disease prevalence.</w:t>
      </w:r>
    </w:p>
    <w:p w14:paraId="6A6822D6" w14:textId="77777777" w:rsidR="00BD2B4F" w:rsidRDefault="00BD2B4F" w:rsidP="00BD2B4F">
      <w:r>
        <w:lastRenderedPageBreak/>
        <w:pict w14:anchorId="44BCB27E">
          <v:rect id="_x0000_i1098" style="width:0;height:1.5pt" o:hralign="center" o:hrstd="t" o:hr="t" fillcolor="#a0a0a0" stroked="f"/>
        </w:pict>
      </w:r>
    </w:p>
    <w:p w14:paraId="380D6D38" w14:textId="77777777" w:rsidR="00BD2B4F" w:rsidRDefault="00BD2B4F" w:rsidP="00BD2B4F">
      <w:pPr>
        <w:pStyle w:val="Heading3"/>
      </w:pPr>
      <w:r>
        <w:rPr>
          <w:rStyle w:val="Strong"/>
          <w:b/>
          <w:bCs/>
        </w:rPr>
        <w:t>4. Prescriptive Analysis (What should be done?)</w:t>
      </w:r>
    </w:p>
    <w:p w14:paraId="7623D262" w14:textId="77777777" w:rsidR="00BD2B4F" w:rsidRDefault="00BD2B4F" w:rsidP="00BD2B4F">
      <w:pPr>
        <w:pStyle w:val="NormalWeb"/>
        <w:numPr>
          <w:ilvl w:val="0"/>
          <w:numId w:val="40"/>
        </w:numPr>
      </w:pPr>
      <w:r>
        <w:t xml:space="preserve">Regulatory bodies should </w:t>
      </w:r>
      <w:r>
        <w:rPr>
          <w:rStyle w:val="Strong"/>
        </w:rPr>
        <w:t>prioritize continuous monitoring</w:t>
      </w:r>
      <w:r>
        <w:t xml:space="preserve"> of high-risk drugs like </w:t>
      </w:r>
      <w:r>
        <w:rPr>
          <w:rStyle w:val="Strong"/>
        </w:rPr>
        <w:t>XOLAIR</w:t>
      </w:r>
      <w:r>
        <w:t xml:space="preserve"> and </w:t>
      </w:r>
      <w:r>
        <w:rPr>
          <w:rStyle w:val="Strong"/>
        </w:rPr>
        <w:t>RISPERDAL</w:t>
      </w:r>
      <w:r>
        <w:t>.</w:t>
      </w:r>
    </w:p>
    <w:p w14:paraId="574B0006" w14:textId="77777777" w:rsidR="00BD2B4F" w:rsidRDefault="00BD2B4F" w:rsidP="00BD2B4F">
      <w:pPr>
        <w:pStyle w:val="NormalWeb"/>
        <w:numPr>
          <w:ilvl w:val="0"/>
          <w:numId w:val="40"/>
        </w:numPr>
      </w:pPr>
      <w:r>
        <w:t xml:space="preserve">Manufacturers should enhance </w:t>
      </w:r>
      <w:r>
        <w:rPr>
          <w:rStyle w:val="Strong"/>
        </w:rPr>
        <w:t>risk management plans</w:t>
      </w:r>
      <w:r>
        <w:t xml:space="preserve"> and provide clearer safety communication for long-term therapies.</w:t>
      </w:r>
    </w:p>
    <w:p w14:paraId="734CBAEC" w14:textId="77777777" w:rsidR="00BD2B4F" w:rsidRDefault="00BD2B4F" w:rsidP="00BD2B4F">
      <w:pPr>
        <w:pStyle w:val="NormalWeb"/>
        <w:numPr>
          <w:ilvl w:val="0"/>
          <w:numId w:val="40"/>
        </w:numPr>
      </w:pPr>
      <w:r>
        <w:t xml:space="preserve">Healthcare providers should exercise </w:t>
      </w:r>
      <w:r>
        <w:rPr>
          <w:rStyle w:val="Strong"/>
        </w:rPr>
        <w:t>greater caution when prescribing to elderly patients</w:t>
      </w:r>
      <w:r>
        <w:t>, particularly in cases of polypharmacy.</w:t>
      </w:r>
    </w:p>
    <w:p w14:paraId="61ABDA48" w14:textId="77777777" w:rsidR="00BD2B4F" w:rsidRDefault="00BD2B4F" w:rsidP="00BD2B4F">
      <w:pPr>
        <w:pStyle w:val="NormalWeb"/>
        <w:numPr>
          <w:ilvl w:val="0"/>
          <w:numId w:val="40"/>
        </w:numPr>
      </w:pPr>
      <w:r>
        <w:t>Improved data completeness (reducing “Not Reported” entries) should be enforced to strengthen future pharmacovigilance analysis.</w:t>
      </w:r>
    </w:p>
    <w:p w14:paraId="18E1E163" w14:textId="77777777" w:rsidR="00BD2B4F" w:rsidRDefault="00BD2B4F" w:rsidP="00BD2B4F">
      <w:pPr>
        <w:pStyle w:val="NormalWeb"/>
        <w:numPr>
          <w:ilvl w:val="0"/>
          <w:numId w:val="40"/>
        </w:numPr>
      </w:pPr>
      <w:r>
        <w:t>Advanced analytics and early-warning systems should be implemented to detect emerging safety signals proactively.</w:t>
      </w:r>
    </w:p>
    <w:p w14:paraId="2C9055A7" w14:textId="77777777" w:rsidR="00BD2B4F" w:rsidRDefault="00BD2B4F" w:rsidP="00BD2B4F">
      <w:r>
        <w:pict w14:anchorId="161866BD">
          <v:rect id="_x0000_i1099" style="width:0;height:1.5pt" o:hralign="center" o:hrstd="t" o:hr="t" fillcolor="#a0a0a0" stroked="f"/>
        </w:pict>
      </w:r>
    </w:p>
    <w:p w14:paraId="3832B478" w14:textId="77777777" w:rsidR="00BD2B4F" w:rsidRDefault="00BD2B4F" w:rsidP="00BD2B4F">
      <w:pPr>
        <w:pStyle w:val="Heading3"/>
      </w:pPr>
      <w:r>
        <w:rPr>
          <w:rStyle w:val="Strong"/>
          <w:b/>
          <w:bCs/>
        </w:rPr>
        <w:t>Overall Conclusion</w:t>
      </w:r>
    </w:p>
    <w:p w14:paraId="0C424068" w14:textId="77777777" w:rsidR="00BD2B4F" w:rsidRDefault="00BD2B4F" w:rsidP="00BD2B4F">
      <w:pPr>
        <w:pStyle w:val="NormalWeb"/>
      </w:pPr>
      <w:r>
        <w:t xml:space="preserve">This mini project demonstrates how </w:t>
      </w:r>
      <w:r>
        <w:rPr>
          <w:rStyle w:val="Strong"/>
        </w:rPr>
        <w:t>Excel-based data preprocessing</w:t>
      </w:r>
      <w:r>
        <w:t xml:space="preserve"> and </w:t>
      </w:r>
      <w:r>
        <w:rPr>
          <w:rStyle w:val="Strong"/>
        </w:rPr>
        <w:t>Power BI analytics</w:t>
      </w:r>
      <w:r>
        <w:t xml:space="preserve"> can transform raw FAERS data into actionable pharmacovigilance insights. By identifying high-risk drugs, manufacturers, patient demographics, and reporting trends, the analysis supports informed decision-making for regulators, healthcare providers, and pharmaceutical companies.</w:t>
      </w:r>
    </w:p>
    <w:p w14:paraId="64AD7CF8" w14:textId="77777777" w:rsidR="00BD2B4F" w:rsidRDefault="00BD2B4F" w:rsidP="00BD2B4F">
      <w:r>
        <w:pict w14:anchorId="412A27C4">
          <v:rect id="_x0000_i1100" style="width:0;height:1.5pt" o:hralign="center" o:hrstd="t" o:hr="t" fillcolor="#a0a0a0" stroked="f"/>
        </w:pict>
      </w:r>
    </w:p>
    <w:p w14:paraId="11964691" w14:textId="15F84F88" w:rsidR="00BD2B4F" w:rsidRDefault="00BD2B4F" w:rsidP="00BD2B4F"/>
    <w:p w14:paraId="4D1DDDCD" w14:textId="77777777" w:rsidR="00BD2B4F" w:rsidRDefault="00BD2B4F" w:rsidP="00BD2B4F">
      <w:pPr>
        <w:pStyle w:val="placeholder"/>
      </w:pPr>
    </w:p>
    <w:p w14:paraId="0DD2D2FF" w14:textId="77777777" w:rsidR="00BD2B4F" w:rsidRDefault="00BD2B4F" w:rsidP="00BD2B4F">
      <w:pPr>
        <w:pStyle w:val="z-BottomofForm"/>
      </w:pPr>
      <w:r>
        <w:t>Bottom of Form</w:t>
      </w:r>
    </w:p>
    <w:p w14:paraId="0B6146A0" w14:textId="77777777" w:rsidR="00BD2B4F" w:rsidRDefault="00BD2B4F" w:rsidP="00A07282">
      <w:pPr>
        <w:pStyle w:val="NormalWeb"/>
      </w:pPr>
    </w:p>
    <w:p w14:paraId="6AC1B6AC" w14:textId="2489E570" w:rsidR="00F6589D" w:rsidRDefault="00F6589D" w:rsidP="008916F2">
      <w:pPr>
        <w:pStyle w:val="NormalWeb"/>
        <w:ind w:left="720"/>
      </w:pPr>
    </w:p>
    <w:p w14:paraId="5933C451" w14:textId="77777777" w:rsidR="00F6589D" w:rsidRDefault="00F6589D" w:rsidP="008916F2">
      <w:pPr>
        <w:pStyle w:val="NormalWeb"/>
        <w:ind w:left="720"/>
      </w:pPr>
    </w:p>
    <w:p w14:paraId="6CF111A2" w14:textId="77777777" w:rsidR="00EE5279" w:rsidRDefault="00EE5279" w:rsidP="00EE5279">
      <w:pPr>
        <w:pStyle w:val="NormalWeb"/>
        <w:ind w:left="720"/>
      </w:pPr>
    </w:p>
    <w:p w14:paraId="602BEB2A" w14:textId="77777777" w:rsidR="00EE5279" w:rsidRDefault="00EE5279" w:rsidP="00EE5279">
      <w:pPr>
        <w:pStyle w:val="NormalWeb"/>
      </w:pPr>
    </w:p>
    <w:p w14:paraId="481DDF71" w14:textId="77777777" w:rsidR="00EE5279" w:rsidRDefault="00EE5279" w:rsidP="00EE5279">
      <w:pPr>
        <w:pStyle w:val="NormalWeb"/>
      </w:pPr>
    </w:p>
    <w:p w14:paraId="7688C42F" w14:textId="77777777" w:rsidR="00CD5A9B" w:rsidRPr="00CD5A9B" w:rsidRDefault="00CD5A9B" w:rsidP="00EE5279">
      <w:pPr>
        <w:rPr>
          <w:rFonts w:ascii="Times New Roman" w:hAnsi="Times New Roman" w:cs="Times New Roman"/>
          <w:sz w:val="28"/>
          <w:szCs w:val="28"/>
        </w:rPr>
      </w:pPr>
    </w:p>
    <w:sectPr w:rsidR="00CD5A9B" w:rsidRPr="00CD5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0365"/>
    <w:multiLevelType w:val="multilevel"/>
    <w:tmpl w:val="E4D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341EB"/>
    <w:multiLevelType w:val="multilevel"/>
    <w:tmpl w:val="3FF6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95360"/>
    <w:multiLevelType w:val="multilevel"/>
    <w:tmpl w:val="BB8A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A6F78"/>
    <w:multiLevelType w:val="multilevel"/>
    <w:tmpl w:val="2366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B6273"/>
    <w:multiLevelType w:val="multilevel"/>
    <w:tmpl w:val="628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6340"/>
    <w:multiLevelType w:val="multilevel"/>
    <w:tmpl w:val="DA02F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B1411B"/>
    <w:multiLevelType w:val="multilevel"/>
    <w:tmpl w:val="B39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4231C"/>
    <w:multiLevelType w:val="multilevel"/>
    <w:tmpl w:val="44E4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A6170"/>
    <w:multiLevelType w:val="multilevel"/>
    <w:tmpl w:val="ACB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33214"/>
    <w:multiLevelType w:val="multilevel"/>
    <w:tmpl w:val="EEA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61686"/>
    <w:multiLevelType w:val="multilevel"/>
    <w:tmpl w:val="8A36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26893"/>
    <w:multiLevelType w:val="multilevel"/>
    <w:tmpl w:val="4AB0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65215"/>
    <w:multiLevelType w:val="multilevel"/>
    <w:tmpl w:val="54F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450FD"/>
    <w:multiLevelType w:val="multilevel"/>
    <w:tmpl w:val="A1C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F0534"/>
    <w:multiLevelType w:val="multilevel"/>
    <w:tmpl w:val="A72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D5D6B"/>
    <w:multiLevelType w:val="multilevel"/>
    <w:tmpl w:val="29EE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E3C35"/>
    <w:multiLevelType w:val="multilevel"/>
    <w:tmpl w:val="E510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A38ED"/>
    <w:multiLevelType w:val="multilevel"/>
    <w:tmpl w:val="1BD4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445EB"/>
    <w:multiLevelType w:val="multilevel"/>
    <w:tmpl w:val="2EC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E1A23"/>
    <w:multiLevelType w:val="multilevel"/>
    <w:tmpl w:val="D25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A36FA"/>
    <w:multiLevelType w:val="multilevel"/>
    <w:tmpl w:val="B30A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A1ED5"/>
    <w:multiLevelType w:val="multilevel"/>
    <w:tmpl w:val="F45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E660CB"/>
    <w:multiLevelType w:val="multilevel"/>
    <w:tmpl w:val="0C72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F5623"/>
    <w:multiLevelType w:val="multilevel"/>
    <w:tmpl w:val="81E4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7C54C2"/>
    <w:multiLevelType w:val="multilevel"/>
    <w:tmpl w:val="B20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B0F82"/>
    <w:multiLevelType w:val="multilevel"/>
    <w:tmpl w:val="227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96331"/>
    <w:multiLevelType w:val="multilevel"/>
    <w:tmpl w:val="5350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C7089"/>
    <w:multiLevelType w:val="multilevel"/>
    <w:tmpl w:val="2BC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D602D"/>
    <w:multiLevelType w:val="multilevel"/>
    <w:tmpl w:val="D62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A72BE"/>
    <w:multiLevelType w:val="multilevel"/>
    <w:tmpl w:val="591E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D34D3"/>
    <w:multiLevelType w:val="multilevel"/>
    <w:tmpl w:val="8E9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E42B19"/>
    <w:multiLevelType w:val="multilevel"/>
    <w:tmpl w:val="548C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26755D"/>
    <w:multiLevelType w:val="multilevel"/>
    <w:tmpl w:val="71F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27ED6"/>
    <w:multiLevelType w:val="multilevel"/>
    <w:tmpl w:val="5BFE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515AC6"/>
    <w:multiLevelType w:val="multilevel"/>
    <w:tmpl w:val="5DBC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02B46"/>
    <w:multiLevelType w:val="multilevel"/>
    <w:tmpl w:val="B6FC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61BBB"/>
    <w:multiLevelType w:val="multilevel"/>
    <w:tmpl w:val="10B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833AF"/>
    <w:multiLevelType w:val="multilevel"/>
    <w:tmpl w:val="FF7A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B125B"/>
    <w:multiLevelType w:val="multilevel"/>
    <w:tmpl w:val="CF8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9F34DD"/>
    <w:multiLevelType w:val="multilevel"/>
    <w:tmpl w:val="65D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6D0ED2"/>
    <w:multiLevelType w:val="multilevel"/>
    <w:tmpl w:val="71A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5"/>
    <w:lvlOverride w:ilvl="0"/>
    <w:lvlOverride w:ilvl="1"/>
    <w:lvlOverride w:ilvl="2"/>
    <w:lvlOverride w:ilvl="3"/>
    <w:lvlOverride w:ilvl="4"/>
    <w:lvlOverride w:ilvl="5"/>
    <w:lvlOverride w:ilvl="6"/>
    <w:lvlOverride w:ilvl="7"/>
    <w:lvlOverride w:ilvl="8"/>
  </w:num>
  <w:num w:numId="4">
    <w:abstractNumId w:val="32"/>
  </w:num>
  <w:num w:numId="5">
    <w:abstractNumId w:val="38"/>
  </w:num>
  <w:num w:numId="6">
    <w:abstractNumId w:val="21"/>
  </w:num>
  <w:num w:numId="7">
    <w:abstractNumId w:val="28"/>
  </w:num>
  <w:num w:numId="8">
    <w:abstractNumId w:val="23"/>
  </w:num>
  <w:num w:numId="9">
    <w:abstractNumId w:val="37"/>
  </w:num>
  <w:num w:numId="10">
    <w:abstractNumId w:val="34"/>
  </w:num>
  <w:num w:numId="11">
    <w:abstractNumId w:val="33"/>
  </w:num>
  <w:num w:numId="12">
    <w:abstractNumId w:val="30"/>
  </w:num>
  <w:num w:numId="13">
    <w:abstractNumId w:val="4"/>
  </w:num>
  <w:num w:numId="14">
    <w:abstractNumId w:val="1"/>
  </w:num>
  <w:num w:numId="15">
    <w:abstractNumId w:val="16"/>
  </w:num>
  <w:num w:numId="16">
    <w:abstractNumId w:val="7"/>
  </w:num>
  <w:num w:numId="17">
    <w:abstractNumId w:val="14"/>
  </w:num>
  <w:num w:numId="18">
    <w:abstractNumId w:val="22"/>
  </w:num>
  <w:num w:numId="19">
    <w:abstractNumId w:val="10"/>
  </w:num>
  <w:num w:numId="20">
    <w:abstractNumId w:val="40"/>
  </w:num>
  <w:num w:numId="21">
    <w:abstractNumId w:val="27"/>
  </w:num>
  <w:num w:numId="22">
    <w:abstractNumId w:val="31"/>
  </w:num>
  <w:num w:numId="23">
    <w:abstractNumId w:val="17"/>
  </w:num>
  <w:num w:numId="24">
    <w:abstractNumId w:val="13"/>
  </w:num>
  <w:num w:numId="25">
    <w:abstractNumId w:val="9"/>
  </w:num>
  <w:num w:numId="26">
    <w:abstractNumId w:val="0"/>
  </w:num>
  <w:num w:numId="27">
    <w:abstractNumId w:val="11"/>
  </w:num>
  <w:num w:numId="28">
    <w:abstractNumId w:val="2"/>
  </w:num>
  <w:num w:numId="29">
    <w:abstractNumId w:val="19"/>
  </w:num>
  <w:num w:numId="30">
    <w:abstractNumId w:val="25"/>
  </w:num>
  <w:num w:numId="31">
    <w:abstractNumId w:val="26"/>
  </w:num>
  <w:num w:numId="32">
    <w:abstractNumId w:val="3"/>
  </w:num>
  <w:num w:numId="33">
    <w:abstractNumId w:val="18"/>
  </w:num>
  <w:num w:numId="34">
    <w:abstractNumId w:val="36"/>
  </w:num>
  <w:num w:numId="35">
    <w:abstractNumId w:val="6"/>
  </w:num>
  <w:num w:numId="36">
    <w:abstractNumId w:val="12"/>
  </w:num>
  <w:num w:numId="37">
    <w:abstractNumId w:val="35"/>
  </w:num>
  <w:num w:numId="38">
    <w:abstractNumId w:val="24"/>
  </w:num>
  <w:num w:numId="39">
    <w:abstractNumId w:val="29"/>
  </w:num>
  <w:num w:numId="40">
    <w:abstractNumId w:val="39"/>
  </w:num>
  <w:num w:numId="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925"/>
    <w:rsid w:val="00027C43"/>
    <w:rsid w:val="00065BC6"/>
    <w:rsid w:val="00132925"/>
    <w:rsid w:val="003B5BE3"/>
    <w:rsid w:val="0046308B"/>
    <w:rsid w:val="004E1CF8"/>
    <w:rsid w:val="00635235"/>
    <w:rsid w:val="0067172A"/>
    <w:rsid w:val="00675CFB"/>
    <w:rsid w:val="00724B8E"/>
    <w:rsid w:val="007B0AD6"/>
    <w:rsid w:val="007C21BB"/>
    <w:rsid w:val="008916F2"/>
    <w:rsid w:val="00A07282"/>
    <w:rsid w:val="00AE1363"/>
    <w:rsid w:val="00BD2B4F"/>
    <w:rsid w:val="00C960F4"/>
    <w:rsid w:val="00CD5A9B"/>
    <w:rsid w:val="00DD1224"/>
    <w:rsid w:val="00E75FCA"/>
    <w:rsid w:val="00E775EE"/>
    <w:rsid w:val="00EE5279"/>
    <w:rsid w:val="00EE591F"/>
    <w:rsid w:val="00F6589D"/>
    <w:rsid w:val="00FE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72ED"/>
  <w15:chartTrackingRefBased/>
  <w15:docId w15:val="{BB1872F6-99A3-4D71-9BAD-2B37D26F8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1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75F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B0A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E52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B0AD6"/>
    <w:rPr>
      <w:rFonts w:ascii="Times New Roman" w:eastAsia="Times New Roman" w:hAnsi="Times New Roman" w:cs="Times New Roman"/>
      <w:b/>
      <w:bCs/>
      <w:sz w:val="27"/>
      <w:szCs w:val="27"/>
    </w:rPr>
  </w:style>
  <w:style w:type="character" w:styleId="Strong">
    <w:name w:val="Strong"/>
    <w:basedOn w:val="DefaultParagraphFont"/>
    <w:uiPriority w:val="22"/>
    <w:qFormat/>
    <w:rsid w:val="007B0AD6"/>
    <w:rPr>
      <w:b/>
      <w:bCs/>
    </w:rPr>
  </w:style>
  <w:style w:type="paragraph" w:styleId="NormalWeb">
    <w:name w:val="Normal (Web)"/>
    <w:basedOn w:val="Normal"/>
    <w:uiPriority w:val="99"/>
    <w:semiHidden/>
    <w:unhideWhenUsed/>
    <w:rsid w:val="007B0A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E75FC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C21BB"/>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7C21BB"/>
    <w:rPr>
      <w:i/>
      <w:iCs/>
    </w:rPr>
  </w:style>
  <w:style w:type="paragraph" w:styleId="z-TopofForm">
    <w:name w:val="HTML Top of Form"/>
    <w:basedOn w:val="Normal"/>
    <w:next w:val="Normal"/>
    <w:link w:val="z-TopofFormChar"/>
    <w:hidden/>
    <w:uiPriority w:val="99"/>
    <w:semiHidden/>
    <w:unhideWhenUsed/>
    <w:rsid w:val="007C21B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C21BB"/>
    <w:rPr>
      <w:rFonts w:ascii="Arial" w:eastAsia="Times New Roman" w:hAnsi="Arial" w:cs="Arial"/>
      <w:vanish/>
      <w:sz w:val="16"/>
      <w:szCs w:val="16"/>
    </w:rPr>
  </w:style>
  <w:style w:type="paragraph" w:customStyle="1" w:styleId="placeholder">
    <w:name w:val="placeholder"/>
    <w:basedOn w:val="Normal"/>
    <w:rsid w:val="007C21BB"/>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C21B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C21BB"/>
    <w:rPr>
      <w:rFonts w:ascii="Arial" w:eastAsia="Times New Roman" w:hAnsi="Arial" w:cs="Arial"/>
      <w:vanish/>
      <w:sz w:val="16"/>
      <w:szCs w:val="16"/>
    </w:rPr>
  </w:style>
  <w:style w:type="character" w:customStyle="1" w:styleId="Heading4Char">
    <w:name w:val="Heading 4 Char"/>
    <w:basedOn w:val="DefaultParagraphFont"/>
    <w:link w:val="Heading4"/>
    <w:uiPriority w:val="9"/>
    <w:semiHidden/>
    <w:rsid w:val="00EE5279"/>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E5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5279"/>
    <w:rPr>
      <w:rFonts w:ascii="Courier New" w:eastAsia="Times New Roman" w:hAnsi="Courier New" w:cs="Courier New"/>
      <w:sz w:val="20"/>
      <w:szCs w:val="20"/>
    </w:rPr>
  </w:style>
  <w:style w:type="character" w:styleId="HTMLCode">
    <w:name w:val="HTML Code"/>
    <w:basedOn w:val="DefaultParagraphFont"/>
    <w:uiPriority w:val="99"/>
    <w:semiHidden/>
    <w:unhideWhenUsed/>
    <w:rsid w:val="00EE52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8954">
      <w:bodyDiv w:val="1"/>
      <w:marLeft w:val="0"/>
      <w:marRight w:val="0"/>
      <w:marTop w:val="0"/>
      <w:marBottom w:val="0"/>
      <w:divBdr>
        <w:top w:val="none" w:sz="0" w:space="0" w:color="auto"/>
        <w:left w:val="none" w:sz="0" w:space="0" w:color="auto"/>
        <w:bottom w:val="none" w:sz="0" w:space="0" w:color="auto"/>
        <w:right w:val="none" w:sz="0" w:space="0" w:color="auto"/>
      </w:divBdr>
    </w:div>
    <w:div w:id="373575907">
      <w:bodyDiv w:val="1"/>
      <w:marLeft w:val="0"/>
      <w:marRight w:val="0"/>
      <w:marTop w:val="0"/>
      <w:marBottom w:val="0"/>
      <w:divBdr>
        <w:top w:val="none" w:sz="0" w:space="0" w:color="auto"/>
        <w:left w:val="none" w:sz="0" w:space="0" w:color="auto"/>
        <w:bottom w:val="none" w:sz="0" w:space="0" w:color="auto"/>
        <w:right w:val="none" w:sz="0" w:space="0" w:color="auto"/>
      </w:divBdr>
    </w:div>
    <w:div w:id="497960350">
      <w:bodyDiv w:val="1"/>
      <w:marLeft w:val="0"/>
      <w:marRight w:val="0"/>
      <w:marTop w:val="0"/>
      <w:marBottom w:val="0"/>
      <w:divBdr>
        <w:top w:val="none" w:sz="0" w:space="0" w:color="auto"/>
        <w:left w:val="none" w:sz="0" w:space="0" w:color="auto"/>
        <w:bottom w:val="none" w:sz="0" w:space="0" w:color="auto"/>
        <w:right w:val="none" w:sz="0" w:space="0" w:color="auto"/>
      </w:divBdr>
    </w:div>
    <w:div w:id="517043086">
      <w:bodyDiv w:val="1"/>
      <w:marLeft w:val="0"/>
      <w:marRight w:val="0"/>
      <w:marTop w:val="0"/>
      <w:marBottom w:val="0"/>
      <w:divBdr>
        <w:top w:val="none" w:sz="0" w:space="0" w:color="auto"/>
        <w:left w:val="none" w:sz="0" w:space="0" w:color="auto"/>
        <w:bottom w:val="none" w:sz="0" w:space="0" w:color="auto"/>
        <w:right w:val="none" w:sz="0" w:space="0" w:color="auto"/>
      </w:divBdr>
    </w:div>
    <w:div w:id="542984071">
      <w:bodyDiv w:val="1"/>
      <w:marLeft w:val="0"/>
      <w:marRight w:val="0"/>
      <w:marTop w:val="0"/>
      <w:marBottom w:val="0"/>
      <w:divBdr>
        <w:top w:val="none" w:sz="0" w:space="0" w:color="auto"/>
        <w:left w:val="none" w:sz="0" w:space="0" w:color="auto"/>
        <w:bottom w:val="none" w:sz="0" w:space="0" w:color="auto"/>
        <w:right w:val="none" w:sz="0" w:space="0" w:color="auto"/>
      </w:divBdr>
    </w:div>
    <w:div w:id="625738545">
      <w:bodyDiv w:val="1"/>
      <w:marLeft w:val="0"/>
      <w:marRight w:val="0"/>
      <w:marTop w:val="0"/>
      <w:marBottom w:val="0"/>
      <w:divBdr>
        <w:top w:val="none" w:sz="0" w:space="0" w:color="auto"/>
        <w:left w:val="none" w:sz="0" w:space="0" w:color="auto"/>
        <w:bottom w:val="none" w:sz="0" w:space="0" w:color="auto"/>
        <w:right w:val="none" w:sz="0" w:space="0" w:color="auto"/>
      </w:divBdr>
    </w:div>
    <w:div w:id="765657366">
      <w:bodyDiv w:val="1"/>
      <w:marLeft w:val="0"/>
      <w:marRight w:val="0"/>
      <w:marTop w:val="0"/>
      <w:marBottom w:val="0"/>
      <w:divBdr>
        <w:top w:val="none" w:sz="0" w:space="0" w:color="auto"/>
        <w:left w:val="none" w:sz="0" w:space="0" w:color="auto"/>
        <w:bottom w:val="none" w:sz="0" w:space="0" w:color="auto"/>
        <w:right w:val="none" w:sz="0" w:space="0" w:color="auto"/>
      </w:divBdr>
    </w:div>
    <w:div w:id="794107500">
      <w:bodyDiv w:val="1"/>
      <w:marLeft w:val="0"/>
      <w:marRight w:val="0"/>
      <w:marTop w:val="0"/>
      <w:marBottom w:val="0"/>
      <w:divBdr>
        <w:top w:val="none" w:sz="0" w:space="0" w:color="auto"/>
        <w:left w:val="none" w:sz="0" w:space="0" w:color="auto"/>
        <w:bottom w:val="none" w:sz="0" w:space="0" w:color="auto"/>
        <w:right w:val="none" w:sz="0" w:space="0" w:color="auto"/>
      </w:divBdr>
    </w:div>
    <w:div w:id="885290665">
      <w:bodyDiv w:val="1"/>
      <w:marLeft w:val="0"/>
      <w:marRight w:val="0"/>
      <w:marTop w:val="0"/>
      <w:marBottom w:val="0"/>
      <w:divBdr>
        <w:top w:val="none" w:sz="0" w:space="0" w:color="auto"/>
        <w:left w:val="none" w:sz="0" w:space="0" w:color="auto"/>
        <w:bottom w:val="none" w:sz="0" w:space="0" w:color="auto"/>
        <w:right w:val="none" w:sz="0" w:space="0" w:color="auto"/>
      </w:divBdr>
    </w:div>
    <w:div w:id="887376400">
      <w:bodyDiv w:val="1"/>
      <w:marLeft w:val="0"/>
      <w:marRight w:val="0"/>
      <w:marTop w:val="0"/>
      <w:marBottom w:val="0"/>
      <w:divBdr>
        <w:top w:val="none" w:sz="0" w:space="0" w:color="auto"/>
        <w:left w:val="none" w:sz="0" w:space="0" w:color="auto"/>
        <w:bottom w:val="none" w:sz="0" w:space="0" w:color="auto"/>
        <w:right w:val="none" w:sz="0" w:space="0" w:color="auto"/>
      </w:divBdr>
    </w:div>
    <w:div w:id="979532058">
      <w:bodyDiv w:val="1"/>
      <w:marLeft w:val="0"/>
      <w:marRight w:val="0"/>
      <w:marTop w:val="0"/>
      <w:marBottom w:val="0"/>
      <w:divBdr>
        <w:top w:val="none" w:sz="0" w:space="0" w:color="auto"/>
        <w:left w:val="none" w:sz="0" w:space="0" w:color="auto"/>
        <w:bottom w:val="none" w:sz="0" w:space="0" w:color="auto"/>
        <w:right w:val="none" w:sz="0" w:space="0" w:color="auto"/>
      </w:divBdr>
    </w:div>
    <w:div w:id="990140051">
      <w:bodyDiv w:val="1"/>
      <w:marLeft w:val="0"/>
      <w:marRight w:val="0"/>
      <w:marTop w:val="0"/>
      <w:marBottom w:val="0"/>
      <w:divBdr>
        <w:top w:val="none" w:sz="0" w:space="0" w:color="auto"/>
        <w:left w:val="none" w:sz="0" w:space="0" w:color="auto"/>
        <w:bottom w:val="none" w:sz="0" w:space="0" w:color="auto"/>
        <w:right w:val="none" w:sz="0" w:space="0" w:color="auto"/>
      </w:divBdr>
    </w:div>
    <w:div w:id="1092047034">
      <w:bodyDiv w:val="1"/>
      <w:marLeft w:val="0"/>
      <w:marRight w:val="0"/>
      <w:marTop w:val="0"/>
      <w:marBottom w:val="0"/>
      <w:divBdr>
        <w:top w:val="none" w:sz="0" w:space="0" w:color="auto"/>
        <w:left w:val="none" w:sz="0" w:space="0" w:color="auto"/>
        <w:bottom w:val="none" w:sz="0" w:space="0" w:color="auto"/>
        <w:right w:val="none" w:sz="0" w:space="0" w:color="auto"/>
      </w:divBdr>
    </w:div>
    <w:div w:id="1098331802">
      <w:bodyDiv w:val="1"/>
      <w:marLeft w:val="0"/>
      <w:marRight w:val="0"/>
      <w:marTop w:val="0"/>
      <w:marBottom w:val="0"/>
      <w:divBdr>
        <w:top w:val="none" w:sz="0" w:space="0" w:color="auto"/>
        <w:left w:val="none" w:sz="0" w:space="0" w:color="auto"/>
        <w:bottom w:val="none" w:sz="0" w:space="0" w:color="auto"/>
        <w:right w:val="none" w:sz="0" w:space="0" w:color="auto"/>
      </w:divBdr>
    </w:div>
    <w:div w:id="1111628024">
      <w:bodyDiv w:val="1"/>
      <w:marLeft w:val="0"/>
      <w:marRight w:val="0"/>
      <w:marTop w:val="0"/>
      <w:marBottom w:val="0"/>
      <w:divBdr>
        <w:top w:val="none" w:sz="0" w:space="0" w:color="auto"/>
        <w:left w:val="none" w:sz="0" w:space="0" w:color="auto"/>
        <w:bottom w:val="none" w:sz="0" w:space="0" w:color="auto"/>
        <w:right w:val="none" w:sz="0" w:space="0" w:color="auto"/>
      </w:divBdr>
      <w:divsChild>
        <w:div w:id="1340425201">
          <w:marLeft w:val="0"/>
          <w:marRight w:val="0"/>
          <w:marTop w:val="0"/>
          <w:marBottom w:val="0"/>
          <w:divBdr>
            <w:top w:val="none" w:sz="0" w:space="0" w:color="auto"/>
            <w:left w:val="none" w:sz="0" w:space="0" w:color="auto"/>
            <w:bottom w:val="none" w:sz="0" w:space="0" w:color="auto"/>
            <w:right w:val="none" w:sz="0" w:space="0" w:color="auto"/>
          </w:divBdr>
          <w:divsChild>
            <w:div w:id="20206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72430">
      <w:bodyDiv w:val="1"/>
      <w:marLeft w:val="0"/>
      <w:marRight w:val="0"/>
      <w:marTop w:val="0"/>
      <w:marBottom w:val="0"/>
      <w:divBdr>
        <w:top w:val="none" w:sz="0" w:space="0" w:color="auto"/>
        <w:left w:val="none" w:sz="0" w:space="0" w:color="auto"/>
        <w:bottom w:val="none" w:sz="0" w:space="0" w:color="auto"/>
        <w:right w:val="none" w:sz="0" w:space="0" w:color="auto"/>
      </w:divBdr>
    </w:div>
    <w:div w:id="1222134213">
      <w:bodyDiv w:val="1"/>
      <w:marLeft w:val="0"/>
      <w:marRight w:val="0"/>
      <w:marTop w:val="0"/>
      <w:marBottom w:val="0"/>
      <w:divBdr>
        <w:top w:val="none" w:sz="0" w:space="0" w:color="auto"/>
        <w:left w:val="none" w:sz="0" w:space="0" w:color="auto"/>
        <w:bottom w:val="none" w:sz="0" w:space="0" w:color="auto"/>
        <w:right w:val="none" w:sz="0" w:space="0" w:color="auto"/>
      </w:divBdr>
    </w:div>
    <w:div w:id="1236890119">
      <w:bodyDiv w:val="1"/>
      <w:marLeft w:val="0"/>
      <w:marRight w:val="0"/>
      <w:marTop w:val="0"/>
      <w:marBottom w:val="0"/>
      <w:divBdr>
        <w:top w:val="none" w:sz="0" w:space="0" w:color="auto"/>
        <w:left w:val="none" w:sz="0" w:space="0" w:color="auto"/>
        <w:bottom w:val="none" w:sz="0" w:space="0" w:color="auto"/>
        <w:right w:val="none" w:sz="0" w:space="0" w:color="auto"/>
      </w:divBdr>
      <w:divsChild>
        <w:div w:id="1064520970">
          <w:marLeft w:val="0"/>
          <w:marRight w:val="0"/>
          <w:marTop w:val="0"/>
          <w:marBottom w:val="0"/>
          <w:divBdr>
            <w:top w:val="none" w:sz="0" w:space="0" w:color="auto"/>
            <w:left w:val="none" w:sz="0" w:space="0" w:color="auto"/>
            <w:bottom w:val="none" w:sz="0" w:space="0" w:color="auto"/>
            <w:right w:val="none" w:sz="0" w:space="0" w:color="auto"/>
          </w:divBdr>
          <w:divsChild>
            <w:div w:id="502860082">
              <w:marLeft w:val="0"/>
              <w:marRight w:val="0"/>
              <w:marTop w:val="0"/>
              <w:marBottom w:val="0"/>
              <w:divBdr>
                <w:top w:val="none" w:sz="0" w:space="0" w:color="auto"/>
                <w:left w:val="none" w:sz="0" w:space="0" w:color="auto"/>
                <w:bottom w:val="none" w:sz="0" w:space="0" w:color="auto"/>
                <w:right w:val="none" w:sz="0" w:space="0" w:color="auto"/>
              </w:divBdr>
              <w:divsChild>
                <w:div w:id="1372462907">
                  <w:marLeft w:val="0"/>
                  <w:marRight w:val="0"/>
                  <w:marTop w:val="0"/>
                  <w:marBottom w:val="0"/>
                  <w:divBdr>
                    <w:top w:val="none" w:sz="0" w:space="0" w:color="auto"/>
                    <w:left w:val="none" w:sz="0" w:space="0" w:color="auto"/>
                    <w:bottom w:val="none" w:sz="0" w:space="0" w:color="auto"/>
                    <w:right w:val="none" w:sz="0" w:space="0" w:color="auto"/>
                  </w:divBdr>
                  <w:divsChild>
                    <w:div w:id="987589058">
                      <w:marLeft w:val="0"/>
                      <w:marRight w:val="0"/>
                      <w:marTop w:val="0"/>
                      <w:marBottom w:val="0"/>
                      <w:divBdr>
                        <w:top w:val="none" w:sz="0" w:space="0" w:color="auto"/>
                        <w:left w:val="none" w:sz="0" w:space="0" w:color="auto"/>
                        <w:bottom w:val="none" w:sz="0" w:space="0" w:color="auto"/>
                        <w:right w:val="none" w:sz="0" w:space="0" w:color="auto"/>
                      </w:divBdr>
                      <w:divsChild>
                        <w:div w:id="1354917416">
                          <w:marLeft w:val="0"/>
                          <w:marRight w:val="0"/>
                          <w:marTop w:val="0"/>
                          <w:marBottom w:val="0"/>
                          <w:divBdr>
                            <w:top w:val="none" w:sz="0" w:space="0" w:color="auto"/>
                            <w:left w:val="none" w:sz="0" w:space="0" w:color="auto"/>
                            <w:bottom w:val="none" w:sz="0" w:space="0" w:color="auto"/>
                            <w:right w:val="none" w:sz="0" w:space="0" w:color="auto"/>
                          </w:divBdr>
                          <w:divsChild>
                            <w:div w:id="2016296266">
                              <w:marLeft w:val="0"/>
                              <w:marRight w:val="0"/>
                              <w:marTop w:val="0"/>
                              <w:marBottom w:val="0"/>
                              <w:divBdr>
                                <w:top w:val="none" w:sz="0" w:space="0" w:color="auto"/>
                                <w:left w:val="none" w:sz="0" w:space="0" w:color="auto"/>
                                <w:bottom w:val="none" w:sz="0" w:space="0" w:color="auto"/>
                                <w:right w:val="none" w:sz="0" w:space="0" w:color="auto"/>
                              </w:divBdr>
                              <w:divsChild>
                                <w:div w:id="2040350705">
                                  <w:marLeft w:val="0"/>
                                  <w:marRight w:val="0"/>
                                  <w:marTop w:val="0"/>
                                  <w:marBottom w:val="0"/>
                                  <w:divBdr>
                                    <w:top w:val="none" w:sz="0" w:space="0" w:color="auto"/>
                                    <w:left w:val="none" w:sz="0" w:space="0" w:color="auto"/>
                                    <w:bottom w:val="none" w:sz="0" w:space="0" w:color="auto"/>
                                    <w:right w:val="none" w:sz="0" w:space="0" w:color="auto"/>
                                  </w:divBdr>
                                  <w:divsChild>
                                    <w:div w:id="4513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282293">
          <w:marLeft w:val="0"/>
          <w:marRight w:val="0"/>
          <w:marTop w:val="0"/>
          <w:marBottom w:val="0"/>
          <w:divBdr>
            <w:top w:val="none" w:sz="0" w:space="0" w:color="auto"/>
            <w:left w:val="none" w:sz="0" w:space="0" w:color="auto"/>
            <w:bottom w:val="none" w:sz="0" w:space="0" w:color="auto"/>
            <w:right w:val="none" w:sz="0" w:space="0" w:color="auto"/>
          </w:divBdr>
          <w:divsChild>
            <w:div w:id="1808232357">
              <w:marLeft w:val="0"/>
              <w:marRight w:val="0"/>
              <w:marTop w:val="0"/>
              <w:marBottom w:val="0"/>
              <w:divBdr>
                <w:top w:val="none" w:sz="0" w:space="0" w:color="auto"/>
                <w:left w:val="none" w:sz="0" w:space="0" w:color="auto"/>
                <w:bottom w:val="none" w:sz="0" w:space="0" w:color="auto"/>
                <w:right w:val="none" w:sz="0" w:space="0" w:color="auto"/>
              </w:divBdr>
              <w:divsChild>
                <w:div w:id="373622077">
                  <w:marLeft w:val="0"/>
                  <w:marRight w:val="0"/>
                  <w:marTop w:val="0"/>
                  <w:marBottom w:val="0"/>
                  <w:divBdr>
                    <w:top w:val="none" w:sz="0" w:space="0" w:color="auto"/>
                    <w:left w:val="none" w:sz="0" w:space="0" w:color="auto"/>
                    <w:bottom w:val="none" w:sz="0" w:space="0" w:color="auto"/>
                    <w:right w:val="none" w:sz="0" w:space="0" w:color="auto"/>
                  </w:divBdr>
                  <w:divsChild>
                    <w:div w:id="1079399320">
                      <w:marLeft w:val="0"/>
                      <w:marRight w:val="0"/>
                      <w:marTop w:val="0"/>
                      <w:marBottom w:val="0"/>
                      <w:divBdr>
                        <w:top w:val="none" w:sz="0" w:space="0" w:color="auto"/>
                        <w:left w:val="none" w:sz="0" w:space="0" w:color="auto"/>
                        <w:bottom w:val="none" w:sz="0" w:space="0" w:color="auto"/>
                        <w:right w:val="none" w:sz="0" w:space="0" w:color="auto"/>
                      </w:divBdr>
                      <w:divsChild>
                        <w:div w:id="196625061">
                          <w:marLeft w:val="0"/>
                          <w:marRight w:val="0"/>
                          <w:marTop w:val="0"/>
                          <w:marBottom w:val="0"/>
                          <w:divBdr>
                            <w:top w:val="none" w:sz="0" w:space="0" w:color="auto"/>
                            <w:left w:val="none" w:sz="0" w:space="0" w:color="auto"/>
                            <w:bottom w:val="none" w:sz="0" w:space="0" w:color="auto"/>
                            <w:right w:val="none" w:sz="0" w:space="0" w:color="auto"/>
                          </w:divBdr>
                          <w:divsChild>
                            <w:div w:id="1889413944">
                              <w:marLeft w:val="0"/>
                              <w:marRight w:val="0"/>
                              <w:marTop w:val="0"/>
                              <w:marBottom w:val="0"/>
                              <w:divBdr>
                                <w:top w:val="none" w:sz="0" w:space="0" w:color="auto"/>
                                <w:left w:val="none" w:sz="0" w:space="0" w:color="auto"/>
                                <w:bottom w:val="none" w:sz="0" w:space="0" w:color="auto"/>
                                <w:right w:val="none" w:sz="0" w:space="0" w:color="auto"/>
                              </w:divBdr>
                              <w:divsChild>
                                <w:div w:id="1675180896">
                                  <w:marLeft w:val="0"/>
                                  <w:marRight w:val="0"/>
                                  <w:marTop w:val="0"/>
                                  <w:marBottom w:val="0"/>
                                  <w:divBdr>
                                    <w:top w:val="none" w:sz="0" w:space="0" w:color="auto"/>
                                    <w:left w:val="none" w:sz="0" w:space="0" w:color="auto"/>
                                    <w:bottom w:val="none" w:sz="0" w:space="0" w:color="auto"/>
                                    <w:right w:val="none" w:sz="0" w:space="0" w:color="auto"/>
                                  </w:divBdr>
                                  <w:divsChild>
                                    <w:div w:id="1227104781">
                                      <w:marLeft w:val="0"/>
                                      <w:marRight w:val="0"/>
                                      <w:marTop w:val="0"/>
                                      <w:marBottom w:val="0"/>
                                      <w:divBdr>
                                        <w:top w:val="none" w:sz="0" w:space="0" w:color="auto"/>
                                        <w:left w:val="none" w:sz="0" w:space="0" w:color="auto"/>
                                        <w:bottom w:val="none" w:sz="0" w:space="0" w:color="auto"/>
                                        <w:right w:val="none" w:sz="0" w:space="0" w:color="auto"/>
                                      </w:divBdr>
                                      <w:divsChild>
                                        <w:div w:id="1077215267">
                                          <w:marLeft w:val="0"/>
                                          <w:marRight w:val="0"/>
                                          <w:marTop w:val="0"/>
                                          <w:marBottom w:val="0"/>
                                          <w:divBdr>
                                            <w:top w:val="none" w:sz="0" w:space="0" w:color="auto"/>
                                            <w:left w:val="none" w:sz="0" w:space="0" w:color="auto"/>
                                            <w:bottom w:val="none" w:sz="0" w:space="0" w:color="auto"/>
                                            <w:right w:val="none" w:sz="0" w:space="0" w:color="auto"/>
                                          </w:divBdr>
                                          <w:divsChild>
                                            <w:div w:id="45098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9819033">
      <w:bodyDiv w:val="1"/>
      <w:marLeft w:val="0"/>
      <w:marRight w:val="0"/>
      <w:marTop w:val="0"/>
      <w:marBottom w:val="0"/>
      <w:divBdr>
        <w:top w:val="none" w:sz="0" w:space="0" w:color="auto"/>
        <w:left w:val="none" w:sz="0" w:space="0" w:color="auto"/>
        <w:bottom w:val="none" w:sz="0" w:space="0" w:color="auto"/>
        <w:right w:val="none" w:sz="0" w:space="0" w:color="auto"/>
      </w:divBdr>
      <w:divsChild>
        <w:div w:id="940455497">
          <w:marLeft w:val="0"/>
          <w:marRight w:val="0"/>
          <w:marTop w:val="0"/>
          <w:marBottom w:val="0"/>
          <w:divBdr>
            <w:top w:val="none" w:sz="0" w:space="0" w:color="auto"/>
            <w:left w:val="none" w:sz="0" w:space="0" w:color="auto"/>
            <w:bottom w:val="none" w:sz="0" w:space="0" w:color="auto"/>
            <w:right w:val="none" w:sz="0" w:space="0" w:color="auto"/>
          </w:divBdr>
          <w:divsChild>
            <w:div w:id="1009867373">
              <w:marLeft w:val="0"/>
              <w:marRight w:val="0"/>
              <w:marTop w:val="0"/>
              <w:marBottom w:val="0"/>
              <w:divBdr>
                <w:top w:val="none" w:sz="0" w:space="0" w:color="auto"/>
                <w:left w:val="none" w:sz="0" w:space="0" w:color="auto"/>
                <w:bottom w:val="none" w:sz="0" w:space="0" w:color="auto"/>
                <w:right w:val="none" w:sz="0" w:space="0" w:color="auto"/>
              </w:divBdr>
              <w:divsChild>
                <w:div w:id="1451247429">
                  <w:marLeft w:val="0"/>
                  <w:marRight w:val="0"/>
                  <w:marTop w:val="0"/>
                  <w:marBottom w:val="0"/>
                  <w:divBdr>
                    <w:top w:val="none" w:sz="0" w:space="0" w:color="auto"/>
                    <w:left w:val="none" w:sz="0" w:space="0" w:color="auto"/>
                    <w:bottom w:val="none" w:sz="0" w:space="0" w:color="auto"/>
                    <w:right w:val="none" w:sz="0" w:space="0" w:color="auto"/>
                  </w:divBdr>
                  <w:divsChild>
                    <w:div w:id="642613162">
                      <w:marLeft w:val="0"/>
                      <w:marRight w:val="0"/>
                      <w:marTop w:val="0"/>
                      <w:marBottom w:val="0"/>
                      <w:divBdr>
                        <w:top w:val="none" w:sz="0" w:space="0" w:color="auto"/>
                        <w:left w:val="none" w:sz="0" w:space="0" w:color="auto"/>
                        <w:bottom w:val="none" w:sz="0" w:space="0" w:color="auto"/>
                        <w:right w:val="none" w:sz="0" w:space="0" w:color="auto"/>
                      </w:divBdr>
                      <w:divsChild>
                        <w:div w:id="1464157517">
                          <w:marLeft w:val="0"/>
                          <w:marRight w:val="0"/>
                          <w:marTop w:val="0"/>
                          <w:marBottom w:val="0"/>
                          <w:divBdr>
                            <w:top w:val="none" w:sz="0" w:space="0" w:color="auto"/>
                            <w:left w:val="none" w:sz="0" w:space="0" w:color="auto"/>
                            <w:bottom w:val="none" w:sz="0" w:space="0" w:color="auto"/>
                            <w:right w:val="none" w:sz="0" w:space="0" w:color="auto"/>
                          </w:divBdr>
                          <w:divsChild>
                            <w:div w:id="1068259970">
                              <w:marLeft w:val="0"/>
                              <w:marRight w:val="0"/>
                              <w:marTop w:val="0"/>
                              <w:marBottom w:val="0"/>
                              <w:divBdr>
                                <w:top w:val="none" w:sz="0" w:space="0" w:color="auto"/>
                                <w:left w:val="none" w:sz="0" w:space="0" w:color="auto"/>
                                <w:bottom w:val="none" w:sz="0" w:space="0" w:color="auto"/>
                                <w:right w:val="none" w:sz="0" w:space="0" w:color="auto"/>
                              </w:divBdr>
                              <w:divsChild>
                                <w:div w:id="1313102632">
                                  <w:marLeft w:val="0"/>
                                  <w:marRight w:val="0"/>
                                  <w:marTop w:val="0"/>
                                  <w:marBottom w:val="0"/>
                                  <w:divBdr>
                                    <w:top w:val="none" w:sz="0" w:space="0" w:color="auto"/>
                                    <w:left w:val="none" w:sz="0" w:space="0" w:color="auto"/>
                                    <w:bottom w:val="none" w:sz="0" w:space="0" w:color="auto"/>
                                    <w:right w:val="none" w:sz="0" w:space="0" w:color="auto"/>
                                  </w:divBdr>
                                  <w:divsChild>
                                    <w:div w:id="9658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666032">
          <w:marLeft w:val="0"/>
          <w:marRight w:val="0"/>
          <w:marTop w:val="0"/>
          <w:marBottom w:val="0"/>
          <w:divBdr>
            <w:top w:val="none" w:sz="0" w:space="0" w:color="auto"/>
            <w:left w:val="none" w:sz="0" w:space="0" w:color="auto"/>
            <w:bottom w:val="none" w:sz="0" w:space="0" w:color="auto"/>
            <w:right w:val="none" w:sz="0" w:space="0" w:color="auto"/>
          </w:divBdr>
          <w:divsChild>
            <w:div w:id="478032600">
              <w:marLeft w:val="0"/>
              <w:marRight w:val="0"/>
              <w:marTop w:val="0"/>
              <w:marBottom w:val="0"/>
              <w:divBdr>
                <w:top w:val="none" w:sz="0" w:space="0" w:color="auto"/>
                <w:left w:val="none" w:sz="0" w:space="0" w:color="auto"/>
                <w:bottom w:val="none" w:sz="0" w:space="0" w:color="auto"/>
                <w:right w:val="none" w:sz="0" w:space="0" w:color="auto"/>
              </w:divBdr>
              <w:divsChild>
                <w:div w:id="8607103">
                  <w:marLeft w:val="0"/>
                  <w:marRight w:val="0"/>
                  <w:marTop w:val="0"/>
                  <w:marBottom w:val="0"/>
                  <w:divBdr>
                    <w:top w:val="none" w:sz="0" w:space="0" w:color="auto"/>
                    <w:left w:val="none" w:sz="0" w:space="0" w:color="auto"/>
                    <w:bottom w:val="none" w:sz="0" w:space="0" w:color="auto"/>
                    <w:right w:val="none" w:sz="0" w:space="0" w:color="auto"/>
                  </w:divBdr>
                  <w:divsChild>
                    <w:div w:id="1632250783">
                      <w:marLeft w:val="0"/>
                      <w:marRight w:val="0"/>
                      <w:marTop w:val="0"/>
                      <w:marBottom w:val="0"/>
                      <w:divBdr>
                        <w:top w:val="none" w:sz="0" w:space="0" w:color="auto"/>
                        <w:left w:val="none" w:sz="0" w:space="0" w:color="auto"/>
                        <w:bottom w:val="none" w:sz="0" w:space="0" w:color="auto"/>
                        <w:right w:val="none" w:sz="0" w:space="0" w:color="auto"/>
                      </w:divBdr>
                      <w:divsChild>
                        <w:div w:id="1541480963">
                          <w:marLeft w:val="0"/>
                          <w:marRight w:val="0"/>
                          <w:marTop w:val="0"/>
                          <w:marBottom w:val="0"/>
                          <w:divBdr>
                            <w:top w:val="none" w:sz="0" w:space="0" w:color="auto"/>
                            <w:left w:val="none" w:sz="0" w:space="0" w:color="auto"/>
                            <w:bottom w:val="none" w:sz="0" w:space="0" w:color="auto"/>
                            <w:right w:val="none" w:sz="0" w:space="0" w:color="auto"/>
                          </w:divBdr>
                          <w:divsChild>
                            <w:div w:id="1241283261">
                              <w:marLeft w:val="0"/>
                              <w:marRight w:val="0"/>
                              <w:marTop w:val="0"/>
                              <w:marBottom w:val="0"/>
                              <w:divBdr>
                                <w:top w:val="none" w:sz="0" w:space="0" w:color="auto"/>
                                <w:left w:val="none" w:sz="0" w:space="0" w:color="auto"/>
                                <w:bottom w:val="none" w:sz="0" w:space="0" w:color="auto"/>
                                <w:right w:val="none" w:sz="0" w:space="0" w:color="auto"/>
                              </w:divBdr>
                              <w:divsChild>
                                <w:div w:id="2048598627">
                                  <w:marLeft w:val="0"/>
                                  <w:marRight w:val="0"/>
                                  <w:marTop w:val="0"/>
                                  <w:marBottom w:val="0"/>
                                  <w:divBdr>
                                    <w:top w:val="none" w:sz="0" w:space="0" w:color="auto"/>
                                    <w:left w:val="none" w:sz="0" w:space="0" w:color="auto"/>
                                    <w:bottom w:val="none" w:sz="0" w:space="0" w:color="auto"/>
                                    <w:right w:val="none" w:sz="0" w:space="0" w:color="auto"/>
                                  </w:divBdr>
                                  <w:divsChild>
                                    <w:div w:id="551427507">
                                      <w:marLeft w:val="0"/>
                                      <w:marRight w:val="0"/>
                                      <w:marTop w:val="0"/>
                                      <w:marBottom w:val="0"/>
                                      <w:divBdr>
                                        <w:top w:val="none" w:sz="0" w:space="0" w:color="auto"/>
                                        <w:left w:val="none" w:sz="0" w:space="0" w:color="auto"/>
                                        <w:bottom w:val="none" w:sz="0" w:space="0" w:color="auto"/>
                                        <w:right w:val="none" w:sz="0" w:space="0" w:color="auto"/>
                                      </w:divBdr>
                                      <w:divsChild>
                                        <w:div w:id="673143488">
                                          <w:marLeft w:val="0"/>
                                          <w:marRight w:val="0"/>
                                          <w:marTop w:val="0"/>
                                          <w:marBottom w:val="0"/>
                                          <w:divBdr>
                                            <w:top w:val="none" w:sz="0" w:space="0" w:color="auto"/>
                                            <w:left w:val="none" w:sz="0" w:space="0" w:color="auto"/>
                                            <w:bottom w:val="none" w:sz="0" w:space="0" w:color="auto"/>
                                            <w:right w:val="none" w:sz="0" w:space="0" w:color="auto"/>
                                          </w:divBdr>
                                          <w:divsChild>
                                            <w:div w:id="78573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8535540">
      <w:bodyDiv w:val="1"/>
      <w:marLeft w:val="0"/>
      <w:marRight w:val="0"/>
      <w:marTop w:val="0"/>
      <w:marBottom w:val="0"/>
      <w:divBdr>
        <w:top w:val="none" w:sz="0" w:space="0" w:color="auto"/>
        <w:left w:val="none" w:sz="0" w:space="0" w:color="auto"/>
        <w:bottom w:val="none" w:sz="0" w:space="0" w:color="auto"/>
        <w:right w:val="none" w:sz="0" w:space="0" w:color="auto"/>
      </w:divBdr>
      <w:divsChild>
        <w:div w:id="1907645263">
          <w:marLeft w:val="0"/>
          <w:marRight w:val="0"/>
          <w:marTop w:val="0"/>
          <w:marBottom w:val="0"/>
          <w:divBdr>
            <w:top w:val="none" w:sz="0" w:space="0" w:color="auto"/>
            <w:left w:val="none" w:sz="0" w:space="0" w:color="auto"/>
            <w:bottom w:val="none" w:sz="0" w:space="0" w:color="auto"/>
            <w:right w:val="none" w:sz="0" w:space="0" w:color="auto"/>
          </w:divBdr>
          <w:divsChild>
            <w:div w:id="138656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1137">
      <w:bodyDiv w:val="1"/>
      <w:marLeft w:val="0"/>
      <w:marRight w:val="0"/>
      <w:marTop w:val="0"/>
      <w:marBottom w:val="0"/>
      <w:divBdr>
        <w:top w:val="none" w:sz="0" w:space="0" w:color="auto"/>
        <w:left w:val="none" w:sz="0" w:space="0" w:color="auto"/>
        <w:bottom w:val="none" w:sz="0" w:space="0" w:color="auto"/>
        <w:right w:val="none" w:sz="0" w:space="0" w:color="auto"/>
      </w:divBdr>
    </w:div>
    <w:div w:id="1575430840">
      <w:bodyDiv w:val="1"/>
      <w:marLeft w:val="0"/>
      <w:marRight w:val="0"/>
      <w:marTop w:val="0"/>
      <w:marBottom w:val="0"/>
      <w:divBdr>
        <w:top w:val="none" w:sz="0" w:space="0" w:color="auto"/>
        <w:left w:val="none" w:sz="0" w:space="0" w:color="auto"/>
        <w:bottom w:val="none" w:sz="0" w:space="0" w:color="auto"/>
        <w:right w:val="none" w:sz="0" w:space="0" w:color="auto"/>
      </w:divBdr>
    </w:div>
    <w:div w:id="1697273970">
      <w:bodyDiv w:val="1"/>
      <w:marLeft w:val="0"/>
      <w:marRight w:val="0"/>
      <w:marTop w:val="0"/>
      <w:marBottom w:val="0"/>
      <w:divBdr>
        <w:top w:val="none" w:sz="0" w:space="0" w:color="auto"/>
        <w:left w:val="none" w:sz="0" w:space="0" w:color="auto"/>
        <w:bottom w:val="none" w:sz="0" w:space="0" w:color="auto"/>
        <w:right w:val="none" w:sz="0" w:space="0" w:color="auto"/>
      </w:divBdr>
    </w:div>
    <w:div w:id="1977951399">
      <w:bodyDiv w:val="1"/>
      <w:marLeft w:val="0"/>
      <w:marRight w:val="0"/>
      <w:marTop w:val="0"/>
      <w:marBottom w:val="0"/>
      <w:divBdr>
        <w:top w:val="none" w:sz="0" w:space="0" w:color="auto"/>
        <w:left w:val="none" w:sz="0" w:space="0" w:color="auto"/>
        <w:bottom w:val="none" w:sz="0" w:space="0" w:color="auto"/>
        <w:right w:val="none" w:sz="0" w:space="0" w:color="auto"/>
      </w:divBdr>
      <w:divsChild>
        <w:div w:id="1024212303">
          <w:marLeft w:val="0"/>
          <w:marRight w:val="0"/>
          <w:marTop w:val="0"/>
          <w:marBottom w:val="0"/>
          <w:divBdr>
            <w:top w:val="none" w:sz="0" w:space="0" w:color="auto"/>
            <w:left w:val="none" w:sz="0" w:space="0" w:color="auto"/>
            <w:bottom w:val="none" w:sz="0" w:space="0" w:color="auto"/>
            <w:right w:val="none" w:sz="0" w:space="0" w:color="auto"/>
          </w:divBdr>
          <w:divsChild>
            <w:div w:id="67110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3598">
      <w:bodyDiv w:val="1"/>
      <w:marLeft w:val="0"/>
      <w:marRight w:val="0"/>
      <w:marTop w:val="0"/>
      <w:marBottom w:val="0"/>
      <w:divBdr>
        <w:top w:val="none" w:sz="0" w:space="0" w:color="auto"/>
        <w:left w:val="none" w:sz="0" w:space="0" w:color="auto"/>
        <w:bottom w:val="none" w:sz="0" w:space="0" w:color="auto"/>
        <w:right w:val="none" w:sz="0" w:space="0" w:color="auto"/>
      </w:divBdr>
      <w:divsChild>
        <w:div w:id="1632056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21</Pages>
  <Words>3235</Words>
  <Characters>18441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Nishanthi</dc:creator>
  <cp:keywords/>
  <dc:description/>
  <cp:lastModifiedBy>Nishanthi</cp:lastModifiedBy>
  <cp:revision>1</cp:revision>
  <dcterms:created xsi:type="dcterms:W3CDTF">2025-12-27T09:05:00Z</dcterms:created>
  <dcterms:modified xsi:type="dcterms:W3CDTF">2025-12-27T11:58:00Z</dcterms:modified>
</cp:coreProperties>
</file>