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A2B2B"/>
          <w:sz w:val="26"/>
          <w:szCs w:val="26"/>
        </w:rPr>
        <w:t xml:space="preserve">VANTAGE RETAIL — ENGINEERING</w:t>
      </w:r>
    </w:p>
    <w:p>
      <w:pPr>
        <w:spacing w:after="60"/>
      </w:pPr>
      <w:r>
        <w:rPr>
          <w:b/>
          <w:bCs/>
          <w:color w:val="1B2B3A"/>
          <w:sz w:val="38"/>
          <w:szCs w:val="38"/>
        </w:rPr>
        <w:t xml:space="preserve">NFR &amp; Security Addendum</w:t>
      </w:r>
    </w:p>
    <w:p>
      <w:pPr>
        <w:spacing w:after="30"/>
      </w:pPr>
      <w:r>
        <w:rPr>
          <w:sz w:val="22"/>
          <w:szCs w:val="22"/>
        </w:rPr>
        <w:t xml:space="preserve">Project Horizon — the non-functional requirements the BRD deliberately left out</w:t>
      </w:r>
    </w:p>
    <w:p>
      <w:pPr>
        <w:spacing w:after="200"/>
      </w:pPr>
      <w:r>
        <w:rPr>
          <w:i/>
          <w:iCs/>
          <w:color w:val="6B6B6B"/>
          <w:sz w:val="20"/>
          <w:szCs w:val="20"/>
        </w:rPr>
        <w:t xml:space="preserve">v0.1  —  Dev Prasad (Eng Lead), with CommerceForge  —  16 February 2026</w:t>
      </w:r>
    </w:p>
    <w:p>
      <w:pPr>
        <w:pBdr>
          <w:top w:val="single" w:color="8A2B2B" w:sz="6"/>
        </w:pBdr>
        <w:spacing w:after="40"/>
      </w:pPr>
      <w:r>
        <w:t xml:space="preserve"/>
      </w:r>
    </w:p>
    <w:p>
      <w:pPr>
        <w:spacing w:after="180"/>
      </w:pPr>
      <w:r>
        <w:rPr>
          <w:sz w:val="21"/>
          <w:szCs w:val="21"/>
        </w:rPr>
        <w:t xml:space="preserve">The BRD keeps NFRs at 'fast and secure', which isn't buildable. This addendum is the actual non-functional + security spec. Payment/PCI is intentionally NOT repeated here — that's covered in the payments email thread (card data stays with the PSP, we hold only tokens/refs). Numbers marked ~ are provisional until we run a load test with CommerceForge.</w:t>
      </w:r>
    </w:p>
    <w:p>
      <w:pPr>
        <w:pStyle w:val="Heading1"/>
        <w:spacing w:after="100" w:before="240"/>
      </w:pPr>
      <w:r>
        <w:rPr>
          <w:b/>
          <w:bCs/>
          <w:color w:val="8A2B2B"/>
          <w:sz w:val="27"/>
          <w:szCs w:val="27"/>
        </w:rPr>
        <w:t xml:space="preserve">1.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000"/>
        <w:gridCol w:w="2010"/>
      </w:tblGrid>
      <w:tr>
        <w:trPr>
          <w:tblHeader/>
        </w:trPr>
        <w:tc>
          <w:tcPr>
            <w:tcW w:type="dxa" w:w="135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1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/ priority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NFR-PERF-01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Largest Contentful Paint on key pages (home, PLP, PDP) under ~2.5s at p75 on a typical 4G mobile connection.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~2.5s p75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NFR-PERF-02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 response (TTFB) for catalogue pages under ~600ms at p95, behind CDN caching for static + catalogue content.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~600ms p95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NFR-PERF-03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 / faceted-filter responses under ~800ms at p95 (ties to HRZN-10/11).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~800ms p95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NFR-PERF-04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Images served responsively and compressed (next-gen formats, lazy-loaded below the fold).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NFR-PERF-05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single API call blocks add-to-cart or checkout beyond ~1s; degrade gracefully if a non-critical service is slow.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8A2B2B"/>
          <w:sz w:val="27"/>
          <w:szCs w:val="27"/>
        </w:rPr>
        <w:t xml:space="preserve">2.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000"/>
        <w:gridCol w:w="2010"/>
      </w:tblGrid>
      <w:tr>
        <w:trPr>
          <w:tblHeader/>
        </w:trPr>
        <w:tc>
          <w:tcPr>
            <w:tcW w:type="dxa" w:w="135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1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/ priority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NFR-AVL-01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Storefront availability target ~99.9% monthly (excludes announced maintenance).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~99.9%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NFR-AVL-02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database backups at least daily; verified restore procedure. DR RPO/RTO to be set (RPO target ~24h, RTO ~4h — provisional).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 / TBD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NFR-AVL-03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Graceful degradation: if search or recommendations are down, browsing and checkout must still work.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NFR-AVL-04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 checks + alerting on error rate, latency and payment-callback failures.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8A2B2B"/>
          <w:sz w:val="27"/>
          <w:szCs w:val="27"/>
        </w:rPr>
        <w:t xml:space="preserve">3.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000"/>
        <w:gridCol w:w="2010"/>
      </w:tblGrid>
      <w:tr>
        <w:trPr>
          <w:tblHeader/>
        </w:trPr>
        <w:tc>
          <w:tcPr>
            <w:tcW w:type="dxa" w:w="135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1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/ priority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NFR-SCL-01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Handle promo/sale spikes of at least ~10x baseline traffic without manual intervention (horizontal scaling).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~10x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NFR-SCL-02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reservation + decrement must be concurrency-safe under contention (no overselling when many buy the last unit). Ties to bug HRZN-51.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NFR-SCL-03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Catalogue designed to scale to tens of thousands of SKUs without PLP/search degradation.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8A2B2B"/>
          <w:sz w:val="27"/>
          <w:szCs w:val="27"/>
        </w:rPr>
        <w:t xml:space="preserve">4. Security (non-payment)</w:t>
      </w:r>
    </w:p>
    <w:p>
      <w:pPr>
        <w:spacing w:after="90" w:line="272"/>
      </w:pPr>
      <w:r>
        <w:rPr>
          <w:sz w:val="21"/>
          <w:szCs w:val="21"/>
        </w:rPr>
        <w:t xml:space="preserve">Payment card handling stays out of scope on our side (PSP-hosted, tokenised — see payments thread). Everything else is ours: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000"/>
        <w:gridCol w:w="2010"/>
      </w:tblGrid>
      <w:tr>
        <w:trPr>
          <w:tblHeader/>
        </w:trPr>
        <w:tc>
          <w:tcPr>
            <w:tcW w:type="dxa" w:w="135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1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/ priority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NFR-SEC-01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HTTPS/TLS everywhere; HSTS enabled; no mixed content. Secure cookies (HttpOnly, Secure, SameSite).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NFR-SEC-02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Passwords stored using a strong adaptive hash (bcrypt/argon2) with per-user salt. Never plaintext, never reversible.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NFR-SEC-03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management: server-side session invalidation on logout and password change; sensible session expiry; re-auth for sensitive actions.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NFR-SEC-04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Protection against OWASP Top 10: parameterised queries (SQLi), output encoding + CSP (XSS), CSRF tokens on state-changing requests, SSRF/deserialisation checks.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NFR-SEC-05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limiting + account lockout/backoff on login, password reset, OTP and checkout to blunt brute-force and credential stuffing.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NFR-SEC-06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 mitigation (e.g. CAPTCHA/hCaptcha) on register, login, and OTP flows.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NFR-SEC-07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access control for all admin functions (implemented per HRZN-42); least privilege.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NFR-SEC-08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 of admin/staff actions (price changes, refunds, order edits, role changes) — who did what, when.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NFR-SEC-09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PII (addresses, contact, order history) encrypted at rest; access restricted and logged.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NFR-SEC-10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 (API keys, DB creds, PSP keys) in a secrets manager, never in source or client code.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NFR-SEC-11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Dependency and image vulnerability scanning in CI; timely patching of criticals.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8A2B2B"/>
          <w:sz w:val="27"/>
          <w:szCs w:val="27"/>
        </w:rPr>
        <w:t xml:space="preserve">5. Privacy &amp; data (hooks — detail owned by Legal)</w:t>
      </w:r>
    </w:p>
    <w:p>
      <w:pPr>
        <w:spacing w:after="90" w:line="272"/>
      </w:pPr>
      <w:r>
        <w:rPr>
          <w:sz w:val="21"/>
          <w:szCs w:val="21"/>
        </w:rPr>
        <w:t xml:space="preserve">The compliance/data-protection requirements (consent, retention, data-subject rights under the DPDP Act) are specified in the external counsel's compliance note. Engineering commitments to support them:</w:t>
      </w:r>
    </w:p>
    <w:p>
      <w:pPr>
        <w:pStyle w:val="ListParagraph"/>
        <w:numPr>
          <w:ilvl w:val="0"/>
          <w:numId w:val="1"/>
        </w:numPr>
        <w:spacing w:after="36" w:line="262"/>
      </w:pPr>
      <w:r>
        <w:rPr>
          <w:sz w:val="21"/>
          <w:szCs w:val="21"/>
        </w:rPr>
        <w:t xml:space="preserve">NFR-PRV-01 — Support a data-export and a data-deletion/anonymisation operation for a customer on request (can be a controlled admin action for launch).</w:t>
      </w:r>
    </w:p>
    <w:p>
      <w:pPr>
        <w:pStyle w:val="ListParagraph"/>
        <w:numPr>
          <w:ilvl w:val="0"/>
          <w:numId w:val="1"/>
        </w:numPr>
        <w:spacing w:after="36" w:line="262"/>
      </w:pPr>
      <w:r>
        <w:rPr>
          <w:sz w:val="21"/>
          <w:szCs w:val="21"/>
        </w:rPr>
        <w:t xml:space="preserve">NFR-PRV-02 — Honour retention rules: purge/anonymise PII past the retention period, while preserving tax-invoice records for the statutory period (exact durations from Legal/Finance).</w:t>
      </w:r>
    </w:p>
    <w:p>
      <w:pPr>
        <w:pStyle w:val="ListParagraph"/>
        <w:numPr>
          <w:ilvl w:val="0"/>
          <w:numId w:val="1"/>
        </w:numPr>
        <w:spacing w:after="36" w:line="262"/>
      </w:pPr>
      <w:r>
        <w:rPr>
          <w:sz w:val="21"/>
          <w:szCs w:val="21"/>
        </w:rPr>
        <w:t xml:space="preserve">NFR-PRV-03 — Record and enforce marketing-consent state per customer (so promo/marketing sends respect opt-in; transactional messages are separate).</w:t>
      </w:r>
    </w:p>
    <w:p>
      <w:pPr>
        <w:pStyle w:val="Heading1"/>
        <w:spacing w:after="100" w:before="240"/>
      </w:pPr>
      <w:r>
        <w:rPr>
          <w:b/>
          <w:bCs/>
          <w:color w:val="8A2B2B"/>
          <w:sz w:val="27"/>
          <w:szCs w:val="27"/>
        </w:rPr>
        <w:t xml:space="preserve">6. Accessibility &amp;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000"/>
        <w:gridCol w:w="2010"/>
      </w:tblGrid>
      <w:tr>
        <w:trPr>
          <w:tblHeader/>
        </w:trPr>
        <w:tc>
          <w:tcPr>
            <w:tcW w:type="dxa" w:w="135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10"/>
            <w:shd w:fill="8A2B2B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/ priority</w:t>
            </w:r>
          </w:p>
        </w:tc>
      </w:tr>
      <w:tr>
        <w:tc>
          <w:tcPr>
            <w:tcW w:type="dxa" w:w="13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NFR-ACC-01</w:t>
            </w:r>
          </w:p>
        </w:tc>
        <w:tc>
          <w:tcPr>
            <w:tcW w:type="dxa" w:w="6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Aim for WCAG 2.1 AA on core journeys (browse, PDP, cart, checkout): keyboard navigable, sufficient contrast, alt text, labelled form fields.</w:t>
            </w:r>
          </w:p>
        </w:tc>
        <w:tc>
          <w:tcPr>
            <w:tcW w:type="dxa" w:w="20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 (AA)</w:t>
            </w:r>
          </w:p>
        </w:tc>
      </w:tr>
      <w:tr>
        <w:tc>
          <w:tcPr>
            <w:tcW w:type="dxa" w:w="135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B3A"/>
                <w:sz w:val="18"/>
                <w:szCs w:val="18"/>
              </w:rPr>
              <w:t xml:space="preserve">NFR-ACC-02</w:t>
            </w:r>
          </w:p>
        </w:tc>
        <w:tc>
          <w:tcPr>
            <w:tcW w:type="dxa" w:w="600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Mobile-first responsive; support current versions of major browsers (Chrome, Safari, Firefox, Edge) on desktop + mobile.</w:t>
            </w:r>
          </w:p>
        </w:tc>
        <w:tc>
          <w:tcPr>
            <w:tcW w:type="dxa" w:w="2010"/>
            <w:shd w:fill="F2E9E9" w:color="auto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8A2B2B"/>
          <w:sz w:val="27"/>
          <w:szCs w:val="27"/>
        </w:rPr>
        <w:t xml:space="preserve">7. Observability</w:t>
      </w:r>
    </w:p>
    <w:p>
      <w:pPr>
        <w:pStyle w:val="ListParagraph"/>
        <w:numPr>
          <w:ilvl w:val="0"/>
          <w:numId w:val="1"/>
        </w:numPr>
        <w:spacing w:after="36" w:line="262"/>
      </w:pPr>
      <w:r>
        <w:rPr>
          <w:sz w:val="21"/>
          <w:szCs w:val="21"/>
        </w:rPr>
        <w:t xml:space="preserve">NFR-OBS-01 — Centralised application + error logging and metrics dashboards (latency, error rate, checkout success rate).</w:t>
      </w:r>
    </w:p>
    <w:p>
      <w:pPr>
        <w:pStyle w:val="ListParagraph"/>
        <w:numPr>
          <w:ilvl w:val="0"/>
          <w:numId w:val="1"/>
        </w:numPr>
        <w:spacing w:after="36" w:line="262"/>
      </w:pPr>
      <w:r>
        <w:rPr>
          <w:sz w:val="21"/>
          <w:szCs w:val="21"/>
        </w:rPr>
        <w:t xml:space="preserve">NFR-OBS-02 — Product/behavioural analytics instrumentation for the conversion funnel (ties to HRZN-35 and the BRD 'visibility' objective) — respecting consent.</w:t>
      </w:r>
    </w:p>
    <w:p>
      <w:pPr>
        <w:pStyle w:val="Heading1"/>
        <w:spacing w:after="100" w:before="240"/>
      </w:pPr>
      <w:r>
        <w:rPr>
          <w:b/>
          <w:bCs/>
          <w:color w:val="8A2B2B"/>
          <w:sz w:val="27"/>
          <w:szCs w:val="27"/>
        </w:rPr>
        <w:t xml:space="preserve">8. Open / to-confirm</w:t>
      </w:r>
    </w:p>
    <w:p>
      <w:pPr>
        <w:pStyle w:val="ListParagraph"/>
        <w:numPr>
          <w:ilvl w:val="0"/>
          <w:numId w:val="1"/>
        </w:numPr>
        <w:spacing w:after="36" w:line="262"/>
      </w:pPr>
      <w:r>
        <w:rPr>
          <w:sz w:val="21"/>
          <w:szCs w:val="21"/>
        </w:rPr>
        <w:t xml:space="preserve">Exact perf targets pending a load test with CommerceForge (the ~ numbers above are placeholders).</w:t>
      </w:r>
    </w:p>
    <w:p>
      <w:pPr>
        <w:pStyle w:val="ListParagraph"/>
        <w:numPr>
          <w:ilvl w:val="0"/>
          <w:numId w:val="1"/>
        </w:numPr>
        <w:spacing w:after="36" w:line="262"/>
      </w:pPr>
      <w:r>
        <w:rPr>
          <w:sz w:val="21"/>
          <w:szCs w:val="21"/>
        </w:rPr>
        <w:t xml:space="preserve">DR RPO/RTO to be signed off by Meera.</w:t>
      </w:r>
    </w:p>
    <w:p>
      <w:pPr>
        <w:pStyle w:val="ListParagraph"/>
        <w:numPr>
          <w:ilvl w:val="0"/>
          <w:numId w:val="1"/>
        </w:numPr>
        <w:spacing w:after="36" w:line="262"/>
      </w:pPr>
      <w:r>
        <w:rPr>
          <w:sz w:val="21"/>
          <w:szCs w:val="21"/>
        </w:rPr>
        <w:t xml:space="preserve">Whether bot mitigation (NFR-SEC-06) is launch or fast-follow.</w:t>
      </w:r>
    </w:p>
    <w:p>
      <w:pPr>
        <w:spacing w:before="220"/>
        <w:jc w:val="center"/>
      </w:pPr>
      <w:r>
        <w:rPr>
          <w:sz w:val="21"/>
          <w:szCs w:val="21"/>
        </w:rPr>
        <w:t xml:space="preserve">— End of addendum v0.1 —</w:t>
      </w:r>
    </w:p>
    <w:sectPr>
      <w:headerReference w:type="default" r:id="rId7"/>
      <w:footerReference w:type="default" r:id="rId8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NFR &amp; Security Addendum v0.1  |  Project Horizon  |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Vantage Retail — Engineering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Horizon - NFR &amp; Security Addendum</dc:title>
  <dc:creator>Dev Prasad</dc:creator>
  <cp:lastModifiedBy>Un-named</cp:lastModifiedBy>
  <cp:revision>1</cp:revision>
  <dcterms:created xsi:type="dcterms:W3CDTF">2026-07-14T06:45:22.018Z</dcterms:created>
  <dcterms:modified xsi:type="dcterms:W3CDTF">2026-07-14T06:45:22.018Z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