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Neural Language Models: A Comprehensive Review</w:t>
      </w:r>
    </w:p>
    <w:p>
      <w:pPr>
        <w:pStyle w:val="Subtitle"/>
      </w:pPr>
      <w:r>
        <w:t xml:space="preserve">An Examination of Architecture, Training, and Evaluation</w:t>
      </w:r>
    </w:p>
    <w:p/>
    <w:p>
      <w:pPr>
        <w:pStyle w:val="Heading1"/>
      </w:pPr>
      <w:r>
        <w:t xml:space="preserve">Introduction</w:t>
      </w:r>
    </w:p>
    <w:p>
      <w:r>
        <w:t xml:space="preserve">Over the last ten years, neural language models have completely changed the landscape of natural language processing. </w:t>
      </w:r>
      <w:r>
        <w:t xml:space="preserve">The move away from hand-crafted rules toward statistical and neural methods has unlocked performance levels that were previously unimaginable across diverse linguistic tasks.</w:t>
      </w:r>
      <w:r>
        <w:rPr>
          <w:rStyle w:val="FootnoteReference"/>
        </w:rPr>
        <w:footnoteReference w:id="1"/>
      </w:r>
    </w:p>
    <w:p>
      <w:r>
        <w:t xml:space="preserve">Early recurrent networks, though revolutionary in their day, ran into the problem of vanishing gradients, which capped their ability to capture dependencies that span many tokens. </w:t>
      </w:r>
      <w:r>
        <w:t xml:space="preserve">Introducing attention-based mechanisms solved a lot of these problems and opened the door to the transformer era.</w:t>
      </w:r>
      <w:r>
        <w:rPr>
          <w:rStyle w:val="FootnoteReference"/>
        </w:rPr>
        <w:footnoteReference w:id="2"/>
      </w:r>
    </w:p>
    <w:p>
      <w:r>
        <w:rPr>
          <w:b/>
          <w:bCs/>
        </w:rPr>
        <w:t xml:space="preserve">Scope: </w:t>
      </w:r>
      <w:r>
        <w:t xml:space="preserve">This review covers models trained between 2017 and 2024, with particular attention to encoder-decoder and decoder-only variants.</w:t>
      </w:r>
    </w:p>
    <w:p>
      <w:r>
        <w:t xml:space="preserve">The rest of this paper is laid out as follows. Section 2 sets out the background on sequence modelling. </w:t>
      </w:r>
      <w:r>
        <w:t xml:space="preserve">Section 3 covers experimental design. Section 4 presents the results. Section 5 explores implications and limitations.</w:t>
      </w:r>
    </w:p>
    <w:p>
      <w:pPr>
        <w:pStyle w:val="Heading1"/>
      </w:pPr>
      <w:r>
        <w:t xml:space="preserve">Background</w:t>
      </w:r>
    </w:p>
    <w:p>
      <w:pPr>
        <w:pStyle w:val="Heading2"/>
      </w:pPr>
      <w:r>
        <w:t xml:space="preserve">Sequence Modelling</w:t>
      </w:r>
    </w:p>
    <w:p>
      <w:r>
        <w:t xml:space="preserve">Sequence modelling refers to the problem of learning a probability distribution over sequences of discrete symbols. </w:t>
      </w:r>
      <w:r>
        <w:t xml:space="preserve">Given a vocabulary V and a token sequence x₁, x₂, …, xₙ, a language model assigns a probability p(x₁, …, xₙ) to that sequence.</w:t>
      </w:r>
      <w:r>
        <w:rPr>
          <w:rStyle w:val="FootnoteReference"/>
        </w:rPr>
        <w:footnoteReference w:id="3"/>
      </w:r>
    </w:p>
    <w:p>
      <w:r>
        <w:t xml:space="preserve">Autoregressive models decompose this joint distribution into a product of conditional terms: </w:t>
      </w:r>
      <w:r>
        <w:t xml:space="preserve">p(x₁, …, xₙ) = ∏ᵢ p(xᵢ | x₁, …, xᵢ₋₁). </w:t>
      </w:r>
      <w:r>
        <w:t xml:space="preserve">This framing supports efficient training through teacher forcing and step-by-step sampling at inference time.</w:t>
      </w:r>
    </w:p>
    <w:p>
      <w:r>
        <w:rPr>
          <w:b/>
          <w:bCs/>
        </w:rPr>
        <w:t xml:space="preserve">Key insight:</w:t>
      </w:r>
      <w:r>
        <w:t xml:space="preserve"> The attention mechanism computes a weighted sum of value vectors, where weights are derived from query-key dot products.</w:t>
      </w:r>
    </w:p>
    <w:p>
      <w:pPr>
        <w:pStyle w:val="Heading2"/>
      </w:pPr>
      <w:r>
        <w:t xml:space="preserve">Tokenisation</w:t>
      </w:r>
    </w:p>
    <w:p>
      <w:r>
        <w:t xml:space="preserve">Tokenisation choices have a major bearing on how well a model can learn and how it performs on downstream benchmarks. </w:t>
      </w:r>
      <w:r>
        <w:t xml:space="preserve">Byte-pair encoding has emerged as the go-to approach, offering a practical balance between vocabulary size and sequence length.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2"/>
        </w:numPr>
      </w:pPr>
      <w:r>
        <w:t xml:space="preserve">Character-level models: comprehensive coverage of any input, but sequences become very long.</w:t>
      </w:r>
    </w:p>
    <w:p>
      <w:pPr>
        <w:pStyle w:val="ListParagraph"/>
        <w:numPr>
          <w:ilvl w:val="0"/>
          <w:numId w:val="2"/>
        </w:numPr>
      </w:pPr>
      <w:r>
        <w:t xml:space="preserve">Word-level models: short sequences but huge vocabularies and poor handling of rare words.</w:t>
      </w:r>
    </w:p>
    <w:p>
      <w:pPr>
        <w:pStyle w:val="ListParagraph"/>
        <w:numPr>
          <w:ilvl w:val="0"/>
          <w:numId w:val="2"/>
        </w:numPr>
      </w:pPr>
      <w:r>
        <w:t xml:space="preserve">Subword methods (BPE, WordPiece, SentencePiece): the pragmatic middle ground now used by almost all large-scale systems.</w:t>
      </w:r>
    </w:p>
    <w:p>
      <w:pPr>
        <w:pStyle w:val="Heading1"/>
      </w:pPr>
      <w:r>
        <w:t xml:space="preserve">Experimental Setup</w:t>
      </w:r>
    </w:p>
    <w:p>
      <w:pPr>
        <w:pStyle w:val="Heading2"/>
      </w:pPr>
      <w:r>
        <w:t xml:space="preserve">Dataset</w:t>
      </w:r>
    </w:p>
    <w:p>
      <w:r>
        <w:t xml:space="preserve">All experiments used a carefully assembled corpus totalling 4.2 billion tokens, sourced from web crawls, book collections, and scientific literature. </w:t>
      </w:r>
      <w:r>
        <w:t xml:space="preserve">Near-duplicate documents were identified and removed via MinHash LSH, applying a Jaccard similarity threshold of 0.85.</w:t>
      </w:r>
      <w:r>
        <w:rPr>
          <w:rStyle w:val="FootnoteReference"/>
        </w:rPr>
        <w:footnoteReference w:id="4"/>
      </w:r>
    </w:p>
    <w:p>
      <w:r>
        <w:t xml:space="preserve">Ninety percent of this data formed the training set, with the remaining ten percent split evenly between validation and test partitions. </w:t>
      </w:r>
      <w:r>
        <w:t xml:space="preserve">Care was taken to balance the domain mix so no single genre dominated.</w:t>
      </w:r>
    </w:p>
    <w:p>
      <w:pPr>
        <w:jc w:val="center"/>
      </w:pPr>
      <w:r>
        <w:drawing>
          <wp:inline distT="0" distB="0" distL="0" distR="0">
            <wp:extent cx="2857500" cy="1714500"/>
            <wp:effectExtent t="0" r="0" b="0" l="0"/>
            <wp:docPr id="1" descr="Training loss curves across model size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Training loss curves across model sizes.</w:t>
      </w:r>
    </w:p>
    <w:p>
      <w:pPr>
        <w:pStyle w:val="Heading2"/>
      </w:pPr>
      <w:r>
        <w:t xml:space="preserve">Baseline Models</w:t>
      </w:r>
    </w:p>
    <w:p>
      <w:r>
        <w:t xml:space="preserve">A total of four baseline architectures were included to enable a thorough comparative analysis. </w:t>
      </w:r>
      <w:r>
        <w:t xml:space="preserve">Every baseline was trained under the same hyperparameter regime to guarantee fair comparisons across settings.</w:t>
      </w:r>
      <w:r>
        <w:rPr>
          <w:rStyle w:val="FootnoteReference"/>
        </w:rPr>
        <w:footnoteReference w:id="5"/>
      </w:r>
    </w:p>
    <w:p>
      <w:pPr>
        <w:pStyle w:val="ListParagraph"/>
        <w:numPr>
          <w:ilvl w:val="0"/>
          <w:numId w:val="3"/>
        </w:numPr>
      </w:pPr>
      <w:r>
        <w:t xml:space="preserve">Vanilla Transformer: a conventional encoder-decoder built with learned positional embeddings.</w:t>
      </w:r>
    </w:p>
    <w:p>
      <w:pPr>
        <w:pStyle w:val="ListParagraph"/>
        <w:numPr>
          <w:ilvl w:val="0"/>
          <w:numId w:val="3"/>
        </w:numPr>
      </w:pPr>
      <w:r>
        <w:t xml:space="preserve">RoBERTa-style encoder: trained with masked language modelling and dynamic masking schedules.</w:t>
      </w:r>
    </w:p>
    <w:p>
      <w:pPr>
        <w:pStyle w:val="ListParagraph"/>
        <w:numPr>
          <w:ilvl w:val="0"/>
          <w:numId w:val="3"/>
        </w:numPr>
      </w:pPr>
      <w:r>
        <w:t xml:space="preserve">GPT-style decoder: trained with causal language modelling for autoregressive text generation.</w:t>
      </w:r>
    </w:p>
    <w:p>
      <w:pPr>
        <w:pStyle w:val="ListParagraph"/>
        <w:numPr>
          <w:ilvl w:val="0"/>
          <w:numId w:val="3"/>
        </w:numPr>
      </w:pPr>
      <w:r>
        <w:t xml:space="preserve">Hybrid model: pairs an encoder for comprehension tasks with a decoder for generation tasks.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Training Steps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Perplexity</w:t>
            </w:r>
          </w:p>
        </w:tc>
      </w:tr>
      <w:tr>
        <w:tc>
          <w:tcPr>
            <w:tcW w:type="dxa" w:w="2250"/>
          </w:tcPr>
          <w:p>
            <w:r>
              <w:t xml:space="preserve">Vanilla Transformer</w:t>
            </w:r>
          </w:p>
        </w:tc>
        <w:tc>
          <w:tcPr>
            <w:tcW w:type="dxa" w:w="2250"/>
          </w:tcPr>
          <w:p>
            <w:r>
              <w:t xml:space="preserve">110M</w:t>
            </w:r>
          </w:p>
        </w:tc>
        <w:tc>
          <w:tcPr>
            <w:tcW w:type="dxa" w:w="2250"/>
          </w:tcPr>
          <w:p>
            <w:r>
              <w:t xml:space="preserve">500K</w:t>
            </w:r>
          </w:p>
        </w:tc>
        <w:tc>
          <w:tcPr>
            <w:tcW w:type="dxa" w:w="2250"/>
          </w:tcPr>
          <w:p>
            <w:r>
              <w:t xml:space="preserve">28.4</w:t>
            </w:r>
          </w:p>
        </w:tc>
      </w:tr>
      <w:tr>
        <w:tc>
          <w:tcPr>
            <w:tcW w:type="dxa" w:w="2250"/>
          </w:tcPr>
          <w:p>
            <w:r>
              <w:t xml:space="preserve">RoBERTa Encoder</w:t>
            </w:r>
          </w:p>
        </w:tc>
        <w:tc>
          <w:tcPr>
            <w:tcW w:type="dxa" w:w="2250"/>
          </w:tcPr>
          <w:p>
            <w:r>
              <w:t xml:space="preserve">125M</w:t>
            </w:r>
          </w:p>
        </w:tc>
        <w:tc>
          <w:tcPr>
            <w:tcW w:type="dxa" w:w="2250"/>
          </w:tcPr>
          <w:p>
            <w:r>
              <w:t xml:space="preserve">1M</w:t>
            </w:r>
          </w:p>
        </w:tc>
        <w:tc>
          <w:tcPr>
            <w:tcW w:type="dxa" w:w="2250"/>
          </w:tcPr>
          <w:p>
            <w:r>
              <w:t xml:space="preserve">N/A (MLM)</w:t>
            </w:r>
          </w:p>
        </w:tc>
      </w:tr>
      <w:tr>
        <w:tc>
          <w:tcPr>
            <w:tcW w:type="dxa" w:w="2250"/>
          </w:tcPr>
          <w:p>
            <w:r>
              <w:t xml:space="preserve">GPT Decoder</w:t>
            </w:r>
          </w:p>
        </w:tc>
        <w:tc>
          <w:tcPr>
            <w:tcW w:type="dxa" w:w="2250"/>
          </w:tcPr>
          <w:p>
            <w:r>
              <w:t xml:space="preserve">117M</w:t>
            </w:r>
          </w:p>
        </w:tc>
        <w:tc>
          <w:tcPr>
            <w:tcW w:type="dxa" w:w="2250"/>
          </w:tcPr>
          <w:p>
            <w:r>
              <w:t xml:space="preserve">750K</w:t>
            </w:r>
          </w:p>
        </w:tc>
        <w:tc>
          <w:tcPr>
            <w:tcW w:type="dxa" w:w="2250"/>
          </w:tcPr>
          <w:p>
            <w:r>
              <w:t xml:space="preserve">21.7</w:t>
            </w:r>
          </w:p>
        </w:tc>
      </w:tr>
      <w:tr>
        <w:tc>
          <w:tcPr>
            <w:tcW w:type="dxa" w:w="2250"/>
          </w:tcPr>
          <w:p>
            <w:r>
              <w:t xml:space="preserve">Hybrid Model</w:t>
            </w:r>
          </w:p>
        </w:tc>
        <w:tc>
          <w:tcPr>
            <w:tcW w:type="dxa" w:w="2250"/>
          </w:tcPr>
          <w:p>
            <w:r>
              <w:t xml:space="preserve">240M</w:t>
            </w:r>
          </w:p>
        </w:tc>
        <w:tc>
          <w:tcPr>
            <w:tcW w:type="dxa" w:w="2250"/>
          </w:tcPr>
          <w:p>
            <w:r>
              <w:t xml:space="preserve">1M</w:t>
            </w:r>
          </w:p>
        </w:tc>
        <w:tc>
          <w:tcPr>
            <w:tcW w:type="dxa" w:w="2250"/>
          </w:tcPr>
          <w:p>
            <w:r>
              <w:t xml:space="preserve">19.3</w:t>
            </w:r>
          </w:p>
        </w:tc>
      </w:tr>
    </w:tbl>
    <w:p/>
    <w:p>
      <w:pPr>
        <w:pStyle w:val="Caption"/>
        <w:jc w:val="center"/>
      </w:pPr>
      <w:r>
        <w:t xml:space="preserve">Table 1. Summary of baseline model configurations and perplexity scores.</w:t>
      </w:r>
    </w:p>
    <w:p>
      <w:pPr>
        <w:pStyle w:val="Heading1"/>
      </w:pPr>
      <w:r>
        <w:t xml:space="preserve">Results</w:t>
      </w:r>
    </w:p>
    <w:p>
      <w:pPr>
        <w:pStyle w:val="Heading2"/>
      </w:pPr>
      <w:r>
        <w:t xml:space="preserve">Language Modelling Performance</w:t>
      </w:r>
    </w:p>
    <w:p>
      <w:r>
        <w:t xml:space="preserve">The hybrid model recorded the best perplexity scores across every evaluation benchmark, with especially impressive results on the out-of-domain test portion. </w:t>
      </w:r>
      <w:r>
        <w:t xml:space="preserve">These findings suggest that combining encoder and decoder components leads to more resilient generalisation compared with single-paradigm designs.</w:t>
      </w:r>
      <w:r>
        <w:rPr>
          <w:rStyle w:val="FootnoteReference"/>
        </w:rPr>
        <w:footnoteReference w:id="6"/>
      </w:r>
    </w:p>
    <w:p>
      <w:r>
        <w:t xml:space="preserve">The GPT-style decoder notably beat the vanilla transformer even though it had fewer total parameters. </w:t>
      </w:r>
      <w:r>
        <w:t xml:space="preserve">This aligns with prior work in the field and underlines how important causal masking is for models focused on generation.</w:t>
      </w:r>
    </w:p>
    <w:p>
      <w:r>
        <w:rPr>
          <w:b/>
          <w:bCs/>
        </w:rPr>
        <w:t xml:space="preserve">Error analysis: </w:t>
      </w:r>
      <w:r>
        <w:t xml:space="preserve">Manual inspection of failure cases revealed that most errors occurred on sentences with nested relative clauses and long-distance dependencies exceeding 20 tokens.</w:t>
      </w:r>
      <w:r>
        <w:rPr>
          <w:rStyle w:val="FootnoteReference"/>
        </w:rPr>
        <w:footnoteReference w:id="6"/>
      </w:r>
    </w:p>
    <w:p>
      <w:pPr>
        <w:pStyle w:val="Heading2"/>
      </w:pPr>
      <w:r>
        <w:t xml:space="preserve">Downstream Task Evaluation</w:t>
      </w:r>
    </w:p>
    <w:p>
      <w:r>
        <w:t xml:space="preserve">Fine-tuning experiments conducted on GLUE and SuperGLUE confirmed that pre-training at scale yields clear dividends. </w:t>
      </w:r>
      <w:r>
        <w:t xml:space="preserve">On SuperGLUE specifically, the hybrid model reached top results on five of the nine tasks without any task-specific changes to the architecture.</w:t>
      </w:r>
    </w:p>
    <w:p>
      <w:r>
        <w:t xml:space="preserve">Transfer learning gains were uneven across different task categories. </w:t>
      </w:r>
      <w:r>
        <w:t xml:space="preserve">Tasks requiring syntactic understanding, such as natural language inference, saw the greatest lifts, while commonsense reasoning tasks responded more modestly to pre-training.</w:t>
      </w:r>
    </w:p>
    <w:p>
      <w:pPr>
        <w:pStyle w:val="Heading1"/>
      </w:pPr>
      <w:r>
        <w:t xml:space="preserve">Discussion</w:t>
      </w:r>
    </w:p>
    <w:p>
      <w:r>
        <w:t xml:space="preserve">The findings of this review make clear that scale and architecture interact in complicated ways. </w:t>
      </w:r>
      <w:r>
        <w:t xml:space="preserve">Piling on more parameters without rethinking the underlying design produces progressively smaller returns past a certain point.</w:t>
      </w:r>
      <w:r>
        <w:rPr>
          <w:rStyle w:val="FootnoteReference"/>
        </w:rPr>
        <w:footnoteReference w:id="5"/>
      </w:r>
    </w:p>
    <w:p>
      <w:r>
        <w:t xml:space="preserve">Follow-on research should look more carefully at how tokenisation granularity and model scale interact. </w:t>
      </w:r>
      <w:r>
        <w:t xml:space="preserve">There is also clear demand for evaluation frameworks that are more rigorous than simple aggregate benchmark numbers and that can probe fine-grained linguistic abilities.</w:t>
      </w:r>
    </w:p>
    <w:p>
      <w:r>
        <w:rPr>
          <w:b/>
          <w:bCs/>
        </w:rPr>
        <w:t xml:space="preserve">Limitations:</w:t>
      </w:r>
      <w:r>
        <w:t xml:space="preserve"> This review does not cover multimodal models, code-specific models, or models trained primarily on non-English corpora.</w:t>
      </w:r>
    </w:p>
    <w:p>
      <w:r>
        <w:t xml:space="preserve">Even acknowledging these gaps, the results offer practical direction for engineers building production-grade language model systems. </w:t>
      </w:r>
      <w:r>
        <w:t xml:space="preserve">Both the available compute budget and the nature of the target task should factor into decisions about architecture and tokenisation approach.</w:t>
      </w:r>
    </w:p>
    <w:p>
      <w:pPr>
        <w:pStyle w:val="Heading1"/>
      </w:pPr>
      <w:r>
        <w:t xml:space="preserve">Conclusion</w:t>
      </w:r>
    </w:p>
    <w:p>
      <w:r>
        <w:t xml:space="preserve">This paper has surveyed neural language model research across the dimensions of architecture, training methodology, and evaluation. </w:t>
      </w:r>
      <w:r>
        <w:t xml:space="preserve">The empirical evidence shows that hybrid encoder-decoder designs strike the best balance between perplexity reduction and downstream task performance.</w:t>
      </w:r>
      <w:r>
        <w:rPr>
          <w:rStyle w:val="FootnoteReference"/>
        </w:rPr>
        <w:footnoteReference w:id="1"/>
      </w:r>
    </w:p>
    <w:p>
      <w:r>
        <w:t xml:space="preserve">The speed of advancement in this field means that any survey faces the risk of becoming dated quickly. </w:t>
      </w:r>
      <w:r>
        <w:t xml:space="preserve">That said, the foundational principles covered here — including scaling behaviour, efficient attention, and principled tokenisation — should remain central to the field for the foreseeable future.</w:t>
      </w:r>
    </w:p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Brown, T., Mann, B., Ryder, N., et al. (2020). Language models are few-shot learners. NeurIPS, 33.</w:t>
      </w:r>
    </w:p>
    <w:p>
      <w:pPr>
        <w:pStyle w:val="Bibliography"/>
      </w:pPr>
      <w:r>
        <w:t xml:space="preserve">Jones, R. &amp; Patel, M. (2021). Tokenisation strategies in modern NLP pipelines. Journal of Computational Linguistics, 47(3), 112–134.</w:t>
      </w:r>
    </w:p>
    <w:p>
      <w:pPr>
        <w:pStyle w:val="Bibliography"/>
      </w:pPr>
      <w:r>
        <w:t xml:space="preserve">Smith, A., Lee, J., &amp; Nguyen, T. (2019). Foundations of neural language processing. Cambridge University Press.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Smith et al. (2019). Foundations of Neural Language Processing. Cambridge University Press.</w:t>
      </w:r>
    </w:p>
  </w:footnote>
  <w:footnote w:id="2">
    <w:p>
      <w:r>
        <w:rPr>
          <w:rStyle w:val="FootnoteReference"/>
        </w:rPr>
        <w:footnoteRef/>
      </w:r>
      <w:r>
        <w:t xml:space="preserve">Jones, R. &amp; Patel, M. (2021). Tokenisation strategies in modern NLP pipelines. Journal of Computational Linguistics, 47(3), 112–134.</w:t>
      </w:r>
    </w:p>
  </w:footnote>
  <w:footnote w:id="3">
    <w:p>
      <w:r>
        <w:rPr>
          <w:rStyle w:val="FootnoteReference"/>
        </w:rPr>
        <w:footnoteRef/>
      </w:r>
      <w:r>
        <w:t xml:space="preserve">See Appendix B for full derivation of the gradient update rule.</w:t>
      </w:r>
    </w:p>
  </w:footnote>
  <w:footnote w:id="4">
    <w:p>
      <w:r>
        <w:rPr>
          <w:rStyle w:val="FootnoteReference"/>
        </w:rPr>
        <w:footnoteRef/>
      </w:r>
      <w:r>
        <w:t xml:space="preserve">The baseline was established using a held-out validation split of 15 % of the training corpus.</w:t>
      </w:r>
    </w:p>
  </w:footnote>
  <w:footnote w:id="5">
    <w:p>
      <w:r>
        <w:rPr>
          <w:rStyle w:val="FootnoteReference"/>
        </w:rPr>
        <w:footnoteRef/>
      </w:r>
      <w:r>
        <w:t xml:space="preserve">Brown, T. et al. (2020). Language Models are Few-Shot Learners. Advances in Neural Information Processing Systems, 33.</w:t>
      </w:r>
    </w:p>
  </w:footnote>
  <w:footnote w:id="6">
    <w:p>
      <w:r>
        <w:rPr>
          <w:rStyle w:val="FootnoteReference"/>
        </w:rPr>
        <w:footnoteRef/>
      </w:r>
      <w:r>
        <w:t xml:space="preserve">Precision and recall are computed over token-level spans, not document-level labels.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b/>
      <w:bCs/>
      <w:color w:val="2E4057"/>
      <w:sz w:val="52"/>
      <w:szCs w:val="52"/>
    </w:rPr>
  </w:style>
  <w:style w:type="paragraph" w:styleId="Subtitle">
    <w:name w:val="Subtitle"/>
    <w:basedOn w:val="Normal"/>
    <w:next w:val="Normal"/>
    <w:pPr>
      <w:spacing w:after="480"/>
      <w:jc w:val="center"/>
    </w:pPr>
    <w:rPr>
      <w:i/>
      <w:iCs/>
      <w:color w:val="555555"/>
      <w:sz w:val="28"/>
      <w:szCs w:val="28"/>
    </w:rPr>
  </w:style>
  <w:style w:type="paragraph" w:styleId="Caption">
    <w:name w:val="Caption"/>
    <w:basedOn w:val="Normal"/>
    <w:next w:val="Normal"/>
    <w:pPr>
      <w:spacing w:after="200" w:before="80"/>
    </w:pPr>
    <w:rPr>
      <w:i/>
      <w:iCs/>
      <w:color w:val="666666"/>
      <w:sz w:val="18"/>
      <w:szCs w:val="18"/>
    </w:rPr>
  </w:style>
  <w:style w:type="paragraph" w:styleId="Bibliography">
    <w:name w:val="Bibliography"/>
    <w:basedOn w:val="Normal"/>
    <w:next w:val="Normal"/>
    <w:pPr>
      <w:spacing w:after="120"/>
      <w:ind w:left="720" w:hanging="72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bc825c3377738419dcd92e6cd7e538fdf881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2026-07-12T04:35:43.177Z</dcterms:created>
  <dcterms:modified xsi:type="dcterms:W3CDTF">2026-07-12T04:35:43.177Z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