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Neural Language Models: A Comprehensive Review</w:t>
      </w:r>
    </w:p>
    <w:p>
      <w:pPr>
        <w:pStyle w:val="Subtitle"/>
      </w:pPr>
      <w:r>
        <w:t xml:space="preserve">An Examination of Architecture, Training, and Evaluation</w:t>
      </w:r>
    </w:p>
    <w:p/>
    <w:p>
      <w:pPr>
        <w:pStyle w:val="Heading1"/>
      </w:pPr>
      <w:r>
        <w:t xml:space="preserve">Introduction</w:t>
      </w:r>
    </w:p>
    <w:p>
      <w:r>
        <w:t xml:space="preserve">Neural language models have fundamentally transformed the field of natural language processing over the past decade. </w:t>
      </w:r>
      <w:r>
        <w:t xml:space="preserve">The shift from rule-based approaches to statistical and then neural methods has enabled unprecedented performance on a wide range of linguistic tasks.</w:t>
      </w:r>
      <w:r>
        <w:rPr>
          <w:rStyle w:val="FootnoteReference"/>
        </w:rPr>
        <w:footnoteReference w:id="1"/>
      </w:r>
    </w:p>
    <w:p>
      <w:r>
        <w:t xml:space="preserve">Early recurrent architectures, while groundbreaking, suffered from vanishing gradient problems that limited their capacity to model long-range dependencies. </w:t>
      </w:r>
      <w:r>
        <w:t xml:space="preserve">The introduction of attention mechanisms addressed many of these shortcomings and paved the way for the transformer paradigm.</w:t>
      </w:r>
      <w:r>
        <w:rPr>
          <w:rStyle w:val="FootnoteReference"/>
        </w:rPr>
        <w:footnoteReference w:id="2"/>
      </w:r>
    </w:p>
    <w:p>
      <w:r>
        <w:rPr>
          <w:b/>
          <w:bCs/>
        </w:rPr>
        <w:t xml:space="preserve">Scope: </w:t>
      </w:r>
      <w:r>
        <w:t xml:space="preserve">This review covers models trained between 2017 and 2024, with particular attention to encoder-decoder and decoder-only variants.</w:t>
      </w:r>
    </w:p>
    <w:p>
      <w:r>
        <w:t xml:space="preserve">The remainder of this paper is organised as follows. Section 2 provides background on sequence modelling. </w:t>
      </w:r>
      <w:r>
        <w:t xml:space="preserve">Section 3 details the experimental setup. Section 4 presents results. Section 5 discusses implications and limitations.</w:t>
      </w:r>
    </w:p>
    <w:p>
      <w:pPr>
        <w:pStyle w:val="Heading1"/>
      </w:pPr>
      <w:r>
        <w:t xml:space="preserve">Background</w:t>
      </w:r>
    </w:p>
    <w:p>
      <w:pPr>
        <w:pStyle w:val="Heading2"/>
      </w:pPr>
      <w:r>
        <w:t xml:space="preserve">Sequence Modelling</w:t>
      </w:r>
    </w:p>
    <w:p>
      <w:r>
        <w:t xml:space="preserve">Sequence modelling is the task of estimating the probability distribution over sequences of discrete tokens. </w:t>
      </w:r>
      <w:r>
        <w:t xml:space="preserve">Given a vocabulary V and a sequence of tokens x₁, x₂, …, xₙ, a language model assigns a probability p(x₁, …, xₙ) to that sequence.</w:t>
      </w:r>
      <w:r>
        <w:rPr>
          <w:rStyle w:val="FootnoteReference"/>
        </w:rPr>
        <w:footnoteReference w:id="3"/>
      </w:r>
    </w:p>
    <w:p>
      <w:r>
        <w:t xml:space="preserve">Autoregressive models factorise this joint distribution as a product of conditional probabilities: </w:t>
      </w:r>
      <w:r>
        <w:t xml:space="preserve">p(x₁, …, xₙ) = ∏ᵢ p(xᵢ | x₁, …, xᵢ₋₁). </w:t>
      </w:r>
      <w:r>
        <w:t xml:space="preserve">This formulation allows efficient training via teacher forcing and generation via sequential sampling.</w:t>
      </w:r>
    </w:p>
    <w:p>
      <w:r>
        <w:rPr>
          <w:b/>
          <w:bCs/>
        </w:rPr>
        <w:t xml:space="preserve">Key insight:</w:t>
      </w:r>
      <w:r>
        <w:t xml:space="preserve"> The attention mechanism computes a weighted sum of value vectors, where weights are derived from query-key dot products.</w:t>
      </w:r>
    </w:p>
    <w:p>
      <w:pPr>
        <w:pStyle w:val="Heading2"/>
      </w:pPr>
      <w:r>
        <w:t xml:space="preserve">Tokenisation</w:t>
      </w:r>
    </w:p>
    <w:p>
      <w:r>
        <w:t xml:space="preserve">The choice of tokenisation strategy significantly affects model capacity and downstream performance. </w:t>
      </w:r>
      <w:r>
        <w:t xml:space="preserve">Byte-pair encoding (BPE) has become the dominant approach, balancing vocabulary size against sequence length.</w:t>
      </w:r>
      <w:r>
        <w:rPr>
          <w:rStyle w:val="FootnoteReference"/>
        </w:rPr>
        <w:footnoteReference w:id="2"/>
      </w:r>
    </w:p>
    <w:p>
      <w:pPr>
        <w:pStyle w:val="ListParagraph"/>
        <w:numPr>
          <w:ilvl w:val="0"/>
          <w:numId w:val="2"/>
        </w:numPr>
      </w:pPr>
      <w:r>
        <w:t xml:space="preserve">Character-level models: maximum coverage, very long sequences.</w:t>
      </w:r>
    </w:p>
    <w:p>
      <w:pPr>
        <w:pStyle w:val="ListParagraph"/>
        <w:numPr>
          <w:ilvl w:val="0"/>
          <w:numId w:val="2"/>
        </w:numPr>
      </w:pPr>
      <w:r>
        <w:t xml:space="preserve">Word-level models: short sequences, large vocabularies, unknown-word problem.</w:t>
      </w:r>
    </w:p>
    <w:p>
      <w:pPr>
        <w:pStyle w:val="ListParagraph"/>
        <w:numPr>
          <w:ilvl w:val="0"/>
          <w:numId w:val="2"/>
        </w:numPr>
      </w:pPr>
      <w:r>
        <w:t xml:space="preserve">Subword models (BPE, WordPiece, SentencePiece): practical compromise adopted by most production systems.</w:t>
      </w:r>
    </w:p>
    <w:p>
      <w:pPr>
        <w:pStyle w:val="Heading1"/>
      </w:pPr>
      <w:r>
        <w:t xml:space="preserve">Experimental Setup</w:t>
      </w:r>
    </w:p>
    <w:p>
      <w:pPr>
        <w:pStyle w:val="Heading2"/>
      </w:pPr>
      <w:r>
        <w:t xml:space="preserve">Dataset</w:t>
      </w:r>
    </w:p>
    <w:p>
      <w:r>
        <w:t xml:space="preserve">Experiments were conducted on a curated corpus of 4.2 billion tokens drawn from web crawls, books, and academic papers. </w:t>
      </w:r>
      <w:r>
        <w:t xml:space="preserve">Duplicate documents were removed using MinHash LSH with a Jaccard threshold of 0.85.</w:t>
      </w:r>
      <w:r>
        <w:rPr>
          <w:rStyle w:val="FootnoteReference"/>
        </w:rPr>
        <w:footnoteReference w:id="4"/>
      </w:r>
    </w:p>
    <w:p>
      <w:r>
        <w:t xml:space="preserve">The training split comprised 90 % of the data, with the remaining 10 % divided equally between validation and test sets. </w:t>
      </w:r>
      <w:r>
        <w:t xml:space="preserve">Domain distribution was balanced to avoid over-representation of any single genre.</w:t>
      </w:r>
    </w:p>
    <w:p>
      <w:pPr>
        <w:jc w:val="center"/>
      </w:pPr>
      <w:r>
        <w:drawing>
          <wp:inline distT="0" distB="0" distL="0" distR="0">
            <wp:extent cx="2857500" cy="1714500"/>
            <wp:effectExtent t="0" r="0" b="0" l="0"/>
            <wp:docPr id="1" descr="Training loss curves across model size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Training loss curves across model sizes.</w:t>
      </w:r>
    </w:p>
    <w:p>
      <w:pPr>
        <w:pStyle w:val="Heading2"/>
      </w:pPr>
      <w:r>
        <w:t xml:space="preserve">Baseline Models</w:t>
      </w:r>
    </w:p>
    <w:p>
      <w:r>
        <w:t xml:space="preserve">Four baseline architectures were evaluated to provide a comprehensive comparison. </w:t>
      </w:r>
      <w:r>
        <w:t xml:space="preserve">Each baseline was trained with identical hyperparameters to ensure fair comparison across configurations.</w:t>
      </w:r>
      <w:r>
        <w:rPr>
          <w:rStyle w:val="FootnoteReference"/>
        </w:rPr>
        <w:footnoteReference w:id="5"/>
      </w:r>
    </w:p>
    <w:p>
      <w:pPr>
        <w:pStyle w:val="ListParagraph"/>
        <w:numPr>
          <w:ilvl w:val="0"/>
          <w:numId w:val="3"/>
        </w:numPr>
      </w:pPr>
      <w:r>
        <w:t xml:space="preserve">Vanilla Transformer: standard encoder-decoder with learned positional embeddings.</w:t>
      </w:r>
    </w:p>
    <w:p>
      <w:pPr>
        <w:pStyle w:val="ListParagraph"/>
        <w:numPr>
          <w:ilvl w:val="0"/>
          <w:numId w:val="3"/>
        </w:numPr>
      </w:pPr>
      <w:r>
        <w:t xml:space="preserve">RoBERTa-style encoder: masked language modelling with dynamic masking.</w:t>
      </w:r>
    </w:p>
    <w:p>
      <w:pPr>
        <w:pStyle w:val="ListParagraph"/>
        <w:numPr>
          <w:ilvl w:val="0"/>
          <w:numId w:val="3"/>
        </w:numPr>
      </w:pPr>
      <w:r>
        <w:t xml:space="preserve">GPT-style decoder: causal language modelling with autoregressive generation.</w:t>
      </w:r>
    </w:p>
    <w:p>
      <w:pPr>
        <w:pStyle w:val="ListParagraph"/>
        <w:numPr>
          <w:ilvl w:val="0"/>
          <w:numId w:val="3"/>
        </w:numPr>
      </w:pPr>
      <w:r>
        <w:t xml:space="preserve">Hybrid model: encoder for understanding tasks, decoder for generation tasks.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Parameters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Training Steps</w:t>
            </w:r>
          </w:p>
        </w:tc>
        <w:tc>
          <w:tcPr>
            <w:tcW w:type="dxa" w:w="2250"/>
            <w:shd w:fill="D0D8E4" w:color="auto" w:val="clear"/>
          </w:tcPr>
          <w:p>
            <w:r>
              <w:rPr>
                <w:b/>
                <w:bCs/>
              </w:rPr>
              <w:t xml:space="preserve">Perplexity</w:t>
            </w:r>
          </w:p>
        </w:tc>
      </w:tr>
      <w:tr>
        <w:tc>
          <w:tcPr>
            <w:tcW w:type="dxa" w:w="2250"/>
          </w:tcPr>
          <w:p>
            <w:r>
              <w:t xml:space="preserve">Vanilla Transformer</w:t>
            </w:r>
          </w:p>
        </w:tc>
        <w:tc>
          <w:tcPr>
            <w:tcW w:type="dxa" w:w="2250"/>
          </w:tcPr>
          <w:p>
            <w:r>
              <w:t xml:space="preserve">110M</w:t>
            </w:r>
          </w:p>
        </w:tc>
        <w:tc>
          <w:tcPr>
            <w:tcW w:type="dxa" w:w="2250"/>
          </w:tcPr>
          <w:p>
            <w:r>
              <w:t xml:space="preserve">500K</w:t>
            </w:r>
          </w:p>
        </w:tc>
        <w:tc>
          <w:tcPr>
            <w:tcW w:type="dxa" w:w="2250"/>
          </w:tcPr>
          <w:p>
            <w:r>
              <w:t xml:space="preserve">28.4</w:t>
            </w:r>
          </w:p>
        </w:tc>
      </w:tr>
      <w:tr>
        <w:tc>
          <w:tcPr>
            <w:tcW w:type="dxa" w:w="2250"/>
          </w:tcPr>
          <w:p>
            <w:r>
              <w:t xml:space="preserve">RoBERTa Encoder</w:t>
            </w:r>
          </w:p>
        </w:tc>
        <w:tc>
          <w:tcPr>
            <w:tcW w:type="dxa" w:w="2250"/>
          </w:tcPr>
          <w:p>
            <w:r>
              <w:t xml:space="preserve">125M</w:t>
            </w:r>
          </w:p>
        </w:tc>
        <w:tc>
          <w:tcPr>
            <w:tcW w:type="dxa" w:w="2250"/>
          </w:tcPr>
          <w:p>
            <w:r>
              <w:t xml:space="preserve">1M</w:t>
            </w:r>
          </w:p>
        </w:tc>
        <w:tc>
          <w:tcPr>
            <w:tcW w:type="dxa" w:w="2250"/>
          </w:tcPr>
          <w:p>
            <w:r>
              <w:t xml:space="preserve">N/A (MLM)</w:t>
            </w:r>
          </w:p>
        </w:tc>
      </w:tr>
      <w:tr>
        <w:tc>
          <w:tcPr>
            <w:tcW w:type="dxa" w:w="2250"/>
          </w:tcPr>
          <w:p>
            <w:r>
              <w:t xml:space="preserve">GPT Decoder</w:t>
            </w:r>
          </w:p>
        </w:tc>
        <w:tc>
          <w:tcPr>
            <w:tcW w:type="dxa" w:w="2250"/>
          </w:tcPr>
          <w:p>
            <w:r>
              <w:t xml:space="preserve">117M</w:t>
            </w:r>
          </w:p>
        </w:tc>
        <w:tc>
          <w:tcPr>
            <w:tcW w:type="dxa" w:w="2250"/>
          </w:tcPr>
          <w:p>
            <w:r>
              <w:t xml:space="preserve">750K</w:t>
            </w:r>
          </w:p>
        </w:tc>
        <w:tc>
          <w:tcPr>
            <w:tcW w:type="dxa" w:w="2250"/>
          </w:tcPr>
          <w:p>
            <w:r>
              <w:t xml:space="preserve">21.7</w:t>
            </w:r>
          </w:p>
        </w:tc>
      </w:tr>
      <w:tr>
        <w:tc>
          <w:tcPr>
            <w:tcW w:type="dxa" w:w="2250"/>
          </w:tcPr>
          <w:p>
            <w:r>
              <w:t xml:space="preserve">Hybrid Model</w:t>
            </w:r>
          </w:p>
        </w:tc>
        <w:tc>
          <w:tcPr>
            <w:tcW w:type="dxa" w:w="2250"/>
          </w:tcPr>
          <w:p>
            <w:r>
              <w:t xml:space="preserve">240M</w:t>
            </w:r>
          </w:p>
        </w:tc>
        <w:tc>
          <w:tcPr>
            <w:tcW w:type="dxa" w:w="2250"/>
          </w:tcPr>
          <w:p>
            <w:r>
              <w:t xml:space="preserve">1M</w:t>
            </w:r>
          </w:p>
        </w:tc>
        <w:tc>
          <w:tcPr>
            <w:tcW w:type="dxa" w:w="2250"/>
          </w:tcPr>
          <w:p>
            <w:r>
              <w:t xml:space="preserve">19.3</w:t>
            </w:r>
          </w:p>
        </w:tc>
      </w:tr>
    </w:tbl>
    <w:p/>
    <w:p>
      <w:pPr>
        <w:pStyle w:val="Caption"/>
        <w:jc w:val="center"/>
      </w:pPr>
      <w:r>
        <w:t xml:space="preserve">Table 1. Summary of baseline model configurations and perplexity scores.</w:t>
      </w:r>
    </w:p>
    <w:p>
      <w:pPr>
        <w:pStyle w:val="Heading1"/>
      </w:pPr>
      <w:r>
        <w:t xml:space="preserve">Results</w:t>
      </w:r>
    </w:p>
    <w:p>
      <w:pPr>
        <w:pStyle w:val="Heading2"/>
      </w:pPr>
      <w:r>
        <w:t xml:space="preserve">Language Modelling Performance</w:t>
      </w:r>
    </w:p>
    <w:p>
      <w:r>
        <w:t xml:space="preserve">The hybrid model achieved the lowest perplexity across all evaluation benchmarks, with a particularly strong result on the out-of-domain test set. </w:t>
      </w:r>
      <w:r>
        <w:t xml:space="preserve">This suggests that the dual encoder-decoder architecture provides more robust generalisation than single-paradigm alternatives.</w:t>
      </w:r>
      <w:r>
        <w:rPr>
          <w:rStyle w:val="FootnoteReference"/>
        </w:rPr>
        <w:footnoteReference w:id="6"/>
      </w:r>
    </w:p>
    <w:p>
      <w:r>
        <w:t xml:space="preserve">Notably, the GPT-style decoder outperformed the vanilla transformer despite having fewer parameters. </w:t>
      </w:r>
      <w:r>
        <w:t xml:space="preserve">This result is consistent with findings reported in the literature and reinforces the importance of causal masking for generative tasks.</w:t>
      </w:r>
    </w:p>
    <w:p>
      <w:r>
        <w:rPr>
          <w:b/>
          <w:bCs/>
        </w:rPr>
        <w:t xml:space="preserve">Error analysis: </w:t>
      </w:r>
      <w:r>
        <w:t xml:space="preserve">Manual inspection of failure cases revealed that most errors occurred on sentences with nested relative clauses and long-distance dependencies exceeding 20 tokens.</w:t>
      </w:r>
      <w:r>
        <w:rPr>
          <w:rStyle w:val="FootnoteReference"/>
        </w:rPr>
        <w:footnoteReference w:id="6"/>
      </w:r>
    </w:p>
    <w:p>
      <w:pPr>
        <w:pStyle w:val="Heading2"/>
      </w:pPr>
      <w:r>
        <w:t xml:space="preserve">Downstream Task Evaluation</w:t>
      </w:r>
    </w:p>
    <w:p>
      <w:r>
        <w:t xml:space="preserve">Fine-tuning experiments on GLUE and SuperGLUE benchmarks confirmed the advantages of pre-training at scale. </w:t>
      </w:r>
      <w:r>
        <w:t xml:space="preserve">The hybrid model achieved state-of-the-art results on five of the nine SuperGLUE tasks without task-specific architectural modifications.</w:t>
      </w:r>
    </w:p>
    <w:p>
      <w:r>
        <w:t xml:space="preserve">Transfer learning effectiveness varied substantially across task types. </w:t>
      </w:r>
      <w:r>
        <w:t xml:space="preserve">Syntactic tasks such as natural language inference benefited most from pre-training, while commonsense reasoning tasks showed more modest improvements.</w:t>
      </w:r>
    </w:p>
    <w:p>
      <w:pPr>
        <w:pStyle w:val="Heading1"/>
      </w:pPr>
      <w:r>
        <w:t xml:space="preserve">Discussion</w:t>
      </w:r>
    </w:p>
    <w:p>
      <w:r>
        <w:t xml:space="preserve">The results presented in this review confirm that scale and architecture interact in non-trivial ways. </w:t>
      </w:r>
      <w:r>
        <w:t xml:space="preserve">Simply increasing parameter count without corresponding architectural innovations yields diminishing returns beyond a certain threshold.</w:t>
      </w:r>
      <w:r>
        <w:rPr>
          <w:rStyle w:val="FootnoteReference"/>
        </w:rPr>
        <w:footnoteReference w:id="5"/>
      </w:r>
    </w:p>
    <w:p>
      <w:r>
        <w:t xml:space="preserve">Future work should investigate the interplay between tokenisation granularity and model size. </w:t>
      </w:r>
      <w:r>
        <w:t xml:space="preserve">There is also a need for more rigorous evaluation protocols that go beyond aggregate benchmark scores and probe specific linguistic competencies.</w:t>
      </w:r>
    </w:p>
    <w:p>
      <w:r>
        <w:rPr>
          <w:b/>
          <w:bCs/>
        </w:rPr>
        <w:t xml:space="preserve">Limitations:</w:t>
      </w:r>
      <w:r>
        <w:t xml:space="preserve"> This review does not cover multimodal models, code-specific models, or models trained primarily on non-English corpora.</w:t>
      </w:r>
    </w:p>
    <w:p>
      <w:r>
        <w:t xml:space="preserve">Despite these limitations, the findings provide actionable guidance for practitioners designing production language model pipelines. </w:t>
      </w:r>
      <w:r>
        <w:t xml:space="preserve">The computational budget and downstream task requirements should jointly inform the choice of architecture and tokenisation strategy.</w:t>
      </w:r>
    </w:p>
    <w:p>
      <w:pPr>
        <w:pStyle w:val="Heading1"/>
      </w:pPr>
      <w:r>
        <w:t xml:space="preserve">Conclusion</w:t>
      </w:r>
    </w:p>
    <w:p>
      <w:r>
        <w:t xml:space="preserve">This paper reviewed the current state of neural language model research, covering architecture design, training procedures, and evaluation methodology. </w:t>
      </w:r>
      <w:r>
        <w:t xml:space="preserve">The empirical results demonstrate that hybrid encoder-decoder architectures offer the best trade-off between perplexity and downstream task performance.</w:t>
      </w:r>
      <w:r>
        <w:rPr>
          <w:rStyle w:val="FootnoteReference"/>
        </w:rPr>
        <w:footnoteReference w:id="1"/>
      </w:r>
    </w:p>
    <w:p>
      <w:r>
        <w:t xml:space="preserve">The rapid pace of progress in this area means that any review risks obsolescence. </w:t>
      </w:r>
      <w:r>
        <w:t xml:space="preserve">Nevertheless, the core principles identified here — scaling laws, attention efficiency, and robust tokenisation — are likely to remain relevant as the field continues to evolve.</w:t>
      </w:r>
    </w:p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Brown, T., Mann, B., Ryder, N., et al. (2020). Language models are few-shot learners. NeurIPS, 33.</w:t>
      </w:r>
    </w:p>
    <w:p>
      <w:pPr>
        <w:pStyle w:val="Bibliography"/>
      </w:pPr>
      <w:r>
        <w:t xml:space="preserve">Jones, R. &amp; Patel, M. (2021). Tokenisation strategies in modern NLP pipelines. Journal of Computational Linguistics, 47(3), 112–134.</w:t>
      </w:r>
    </w:p>
    <w:p>
      <w:pPr>
        <w:pStyle w:val="Bibliography"/>
      </w:pPr>
      <w:r>
        <w:t xml:space="preserve">Smith, A., Lee, J., &amp; Nguyen, T. (2019). Foundations of neural language processing. Cambridge University Press.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Smith et al. (2019). Foundations of Neural Language Processing. Cambridge University Press.</w:t>
      </w:r>
    </w:p>
  </w:footnote>
  <w:footnote w:id="2">
    <w:p>
      <w:r>
        <w:rPr>
          <w:rStyle w:val="FootnoteReference"/>
        </w:rPr>
        <w:footnoteRef/>
      </w:r>
      <w:r>
        <w:t xml:space="preserve">Jones, R. &amp; Patel, M. (2021). Tokenisation strategies in modern NLP pipelines. Journal of Computational Linguistics, 47(3), 112–134.</w:t>
      </w:r>
    </w:p>
  </w:footnote>
  <w:footnote w:id="3">
    <w:p>
      <w:r>
        <w:rPr>
          <w:rStyle w:val="FootnoteReference"/>
        </w:rPr>
        <w:footnoteRef/>
      </w:r>
      <w:r>
        <w:t xml:space="preserve">See Appendix B for full derivation of the gradient update rule.</w:t>
      </w:r>
    </w:p>
  </w:footnote>
  <w:footnote w:id="4">
    <w:p>
      <w:r>
        <w:rPr>
          <w:rStyle w:val="FootnoteReference"/>
        </w:rPr>
        <w:footnoteRef/>
      </w:r>
      <w:r>
        <w:t xml:space="preserve">The baseline was established using a held-out validation split of 15 % of the training corpus.</w:t>
      </w:r>
    </w:p>
  </w:footnote>
  <w:footnote w:id="5">
    <w:p>
      <w:r>
        <w:rPr>
          <w:rStyle w:val="FootnoteReference"/>
        </w:rPr>
        <w:footnoteRef/>
      </w:r>
      <w:r>
        <w:t xml:space="preserve">Brown, T. et al. (2020). Language Models are Few-Shot Learners. Advances in Neural Information Processing Systems, 33.</w:t>
      </w:r>
    </w:p>
  </w:footnote>
  <w:footnote w:id="6">
    <w:p>
      <w:r>
        <w:rPr>
          <w:rStyle w:val="FootnoteReference"/>
        </w:rPr>
        <w:footnoteRef/>
      </w:r>
      <w:r>
        <w:t xml:space="preserve">Precision and recall are computed over token-level spans, not document-level labels.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  <w:jc w:val="center"/>
    </w:pPr>
    <w:rPr>
      <w:b/>
      <w:bCs/>
      <w:color w:val="2E4057"/>
      <w:sz w:val="52"/>
      <w:szCs w:val="52"/>
    </w:rPr>
  </w:style>
  <w:style w:type="paragraph" w:styleId="Subtitle">
    <w:name w:val="Subtitle"/>
    <w:basedOn w:val="Normal"/>
    <w:next w:val="Normal"/>
    <w:pPr>
      <w:spacing w:after="480"/>
      <w:jc w:val="center"/>
    </w:pPr>
    <w:rPr>
      <w:i/>
      <w:iCs/>
      <w:color w:val="555555"/>
      <w:sz w:val="28"/>
      <w:szCs w:val="28"/>
    </w:rPr>
  </w:style>
  <w:style w:type="paragraph" w:styleId="Caption">
    <w:name w:val="Caption"/>
    <w:basedOn w:val="Normal"/>
    <w:next w:val="Normal"/>
    <w:pPr>
      <w:spacing w:after="200" w:before="80"/>
    </w:pPr>
    <w:rPr>
      <w:i/>
      <w:iCs/>
      <w:color w:val="666666"/>
      <w:sz w:val="18"/>
      <w:szCs w:val="18"/>
    </w:rPr>
  </w:style>
  <w:style w:type="paragraph" w:styleId="Bibliography">
    <w:name w:val="Bibliography"/>
    <w:basedOn w:val="Normal"/>
    <w:next w:val="Normal"/>
    <w:pPr>
      <w:spacing w:after="120"/>
      <w:ind w:left="720" w:hanging="72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bc825c3377738419dcd92e6cd7e538fdf881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2026-07-12T04:32:40.772Z</dcterms:created>
  <dcterms:modified xsi:type="dcterms:W3CDTF">2026-07-12T04:32:40.773Z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