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75C5" w14:textId="77777777" w:rsidR="00F70995" w:rsidRDefault="00081955">
      <w:pPr>
        <w:pStyle w:val="Title"/>
        <w:spacing w:after="120" w:line="340" w:lineRule="auto"/>
      </w:pPr>
      <w:r>
        <w:t>Cyber Security Challenges for Australian Business</w:t>
      </w:r>
    </w:p>
    <w:p w14:paraId="519175C6" w14:textId="77777777" w:rsidR="00F70995" w:rsidRDefault="00081955">
      <w:pPr>
        <w:pStyle w:val="Subtitle"/>
      </w:pPr>
      <w:r>
        <w:t>BUS702 Business Law - Research and Presentation Project</w:t>
      </w:r>
    </w:p>
    <w:p w14:paraId="519175C7" w14:textId="77777777" w:rsidR="00F70995" w:rsidRDefault="00081955">
      <w:pPr>
        <w:spacing w:before="400" w:after="0"/>
        <w:jc w:val="center"/>
      </w:pPr>
      <w:r>
        <w:rPr>
          <w:b/>
          <w:bCs/>
        </w:rPr>
        <w:t>King's Own Institute</w:t>
      </w:r>
    </w:p>
    <w:p w14:paraId="519175C8" w14:textId="77777777" w:rsidR="00F70995" w:rsidRDefault="00081955">
      <w:pPr>
        <w:spacing w:after="400"/>
        <w:jc w:val="center"/>
      </w:pPr>
      <w:r>
        <w:t>Trimester 2, 2026</w:t>
      </w:r>
    </w:p>
    <w:p w14:paraId="519175C9" w14:textId="77777777" w:rsidR="00F70995" w:rsidRDefault="00081955">
      <w:pPr>
        <w:spacing w:after="0"/>
        <w:jc w:val="center"/>
      </w:pPr>
      <w:r>
        <w:rPr>
          <w:b/>
          <w:bCs/>
        </w:rPr>
        <w:t>Group Members</w:t>
      </w:r>
    </w:p>
    <w:p w14:paraId="519175CA" w14:textId="77777777" w:rsidR="00F70995" w:rsidRDefault="00081955">
      <w:pPr>
        <w:spacing w:after="0"/>
        <w:jc w:val="center"/>
      </w:pPr>
      <w:r>
        <w:t>Chapter 1: [Student Name 1], [Student Number 1]</w:t>
      </w:r>
    </w:p>
    <w:p w14:paraId="519175CB" w14:textId="77777777" w:rsidR="00F70995" w:rsidRDefault="00081955">
      <w:pPr>
        <w:spacing w:after="0"/>
        <w:jc w:val="center"/>
      </w:pPr>
      <w:r>
        <w:t>Chapter 2: [Student Name 2], [Student Number 2]</w:t>
      </w:r>
    </w:p>
    <w:p w14:paraId="519175CC" w14:textId="77777777" w:rsidR="00F70995" w:rsidRDefault="00081955">
      <w:pPr>
        <w:spacing w:after="0"/>
        <w:jc w:val="center"/>
      </w:pPr>
      <w:r>
        <w:t>Tutor: [Tutor Name]</w:t>
      </w:r>
    </w:p>
    <w:p w14:paraId="519175CD" w14:textId="77777777" w:rsidR="00F70995" w:rsidRDefault="00081955">
      <w:pPr>
        <w:jc w:val="center"/>
      </w:pPr>
      <w:r>
        <w:t>Date of submission: [Date]</w:t>
      </w:r>
    </w:p>
    <w:p w14:paraId="519175CE" w14:textId="77777777" w:rsidR="00F70995" w:rsidRDefault="00081955">
      <w:r>
        <w:br w:type="page"/>
      </w:r>
    </w:p>
    <w:p w14:paraId="519175CF" w14:textId="77777777" w:rsidR="00F70995" w:rsidRDefault="00081955">
      <w:pPr>
        <w:pStyle w:val="Heading1"/>
        <w:spacing w:line="320" w:lineRule="auto"/>
      </w:pPr>
      <w:r>
        <w:lastRenderedPageBreak/>
        <w:t>Index</w:t>
      </w:r>
    </w:p>
    <w:sdt>
      <w:sdtPr>
        <w:alias w:val="Right-click and choose Update Field to build the index."/>
        <w:id w:val="-351883878"/>
      </w:sdtPr>
      <w:sdtEndPr/>
      <w:sdtContent>
        <w:p w14:paraId="519175D0" w14:textId="77777777" w:rsidR="00F70995" w:rsidRDefault="00081955">
          <w:r>
            <w:fldChar w:fldCharType="begin"/>
          </w:r>
          <w:r>
            <w:instrText>TOC \h \o "1-2"</w:instrText>
          </w:r>
          <w:r>
            <w:fldChar w:fldCharType="separate"/>
          </w:r>
        </w:p>
        <w:p w14:paraId="519175D1" w14:textId="77777777" w:rsidR="00F70995" w:rsidRDefault="00081955">
          <w:r>
            <w:fldChar w:fldCharType="end"/>
          </w:r>
        </w:p>
      </w:sdtContent>
    </w:sdt>
    <w:p w14:paraId="519175D2" w14:textId="77777777" w:rsidR="00F70995" w:rsidRDefault="00081955">
      <w:r>
        <w:br w:type="page"/>
      </w:r>
    </w:p>
    <w:p w14:paraId="519175D3" w14:textId="77777777" w:rsidR="00F70995" w:rsidRDefault="00081955">
      <w:pPr>
        <w:pStyle w:val="Heading1"/>
        <w:spacing w:line="320" w:lineRule="auto"/>
      </w:pPr>
      <w:r>
        <w:lastRenderedPageBreak/>
        <w:t>Introduction</w:t>
      </w:r>
    </w:p>
    <w:p w14:paraId="519175D4" w14:textId="77777777" w:rsidR="00F70995" w:rsidRDefault="00081955">
      <w:r>
        <w:t>Cyber security has left the server room and entered into the boardroom. It's no longer just a technical issue for information technology personnel, it is a legal requirement backed by regulators, trialed in the Federal Court, and factored into business contracts.</w:t>
      </w:r>
    </w:p>
    <w:p w14:paraId="519175D5" w14:textId="77777777" w:rsidR="00F70995" w:rsidRDefault="00081955">
      <w:r>
        <w:t>This report presents the argument that Australian cyber security law has gone from being light-touch and principles based to one that is enforcement driven, and that the most onerous part of the change is on organisations who see compliance as a paperwork exercise. Chapter 1 provides an overview of the current legal landscape for cyber security of Australian business. Chapter 2 explores the implementation of that framework, the liability created, the compliance issues it raises, and the reactions businesses should have.</w:t>
      </w:r>
    </w:p>
    <w:p w14:paraId="519175D6" w14:textId="77777777" w:rsidR="00F70995" w:rsidRDefault="00081955">
      <w:r>
        <w:br w:type="page"/>
      </w:r>
    </w:p>
    <w:p w14:paraId="519175D7" w14:textId="77777777" w:rsidR="00F70995" w:rsidRDefault="00081955">
      <w:pPr>
        <w:pStyle w:val="Heading1"/>
        <w:spacing w:line="320" w:lineRule="auto"/>
      </w:pPr>
      <w:r>
        <w:lastRenderedPageBreak/>
        <w:t>Chapter 1: The Legal Framework Governing Cyber Security for Australian Business</w:t>
      </w:r>
    </w:p>
    <w:p w14:paraId="519175D8" w14:textId="77777777" w:rsidR="00F70995" w:rsidRDefault="00081955">
      <w:pPr>
        <w:spacing w:after="200"/>
      </w:pPr>
      <w:r>
        <w:rPr>
          <w:i/>
          <w:iCs/>
          <w:color w:val="595959"/>
        </w:rPr>
        <w:t>Prepared by [Student Name 1], [Student Number 1]</w:t>
      </w:r>
    </w:p>
    <w:p w14:paraId="519175D9" w14:textId="77777777" w:rsidR="00F70995" w:rsidRDefault="00081955">
      <w:pPr>
        <w:pStyle w:val="Heading2"/>
      </w:pPr>
      <w:r>
        <w:t>1.1 Cyber security as a legal obligation</w:t>
      </w:r>
    </w:p>
    <w:p w14:paraId="519175DA" w14:textId="77777777" w:rsidR="00F70995" w:rsidRDefault="00081955">
      <w:r>
        <w:t>Until recently, cyber security was a purely operational issue for Australian businesses. That's not a position that can be maintained. In 2024–25, ReportCyber received over 84,700 cybercrime reports, an average of one every six minutes, from businesses in Australia, with the average cost of cybercrime to business increasing 50 per cent to $80,850 per report. The average cost for small business was up 14 per cent at $56,600 and for large organisations it was up 219 per cent at $202,700. Those are the reasons for Parliament's intervention, and the reasons why the legal liability now lies with the directors and not the system administrators.</w:t>
      </w:r>
      <w:r>
        <w:rPr>
          <w:rStyle w:val="FootnoteReference"/>
        </w:rPr>
        <w:footnoteReference w:id="1"/>
      </w:r>
      <w:r>
        <w:rPr>
          <w:rStyle w:val="FootnoteReference"/>
        </w:rPr>
        <w:footnoteReference w:id="2"/>
      </w:r>
    </w:p>
    <w:p w14:paraId="519175DB" w14:textId="77777777" w:rsidR="00F70995" w:rsidRDefault="00081955">
      <w:r>
        <w:t>There is no single law that outlines the framework. It's a multi-layered privacy law, and a focused cyber security law, and critical infrastructure law, and corporate and financial services law, and consumer law, and general contract and negligence law. Several regimes are typically activated by a single incident and the interaction between the regimes is the first practical challenge.</w:t>
      </w:r>
    </w:p>
    <w:p w14:paraId="519175DC" w14:textId="77777777" w:rsidR="00F70995" w:rsidRDefault="00081955">
      <w:pPr>
        <w:pStyle w:val="Heading2"/>
      </w:pPr>
      <w:r>
        <w:t>1.2 The Privacy Act 1988 and Australian Privacy Principle 11</w:t>
      </w:r>
    </w:p>
    <w:p w14:paraId="519175DD" w14:textId="771DBC2B" w:rsidR="00F70995" w:rsidRDefault="00081955">
      <w:r>
        <w:t>The Privacy Act 1988 continues to be the key legislation. It brings together Australian Privacy Principle (APP) entities, including entities with annual turnover of more than three million dollars such as Commonwealth agencies and private organisations, as well as entities that are caught no matter what their turnover is, such as health service providers and credit reporting. There are 13 Australian Privacy Principles that regulate the collection, use, disclosure, quality and security of personal information.</w:t>
      </w:r>
      <w:r w:rsidR="001F406F">
        <w:rPr>
          <w:rStyle w:val="FootnoteReference"/>
        </w:rPr>
        <w:footnoteReference w:id="3"/>
      </w:r>
    </w:p>
    <w:p w14:paraId="519175DE" w14:textId="77777777" w:rsidR="00F70995" w:rsidRDefault="00081955">
      <w:r>
        <w:t>Australian Privacy Principle 11 is the security principle. It is a requirement that an entity take reasonable measures in the circumstances to ensure that personal information is not misused, interfered with, lost or subjected to unauthorised access, modification or disclosure, and that information is destroyed or de-identified when no longer needed. The size of the organisation, resources, type of information stored and the impact of a breach on the organisation will determine what is reasonable. A small retailer with email addresses shouldn't be required to do what a health insurer with medical information must.</w:t>
      </w:r>
    </w:p>
    <w:p w14:paraId="519175DF" w14:textId="77777777" w:rsidR="00F70995" w:rsidRDefault="00081955">
      <w:r>
        <w:t xml:space="preserve">You can't have it both ways. It allows the principle to 'catch up' with the technology, but provides little assurance to businesses until a regulatory or court determination sets the limits. The 2024 changes explicitly defined reasonable measures as technical and organisational measures, which aligns with the language used in the European General Data Protection Regulation, </w:t>
      </w:r>
      <w:r>
        <w:lastRenderedPageBreak/>
        <w:t>indicating that reasonable measures should involve documented governance as well as technical measures.</w:t>
      </w:r>
    </w:p>
    <w:p w14:paraId="519175E0" w14:textId="77777777" w:rsidR="00F70995" w:rsidRDefault="00081955">
      <w:r>
        <w:t>The enforcement was enhanced in December 2022. There is a new maximum corporate penalty for serious or repeated breaches of privacy of the greater of 50 million dollars, three times the benefit gained, or 30 per cent of adjusted turnover for the relevant period. The 2024 amendments introduced mid-tier and low-tier penalties, plus the ability for the Office of the Australian Information Commissioner to issue an infringement notice for administrative breaches of the law, such as an insufficient privacy policy. The regulator has graduated tools instead of one "sledgehammer" that is used rarely.</w:t>
      </w:r>
    </w:p>
    <w:p w14:paraId="519175E1" w14:textId="77777777" w:rsidR="00F70995" w:rsidRDefault="00081955">
      <w:pPr>
        <w:pStyle w:val="Heading2"/>
      </w:pPr>
      <w:r>
        <w:t>1.3 The Notifiable Data Breaches scheme</w:t>
      </w:r>
    </w:p>
    <w:p w14:paraId="519175E2" w14:textId="77777777" w:rsidR="00F70995" w:rsidRDefault="00081955">
      <w:r>
        <w:t>The Privacy Act 1988 (Privacy Act) introduces a new Notifiable Data Breaches scheme in Part IIIC, which has been in effect since 2018. If an entity reasonably believes it has suffered an eligible data breach, within thirty days the entity has to make a reasonable and expeditious assessment. An eligible data breach is when there has been unauthorised access to, unauthorised disclosure of or loss of personal information where a reasonable person would consider that serious harm is likely to the persons concerned. If the entity is confirmed, it shall provide the Commissioner with a statement and provide notice to affected individuals as soon as practicable.</w:t>
      </w:r>
    </w:p>
    <w:p w14:paraId="519175E3" w14:textId="0ADEC0E4" w:rsidR="00F70995" w:rsidRDefault="00081955">
      <w:r>
        <w:t>The scheme is now the simplest method of gauging cyber risk in Australia. In 2025, the Commissioner received 1,205 notifications, the highest number since the scheme's inception and an increase of eight per cent from the 1,112 received in 2024. Of these, 716 were due to malicious or criminal activity, the health service sector being the most vulnerable at nineteen per cent. The regulator reported 532 notifications in the first half of 2025, with 59% of these due to malicious attack and 37% due to human error.</w:t>
      </w:r>
      <w:r w:rsidR="00F60B77">
        <w:rPr>
          <w:rStyle w:val="FootnoteReference"/>
        </w:rPr>
        <w:footnoteReference w:id="4"/>
      </w:r>
      <w:r w:rsidR="00CC0B21">
        <w:rPr>
          <w:rStyle w:val="FootnoteReference"/>
        </w:rPr>
        <w:footnoteReference w:id="5"/>
      </w:r>
    </w:p>
    <w:p w14:paraId="519175E4" w14:textId="77777777" w:rsidR="00F70995" w:rsidRDefault="00081955">
      <w:pPr>
        <w:pBdr>
          <w:top w:val="single" w:sz="8" w:space="10" w:color="0F4761"/>
          <w:left w:val="single" w:sz="8" w:space="10" w:color="0F4761"/>
          <w:bottom w:val="single" w:sz="8" w:space="10" w:color="0F4761"/>
          <w:right w:val="single" w:sz="8" w:space="10" w:color="0F4761"/>
        </w:pBdr>
        <w:spacing w:before="240" w:after="240"/>
        <w:ind w:left="215" w:right="215"/>
      </w:pPr>
      <w:r>
        <w:rPr>
          <w:i/>
          <w:iCs/>
          <w:color w:val="44546A"/>
        </w:rPr>
        <w:t>Screenshot placeholder 1: Insert a screenshot of the OAIC Notifiable Data Breaches statistics dashboard showing notifications for the most recent reporting period. Label it Figure 1 and cite the source underneath.</w:t>
      </w:r>
    </w:p>
    <w:p w14:paraId="519175E5" w14:textId="77777777" w:rsidR="00F70995" w:rsidRDefault="00081955">
      <w:r>
        <w:t>Two points follow. When it comes to notifiable breaches, most are the result of criminal attack, and security controls are important. Over 33% are caused by staff errors like sending emails to the wrong people, so training and process are both important. A programme that funds technology, but does not take people into account, only tackles part of the legal risk.</w:t>
      </w:r>
    </w:p>
    <w:p w14:paraId="519175E6" w14:textId="77777777" w:rsidR="00F70995" w:rsidRDefault="00081955">
      <w:pPr>
        <w:pStyle w:val="Heading2"/>
      </w:pPr>
      <w:r>
        <w:t>1.4 The Privacy and Other Legislation Amendment Act 2024</w:t>
      </w:r>
    </w:p>
    <w:p w14:paraId="519175E7" w14:textId="7B9D2920" w:rsidR="00F70995" w:rsidRDefault="00081955">
      <w:r>
        <w:lastRenderedPageBreak/>
        <w:t>The Privacy and Other Legislation Amendment Act 2024 was given Royal Assent on 10 December 2024 and marked the first step towards the first tranche of Privacy Act Review reforms. The majority of the provisions began without delay; there were two major exceptions.</w:t>
      </w:r>
      <w:r w:rsidR="002269F9">
        <w:rPr>
          <w:rStyle w:val="FootnoteReference"/>
        </w:rPr>
        <w:footnoteReference w:id="6"/>
      </w:r>
      <w:r>
        <w:rPr>
          <w:rStyle w:val="FootnoteReference"/>
        </w:rPr>
        <w:footnoteReference w:id="7"/>
      </w:r>
    </w:p>
    <w:p w14:paraId="519175E8" w14:textId="2B21F468" w:rsidR="00F70995" w:rsidRDefault="00081955">
      <w:r>
        <w:t>The most significant change is the new statutory tort of serious invasion of privacy (SIoP) (Schedule 2, to be in force from 10 June 2025). Direct suit is now available against an individual. The plaintiff must prove five elements: the invasion through intrusion or misuse of information; a reasonable expectation of privacy; the invasion was intentional or reckless, but not simply negligent; the invasion was serious; and that the public interest in privacy outweighed any countervailing interest, such as freedom of expression. The tort is actionable without proof of damage and non-economic loss damages are limited to the greater of $478,550 or the equivalent defamation maximum.</w:t>
      </w:r>
      <w:r w:rsidR="00CC0B21">
        <w:rPr>
          <w:rStyle w:val="FootnoteReference"/>
        </w:rPr>
        <w:footnoteReference w:id="8"/>
      </w:r>
      <w:r>
        <w:rPr>
          <w:rStyle w:val="FootnoteReference"/>
        </w:rPr>
        <w:footnoteReference w:id="9"/>
      </w:r>
      <w:r>
        <w:rPr>
          <w:rStyle w:val="FootnoteReference"/>
        </w:rPr>
        <w:footnoteReference w:id="10"/>
      </w:r>
    </w:p>
    <w:p w14:paraId="519175E9" w14:textId="77777777" w:rsidR="00F70995" w:rsidRDefault="00081955">
      <w:r>
        <w:t>The intention or recklessness requirement provides that a business is not likely to be liable if it has implemented honest, although possibly inadequate, security. The tort extends beyond the Privacy Act, however, to non Australian Privacy Principle entities such as small business and individuals.</w:t>
      </w:r>
    </w:p>
    <w:p w14:paraId="519175EA" w14:textId="77777777" w:rsidR="00F70995" w:rsidRDefault="00081955">
      <w:r>
        <w:t>It was also in that Act that the criminal doxxing offence was established: to make personal data available by means of a carriage service in a menacing or harassing way. It added automated decision-making transparency obligations, where privacy policies need to be made transparent if computer programs are used to make decisions about individuals or to give significant assistance in making such decisions (the grace period will expire on 10 December 2026). It also allowed for a Children's Online Privacy Code. The small business exemption, a right to erasure and removal of data are still government commitments and not law.</w:t>
      </w:r>
    </w:p>
    <w:p w14:paraId="519175EB" w14:textId="77777777" w:rsidR="00F70995" w:rsidRDefault="00081955">
      <w:pPr>
        <w:pStyle w:val="Heading2"/>
      </w:pPr>
      <w:r>
        <w:t>1.5 The Cyber Security Act 2024</w:t>
      </w:r>
    </w:p>
    <w:p w14:paraId="519175EC" w14:textId="294ADAC4" w:rsidR="00F70995" w:rsidRDefault="00081955">
      <w:r>
        <w:t>The Cyber Security Act 2024 is Australia's first stand-alone cyber security law and is part of the Australian Cyber Security Strategy 2023–2030. It was given Royal Assent on 29 November 2024 and has four effects.</w:t>
      </w:r>
      <w:r w:rsidR="0087585B">
        <w:rPr>
          <w:rStyle w:val="FootnoteReference"/>
        </w:rPr>
        <w:footnoteReference w:id="11"/>
      </w:r>
      <w:r>
        <w:rPr>
          <w:rStyle w:val="FootnoteReference"/>
        </w:rPr>
        <w:footnoteReference w:id="12"/>
      </w:r>
    </w:p>
    <w:p w14:paraId="519175ED" w14:textId="77777777" w:rsidR="00F70995" w:rsidRDefault="00081955">
      <w:r>
        <w:lastRenderedPageBreak/>
        <w:t>Part 3 introduces mandatory ransomware and cyber extortion payment reporting, which will begin 30 May 2025 (no grace period). A reporting business entity that makes, or becomes aware of a payment made on its behalf, of this type is required to report the payment to the Australian Signals Directorate within seventy two hours. The Cyber Security (Ransomware Payment Reporting) Rules 2025 apply to a reporting business entity that is conducting business in Australia with turnover of more than three million dollars, or is responsible for a critical infrastructure asset (no matter its turnover). There is nothing illegal about paying a ransom, but now it's illegal to conceal the payment.</w:t>
      </w:r>
      <w:r>
        <w:rPr>
          <w:rStyle w:val="FootnoteReference"/>
        </w:rPr>
        <w:footnoteReference w:id="13"/>
      </w:r>
      <w:r>
        <w:rPr>
          <w:rStyle w:val="FootnoteReference"/>
        </w:rPr>
        <w:footnoteReference w:id="14"/>
      </w:r>
    </w:p>
    <w:p w14:paraId="519175EE" w14:textId="77777777" w:rsidR="00F70995" w:rsidRDefault="00081955">
      <w:pPr>
        <w:pBdr>
          <w:top w:val="single" w:sz="8" w:space="10" w:color="0F4761"/>
          <w:left w:val="single" w:sz="8" w:space="10" w:color="0F4761"/>
          <w:bottom w:val="single" w:sz="8" w:space="10" w:color="0F4761"/>
          <w:right w:val="single" w:sz="8" w:space="10" w:color="0F4761"/>
        </w:pBdr>
        <w:spacing w:before="240" w:after="240"/>
        <w:ind w:left="215" w:right="215"/>
      </w:pPr>
      <w:r>
        <w:rPr>
          <w:i/>
          <w:iCs/>
          <w:color w:val="44546A"/>
        </w:rPr>
        <w:t>Screenshot placeholder 2: Insert a screenshot of the ransomware and cyber extortion payment reporting page or reporting form on cyber.gov.au. Label it Figure 2 and cite the source underneath.</w:t>
      </w:r>
    </w:p>
    <w:p w14:paraId="519175EF" w14:textId="77777777" w:rsidR="00F70995" w:rsidRDefault="00081955">
      <w:r>
        <w:t>Second, the Act allows for minimum security standards for smart devices. The Cyber Security (Security Standards for Smart Devices) Rules 2025 came into effect on 4 March 2026, following a period of 12 months during which security standards were adapted to the new rules, and require three baseline security measures: no default password, a published vulnerability disclosure process, and published security update periods.</w:t>
      </w:r>
    </w:p>
    <w:p w14:paraId="519175F0" w14:textId="77777777" w:rsidR="00F70995" w:rsidRDefault="00081955">
      <w:r>
        <w:t>Thirdly, Part 4 sets out a limited use rule. Where there's a major incident, information voluntarily disclosed to the National Cyber Security Coordinator cannot be used for most regulatory purposes, which helps to reduce the fear that cooperation will become evidence, encouraging candid disclosure.</w:t>
      </w:r>
    </w:p>
    <w:p w14:paraId="519175F1" w14:textId="77777777" w:rsidR="00F70995" w:rsidRDefault="00081955">
      <w:r>
        <w:t>Fourth, Part 5 establishes a Cyber Incident Review Board to carry out post-incident reviews without assigning fault and to release lessons to the industry, based on aviation safety investigation practices.</w:t>
      </w:r>
    </w:p>
    <w:p w14:paraId="519175F2" w14:textId="77777777" w:rsidR="00F70995" w:rsidRDefault="00081955">
      <w:pPr>
        <w:pStyle w:val="Heading2"/>
      </w:pPr>
      <w:r>
        <w:t>1.6 Critical infrastructure regulation under the SOCI Act</w:t>
      </w:r>
    </w:p>
    <w:p w14:paraId="519175F3" w14:textId="2E94B3C6" w:rsidR="00F70995" w:rsidRDefault="00081955">
      <w:r>
        <w:t>Owners and operators of assets in the sectors of communications, energy, financial services, transport, data processing and storage, health, food and grocery, education, defence industry and space are governed by the Security of Critical Infrastructure Act 2018. Responsible entities are required to register assets, have a critical infrastructure risk management program and report to Australian Signals Directorate on incidents. If there is a significant impact, it must be reported within twelve hours and if the impact is relevant, within seventy two hours.</w:t>
      </w:r>
      <w:r w:rsidR="00133735">
        <w:rPr>
          <w:rStyle w:val="FootnoteReference"/>
        </w:rPr>
        <w:footnoteReference w:id="15"/>
      </w:r>
    </w:p>
    <w:p w14:paraId="519175F4" w14:textId="58A75123" w:rsidR="00F70995" w:rsidRDefault="00081955">
      <w:r>
        <w:t xml:space="preserve">Five changes were made in the Security of Critical Infrastructure and Other Legislation Amendment (Enhanced Response and Prevention) Act 2024. Data storage systems that contain business critical data are considered to be part of the critical infrastructure asset and are thus </w:t>
      </w:r>
      <w:r>
        <w:lastRenderedPageBreak/>
        <w:t>subject to registration, risk management and notification requirements. Broadening of government directions powers to serious incidents in general. Rules of protected information were explained. Home Affairs has been given authority to mandate remediation of an inadequate risk management program. A new Part 2D was added that combined telecommunications security requirements. The changes started on 20 December 2024, with the rest of the rules and Schedule 5 applying from 4 April 2025.</w:t>
      </w:r>
      <w:r w:rsidR="0092624B">
        <w:rPr>
          <w:rStyle w:val="FootnoteReference"/>
        </w:rPr>
        <w:footnoteReference w:id="16"/>
      </w:r>
      <w:r>
        <w:rPr>
          <w:rStyle w:val="FootnoteReference"/>
        </w:rPr>
        <w:footnoteReference w:id="17"/>
      </w:r>
      <w:r>
        <w:rPr>
          <w:rStyle w:val="FootnoteReference"/>
        </w:rPr>
        <w:footnoteReference w:id="18"/>
      </w:r>
      <w:r>
        <w:rPr>
          <w:rStyle w:val="FootnoteReference"/>
        </w:rPr>
        <w:footnoteReference w:id="19"/>
      </w:r>
    </w:p>
    <w:p w14:paraId="519175F5" w14:textId="77777777" w:rsidR="00F70995" w:rsidRDefault="00081955">
      <w:r>
        <w:t>What that translates to is that businesses that never thought about themselves as critical infrastructure suddenly have supporting databases and cloud repositories that are regulated, and one ransomware attack can result in a twelve hour SOCI notification, a seventy-two hour ransomware report and a thirty day privacy assessment all at once.</w:t>
      </w:r>
    </w:p>
    <w:p w14:paraId="519175F6" w14:textId="77777777" w:rsidR="00F70995" w:rsidRDefault="00081955">
      <w:pPr>
        <w:pStyle w:val="Heading2"/>
      </w:pPr>
      <w:r>
        <w:t>1.7 Corporate law, financial services and directors' duties</w:t>
      </w:r>
    </w:p>
    <w:p w14:paraId="519175F7" w14:textId="2BD471B2" w:rsidR="00F70995" w:rsidRDefault="00081955">
      <w:r>
        <w:t xml:space="preserve">Cyber security also </w:t>
      </w:r>
      <w:proofErr w:type="gramStart"/>
      <w:r>
        <w:t>engages</w:t>
      </w:r>
      <w:proofErr w:type="gramEnd"/>
      <w:r>
        <w:t xml:space="preserve"> the Corporations Act 2001</w:t>
      </w:r>
      <w:r w:rsidR="00C35D15">
        <w:rPr>
          <w:rStyle w:val="FootnoteReference"/>
        </w:rPr>
        <w:footnoteReference w:id="20"/>
      </w:r>
      <w:r>
        <w:t xml:space="preserve">. In Australian Securities and Investments Commission v RI Advice Group Pty Ltd [2022] FCA 496 the Federal Court declared for the first time that a financial services licensee breached its statutory obligations by failing to manage cyber security risk adequately. RI Advice's </w:t>
      </w:r>
      <w:proofErr w:type="spellStart"/>
      <w:r>
        <w:t>authorised</w:t>
      </w:r>
      <w:proofErr w:type="spellEnd"/>
      <w:r>
        <w:t xml:space="preserve"> representatives suffered repeated incidents over several years, including one in which an </w:t>
      </w:r>
      <w:proofErr w:type="spellStart"/>
      <w:r>
        <w:t>unauthorised</w:t>
      </w:r>
      <w:proofErr w:type="spellEnd"/>
      <w:r>
        <w:t xml:space="preserve"> person accessed a file server for months. Rofe J held the licensee contravened section 912A(1)(a) by failing to provide services efficiently, honestly and fairly, and section 912A(1)(h) by lacking adequate risk management systems. RI Advice paid $750,000 towards ASIC's costs and was ordered to engage a cyber security expert</w:t>
      </w:r>
      <w:r>
        <w:rPr>
          <w:rStyle w:val="FootnoteReference"/>
        </w:rPr>
        <w:footnoteReference w:id="21"/>
      </w:r>
      <w:r>
        <w:t>.</w:t>
      </w:r>
    </w:p>
    <w:p w14:paraId="519175F8" w14:textId="77777777" w:rsidR="00F70995" w:rsidRDefault="00081955">
      <w:r>
        <w:t xml:space="preserve">It's not about the result, it's about the reasoning. The Court agreed that cyber risk is not something that can simply be outsourced to third parties and needs to be actively managed with documented and tested controls. A commentator points out that the decision allows for stepping-stone actions to be taken, in that the contravention of the company can be used to support an allegation that the directors failed to take reasonable care and diligence in preventing it under section 180(1). Directors do not have to be technologists, but they must be aware of the material cyber threats and assure that a tested response capability exists. There are parallel obligations on banks, insurers and superannuation trustees under Prudential Standard CPS 234 </w:t>
      </w:r>
      <w:r>
        <w:lastRenderedPageBreak/>
        <w:t>and there is a possibility that continuous disclosure may require a listed company to disclose a material incident.</w:t>
      </w:r>
      <w:r>
        <w:rPr>
          <w:rStyle w:val="FootnoteReference"/>
        </w:rPr>
        <w:footnoteReference w:id="22"/>
      </w:r>
    </w:p>
    <w:p w14:paraId="519175F9" w14:textId="77777777" w:rsidR="00F70995" w:rsidRDefault="00081955">
      <w:pPr>
        <w:pStyle w:val="Heading2"/>
      </w:pPr>
      <w:r>
        <w:t>1.8 Consumer law, contract and the general law</w:t>
      </w:r>
    </w:p>
    <w:p w14:paraId="519175FA" w14:textId="2023B157" w:rsidR="00F70995" w:rsidRDefault="00081955">
      <w:r>
        <w:t>The Australian Consumer Law contained in Schedule 2 of the Competition and Consumer Act 2010 throws a further dimension. If the controls aren't as they are claimed to be, then representations that customer data is safe or encrypted could be misleading or deceptive conduct under section 18. The consumer guarantees also require that services are provided with care and skill, and unfair contract term provisions restrict a supplier's liability to exclude liability for data loss in standard form small business contracts.</w:t>
      </w:r>
      <w:r w:rsidR="00C3124B">
        <w:rPr>
          <w:rStyle w:val="FootnoteReference"/>
        </w:rPr>
        <w:footnoteReference w:id="23"/>
      </w:r>
    </w:p>
    <w:p w14:paraId="519175FB" w14:textId="77777777" w:rsidR="00F70995" w:rsidRDefault="00081955">
      <w:r>
        <w:t>Cyber obligations are going first, and that's in a contract. Government and financial services buyers routinely demand suppliers to adhere to certain standards, keep certifications, allow audit, have cyber insurance and report incidents within timeframes that are shorter than the statutory requirements. For many small and medium businesses, contractual security requirements often come before regulatory requirements. Negligence continues to be a viable theory where a duty of care is present, and is the basis of several consumer class actions mentioned in Chapter 2.</w:t>
      </w:r>
    </w:p>
    <w:p w14:paraId="519175FC" w14:textId="77777777" w:rsidR="00F70995" w:rsidRDefault="00081955">
      <w:pPr>
        <w:pStyle w:val="Heading2"/>
      </w:pPr>
      <w:r>
        <w:t>1.9 Chapter summary</w:t>
      </w:r>
    </w:p>
    <w:p w14:paraId="519175FD" w14:textId="77777777" w:rsidR="00F70995" w:rsidRDefault="00081955">
      <w:r>
        <w:t>Australian cyber security law is a multi-level rather than a single requirement. The Privacy Act establishes a flexible security requirement with penalties up to fifty million dollars and requires breach notification. A private right of action was included in the privacy amendments for 2024. Ransomware payment reporting and device standards were added to the Cyber Security Act 2024. An increasing number of entities are required to have risk management and rapid notification under the SOCI Act. Corporate law makes security failures governance failures and consumer and contract law creates an exposure independent of any regulator. The trend is toward increased mandate and reduced timeframe and penalties. Chapter 2 focuses on enforcement and real compliance.</w:t>
      </w:r>
    </w:p>
    <w:p w14:paraId="519175FE" w14:textId="77777777" w:rsidR="00F70995" w:rsidRDefault="00081955">
      <w:r>
        <w:br w:type="page"/>
      </w:r>
    </w:p>
    <w:p w14:paraId="519175FF" w14:textId="77777777" w:rsidR="00F70995" w:rsidRDefault="00081955">
      <w:pPr>
        <w:pStyle w:val="Heading1"/>
        <w:spacing w:line="320" w:lineRule="auto"/>
      </w:pPr>
      <w:r>
        <w:lastRenderedPageBreak/>
        <w:t>Chapter 2: Compliance Challenges, Liability and Risk Management</w:t>
      </w:r>
    </w:p>
    <w:p w14:paraId="51917600" w14:textId="77777777" w:rsidR="00F70995" w:rsidRDefault="00081955">
      <w:pPr>
        <w:spacing w:after="200"/>
      </w:pPr>
      <w:r>
        <w:rPr>
          <w:i/>
          <w:iCs/>
          <w:color w:val="595959"/>
        </w:rPr>
        <w:t>Prepared by [Student Name 2], [Student Number 2]</w:t>
      </w:r>
    </w:p>
    <w:p w14:paraId="51917601" w14:textId="77777777" w:rsidR="00F70995" w:rsidRDefault="00081955">
      <w:pPr>
        <w:pStyle w:val="Heading2"/>
      </w:pPr>
      <w:r>
        <w:t>2.1 From obligation to enforcement</w:t>
      </w:r>
    </w:p>
    <w:p w14:paraId="51917602" w14:textId="77777777" w:rsidR="00F70995" w:rsidRDefault="00081955">
      <w:r>
        <w:t>Chapter 1 presented a system of duties. In this chapter, the author explores the consequences of their failure to be satisfied, and the difficulties that compliance is having in practice. Since 2024, the difference between de facto and de jure law has decreased significantly. Regulators, who once loved education now litigate, people can sue directly and reporting deadlines are sufficiently short that unprepared individuals will fail to meet them simply because of confusion on the first day of an incident.</w:t>
      </w:r>
    </w:p>
    <w:p w14:paraId="51917603" w14:textId="77777777" w:rsidR="00F70995" w:rsidRDefault="00081955">
      <w:r>
        <w:t>It is a serious issue. For the Australian Signals Directorate, health care &amp; social assistance had the highest rate of successful outcomes of malicious actors, with 95 per cent, compared to approximately fifty-two per cent for all sectors in 2024–25. Ransomware attacks targeting the healthcare sector grew 200 per cent, year on year, while the agency saw over two hundred denial of service attacks, more than 280 per cent up on last year. Eleven per cent of the reported cybercrime was ransomware.</w:t>
      </w:r>
      <w:r>
        <w:rPr>
          <w:rStyle w:val="FootnoteReference"/>
        </w:rPr>
        <w:footnoteReference w:id="24"/>
      </w:r>
    </w:p>
    <w:p w14:paraId="51917604" w14:textId="77777777" w:rsidR="00F70995" w:rsidRDefault="00081955">
      <w:pPr>
        <w:pBdr>
          <w:top w:val="single" w:sz="8" w:space="10" w:color="0F4761"/>
          <w:left w:val="single" w:sz="8" w:space="10" w:color="0F4761"/>
          <w:bottom w:val="single" w:sz="8" w:space="10" w:color="0F4761"/>
          <w:right w:val="single" w:sz="8" w:space="10" w:color="0F4761"/>
        </w:pBdr>
        <w:spacing w:before="240" w:after="240"/>
        <w:ind w:left="215" w:right="215"/>
      </w:pPr>
      <w:r>
        <w:rPr>
          <w:i/>
          <w:iCs/>
          <w:color w:val="44546A"/>
        </w:rPr>
        <w:t>Screenshot placeholder 3: Insert a screenshot of the chart showing the average self-reported cost of cybercrime to Australian businesses from the ASD Annual Cyber Threat Report 2024-25. Label it Figure 3 and cite the source underneath.</w:t>
      </w:r>
    </w:p>
    <w:p w14:paraId="51917605" w14:textId="77777777" w:rsidR="00F70995" w:rsidRDefault="00081955">
      <w:pPr>
        <w:pStyle w:val="Heading2"/>
      </w:pPr>
      <w:r>
        <w:t>2.2 Regulatory enforcement in practice</w:t>
      </w:r>
    </w:p>
    <w:p w14:paraId="51917606" w14:textId="6619CEA3" w:rsidR="00F70995" w:rsidRDefault="00081955">
      <w:r>
        <w:t>The most obvious change is the Commissioner's willingness to file civil penalty proceedings. In June 2024, proceedings were commenced in the Federal Court against Medibank Private Limited for the breach in October 2022, which involved Medibank seriously breaching the privacy of 9.7 million Australians by failing to take reasonable steps to protect their personal information. The Court has the power to award up to $2.22 million for each breach of section 13G (at the current rate), and the concise statement has suggested alternative constructions, one of which is a breach for every individual affected, creating a potential exposure that is unprecedented in Australian privacy law.</w:t>
      </w:r>
      <w:r w:rsidR="0094440F">
        <w:rPr>
          <w:rStyle w:val="FootnoteReference"/>
        </w:rPr>
        <w:footnoteReference w:id="25"/>
      </w:r>
      <w:r>
        <w:rPr>
          <w:rStyle w:val="FootnoteReference"/>
        </w:rPr>
        <w:footnoteReference w:id="26"/>
      </w:r>
    </w:p>
    <w:p w14:paraId="51917607" w14:textId="1355CFB2" w:rsidR="00F70995" w:rsidRDefault="00081955">
      <w:r>
        <w:t xml:space="preserve">The Singtel Optus Pty Limited and Optus Systems Pty Limited case concerns the September 2022 breach, where the Commissioner alleged that Optus failed to take reasonable precautions to protect the privacy of around 9.5 million Australians between October 2019 and September </w:t>
      </w:r>
      <w:r>
        <w:lastRenderedPageBreak/>
        <w:t>2022, and, once again, that it contravened the Privacy and Personal Information Protection Act (PPIP Act) for each individual. The cases will extend through 2026, as will other cases that are being initiated by the commissioners on rental technology, connected cars and tracking pixels.</w:t>
      </w:r>
      <w:r w:rsidR="00CC0B21">
        <w:rPr>
          <w:rStyle w:val="FootnoteReference"/>
        </w:rPr>
        <w:footnoteReference w:id="27"/>
      </w:r>
      <w:r w:rsidR="00F60B77">
        <w:rPr>
          <w:rStyle w:val="FootnoteReference"/>
        </w:rPr>
        <w:footnoteReference w:id="28"/>
      </w:r>
    </w:p>
    <w:p w14:paraId="51917608" w14:textId="77777777" w:rsidR="00F70995" w:rsidRDefault="00081955">
      <w:pPr>
        <w:pBdr>
          <w:top w:val="single" w:sz="8" w:space="10" w:color="0F4761"/>
          <w:left w:val="single" w:sz="8" w:space="10" w:color="0F4761"/>
          <w:bottom w:val="single" w:sz="8" w:space="10" w:color="0F4761"/>
          <w:right w:val="single" w:sz="8" w:space="10" w:color="0F4761"/>
        </w:pBdr>
        <w:spacing w:before="240" w:after="240"/>
        <w:ind w:left="215" w:right="215"/>
      </w:pPr>
      <w:r>
        <w:rPr>
          <w:i/>
          <w:iCs/>
          <w:color w:val="44546A"/>
        </w:rPr>
        <w:t>Screenshot placeholder 4: Insert a screenshot of the OAIC media release announcing civil penalty proceedings against Medibank or Optus. Label it Figure 4 and cite the source underneath.</w:t>
      </w:r>
    </w:p>
    <w:p w14:paraId="51917609" w14:textId="77777777" w:rsidR="00F70995" w:rsidRDefault="00081955">
      <w:r>
        <w:t>Three lessons emerge. There is no penalty for being hacked in either of these proceedings, and both involve claims that reasonable steps were not taken in advance, thus the security posture in the years leading up to the hacking incident is what is litigated. The Medibank concise statement is a de facto release of the regulator's expectations of entities dealing with sensitive information on a large scale. Pleading per contravention means that volume is considered aggravating and data minimisation and retention is squarely on issue, given that Medibank kept data on many former customers long after it had ceased to be required for operating the business.</w:t>
      </w:r>
    </w:p>
    <w:p w14:paraId="5191760A" w14:textId="77777777" w:rsidR="00F70995" w:rsidRDefault="00081955">
      <w:pPr>
        <w:pStyle w:val="Heading2"/>
      </w:pPr>
      <w:r>
        <w:t>2.3 Private litigation and the statutory tort</w:t>
      </w:r>
    </w:p>
    <w:p w14:paraId="5191760B" w14:textId="77777777" w:rsidR="00F70995" w:rsidRDefault="00081955">
      <w:r>
        <w:t>Exposures include regulatory penalties. Representative proceedings have been launched against both Optus and Medibank for breach of contract, contraventions of the Australian Consumer Law and negligence, as well as a separate shareholder class action against Medibank. Leaving aside that a post-incident consultant's report is covered by legal professional privilege has been a key battleground, with details of the refusal of Medibank to obtain leave to appeal in that regard reported in March 2026.</w:t>
      </w:r>
    </w:p>
    <w:p w14:paraId="5191760C" w14:textId="77777777" w:rsidR="00F70995" w:rsidRDefault="00081955">
      <w:r>
        <w:t>There's a lesson to be learned there that can be missed. Forensic review is a common practice of organisations as soon as an incident occurs. The discoverability of those reports at a later time may be dependent on the nature of the engagement and the instructions given to the consultant and the predominant purpose of the report. A business that solicited an independent opinion as to structure, but did not do so in the context of legal advice, may find that its own honest self-evaluation of its shortcomings is evidence in penalty proceedings and class actions.</w:t>
      </w:r>
    </w:p>
    <w:p w14:paraId="5191760D" w14:textId="77777777" w:rsidR="00F70995" w:rsidRDefault="00081955">
      <w:r>
        <w:t>The statutory tort provides an additional cause of action. It is actionable, but not necessarily if there is no actual damage and it can be applied to entities outside the Privacy Act, which expands the number of defendants. The intent or recklessness requirement is a real test and if a business is attacked, yet has taken reasonable precautions, then it is unlikely to be liable. But, an organisation that has been notified of a vulnerability and knowingly decided not to fix it may find recklessness a claim that is easier to make than it might think. Board minutes, boarded up risk registers and penetration test results that were ignored are all important evidence.</w:t>
      </w:r>
    </w:p>
    <w:p w14:paraId="5191760E" w14:textId="77777777" w:rsidR="00F70995" w:rsidRDefault="00081955">
      <w:pPr>
        <w:pStyle w:val="Heading2"/>
      </w:pPr>
      <w:r>
        <w:lastRenderedPageBreak/>
        <w:t>2.4 The reporting maze</w:t>
      </w:r>
    </w:p>
    <w:p w14:paraId="5191760F" w14:textId="77777777" w:rsidR="00F70995" w:rsidRDefault="00081955">
      <w:r>
        <w:t>The biggest compliance challenge that is underestimated is the amount of notification obligations that arise from one incident. If a mid-sized health provider's data storage system is the target of a ransomware attack, the consequences may include notification to the Australian Signals Directorate within twelve or seventy-two hours, a ransomware payment report within seventy two hours of payment (if payment occurs), an assessment within thirty days and notification as soon practicable under the Notifiable Data Breaches scheme, prudential notification if regulated by APRA, market disclosure if listed, contractual notification to enterprise customers often within twenty four hours and overseas notification if affected individuals live overseas.</w:t>
      </w:r>
    </w:p>
    <w:p w14:paraId="51917610" w14:textId="77777777" w:rsidR="00F70995" w:rsidRDefault="00081955">
      <w:r>
        <w:t>These duties have varying triggers, clocks and recipients and begin at varying times. The SOCI clock starts when the incident is known, the ransomware clock when the ransom is paid and the privacy clock when facts on which a suspicion is based are known. An organisation that's trying to do this for the first time in the midst of an incident, while systems are still encrypted and executives are not available, will almost certainly overlook something. The only realistic mitigation is a documented response plan which assigns the obligation to a named owner and a template has been drafted and rehearsed by tabletop exercises.</w:t>
      </w:r>
    </w:p>
    <w:p w14:paraId="51917611" w14:textId="4142E421" w:rsidR="00F70995" w:rsidRDefault="00081955">
      <w:r>
        <w:t>Resources make things even more challenging. A large bank has a full time security operations centre and standing external counsel. A mid-sized manufacturer that faces the same seventy-two hour clock for ransomware reporting, may have one internal technology manager and no retained lawyer. The law provides some flexibility in this regard, and the fixed statutory deadlines provided for under the Cyber Security Act and SOCI Act do not. This leads to a compliance burden that falls disproportionately on organisations that are least able to bear it, and that's why it's more important for them, not less.</w:t>
      </w:r>
      <w:r w:rsidR="00F82853">
        <w:rPr>
          <w:rStyle w:val="FootnoteReference"/>
        </w:rPr>
        <w:footnoteReference w:id="29"/>
      </w:r>
    </w:p>
    <w:p w14:paraId="51917612" w14:textId="77777777" w:rsidR="00F70995" w:rsidRDefault="00081955">
      <w:r>
        <w:t>The limited use provision mitigates this chilling effect by providing that most of the information voluntarily shared with the National Cyber Security Coordinator is limited in its use. It's a true, albeit limited, protection. It is not applicable to other regulators and is not an amnesty as it does not stop the same facts being discovered independently.</w:t>
      </w:r>
    </w:p>
    <w:p w14:paraId="51917613" w14:textId="77777777" w:rsidR="00F70995" w:rsidRDefault="00081955">
      <w:pPr>
        <w:pStyle w:val="Heading2"/>
      </w:pPr>
      <w:r>
        <w:t>2.5 Small business, supply chains and third parties</w:t>
      </w:r>
    </w:p>
    <w:p w14:paraId="51917614" w14:textId="77777777" w:rsidR="00F70995" w:rsidRDefault="00081955">
      <w:r>
        <w:t>The exemption for small businesses, which covers most organisations with a turnover of three million dollars or less, is often referred to as Australia's 'biggest privacy loophole', and Australia is one of the few jurisdictions to still have the exemption. The Government has agreed in principle to its removal in second tranche reform, but as of mid-2026, no bill had been passed, and there was no certainty that it will ever take the form it was originally designed to.</w:t>
      </w:r>
    </w:p>
    <w:p w14:paraId="51917615" w14:textId="77777777" w:rsidR="00F70995" w:rsidRDefault="00081955">
      <w:r>
        <w:t xml:space="preserve">Nevertheless, the exemption is slowly being worn down. It never covered health service providers, credit reporting businesses, businesses that deal in personal information, Commonwealth contractors or opt-in businesses. The second phase of anti-money laundering reform kicked in on 1 July 2026, with newly regulated service providers, such as real estate agents, lawyers, accountants and conveyancers, now subject to the Privacy Act for their </w:t>
      </w:r>
      <w:r>
        <w:lastRenderedPageBreak/>
        <w:t>regulated data handling, impacting an estimated 100,000 small businesses. Small businesses that have to apply the exemption should check if an exception already applies to them.</w:t>
      </w:r>
    </w:p>
    <w:p w14:paraId="51917616" w14:textId="77777777" w:rsidR="00F70995" w:rsidRDefault="00081955">
      <w:r>
        <w:t>Even if it applies, the exemption provides little solace. There is no turnover requirement for the statutory tort, the Australian Consumer Law, and supply chain contracts. Larger organisations have been told by regulators that they are still responsible for information used on their behalf, so they pass down detailed security requirements to suppliers. The contractual obligations imposed on a vendor with a turnover of two million dollars could be greater than those required by the Privacy Act. The reason supply chain compromise is a top breach vector is that it's the weakest link in the chain that's attacked.</w:t>
      </w:r>
    </w:p>
    <w:p w14:paraId="51917617" w14:textId="77777777" w:rsidR="00F70995" w:rsidRDefault="00081955">
      <w:pPr>
        <w:pStyle w:val="Heading2"/>
      </w:pPr>
      <w:r>
        <w:t>2.6 Emerging pressures</w:t>
      </w:r>
    </w:p>
    <w:p w14:paraId="51917618" w14:textId="77777777" w:rsidR="00F70995" w:rsidRDefault="00081955">
      <w:r>
        <w:t>The landscape is changing with the influence of three developments. The first one is artificial intelligence. Generative tools make phishing and business email compromise some of the most expensive forms of cybercrime for Australian business more affordable and higher quality. Adoption also exposes to privacy issues when staff copy personal information to external systems, and – from 10 December 2026 – transparency requirements for automated decision-making will require programs that substantially support decisions involving individuals to be disclosed.</w:t>
      </w:r>
    </w:p>
    <w:p w14:paraId="51917619" w14:textId="77777777" w:rsidR="00F70995" w:rsidRDefault="00081955">
      <w:r>
        <w:t>The second is legacy technology &amp; cloud. According to the Australian Signals Directorate (ASD), unpatched and end-of-life systems are frequently a significant entry point and recommends organisations to replace legacy systems, adopt best-practice event logging, select secure-by-design products and plan for post-quantum cryptography. The importance of logging should be discussed: in the proceedings mentioned, the failure of the court to assess what the attacker had access to materially, left the defendant in a worse position.</w:t>
      </w:r>
    </w:p>
    <w:p w14:paraId="5191761A" w14:textId="77777777" w:rsidR="00F70995" w:rsidRDefault="00081955">
      <w:r>
        <w:t>The third one is the professionalisation of the criminal market. Ransomware is now being marketed as a service and data theft and publication is now the preferred method of extortion rather than encryption. Legally, this is important because an exfiltration attack that doesn't disrupt any operations at all is nonetheless an unauthorised access to personal data and will kick the same set of notifications into motion.</w:t>
      </w:r>
    </w:p>
    <w:p w14:paraId="5191761B" w14:textId="77777777" w:rsidR="00F70995" w:rsidRDefault="00081955">
      <w:r>
        <w:t>This fourth pressure is one that is not on its own: the cyber insurance market. Insurers today will only back up an insured based on the strength of specific controls, and usually demand multi-factor authentication, offline backups and endpoint detection to provide cover at a workable premium. Insurance is, therefore, an informal regulator in the private sector, which is responsible for uplifting security in the business that is not covered by the regulator. However, businesses will be aware that generally, under Australian public policy, insurance does not respond to civil penalties; it will usually respond to costs incurred in responding to a civil penalty, business interruption and third party claims.</w:t>
      </w:r>
    </w:p>
    <w:p w14:paraId="5191761C" w14:textId="77777777" w:rsidR="00F70995" w:rsidRDefault="00081955">
      <w:pPr>
        <w:pStyle w:val="Heading2"/>
      </w:pPr>
      <w:r>
        <w:t>2.7 Practical compliance recommendations</w:t>
      </w:r>
    </w:p>
    <w:p w14:paraId="5191761D" w14:textId="77777777" w:rsidR="00F70995" w:rsidRDefault="00081955">
      <w:r>
        <w:t>The following measures are directly related to the identified risks. Firstly, create and maintain an inventory of data, as an organisation can't protect data that it doesn't know about or that it can't find. Secondly, take a real retention and destruction policy; Australian Privacy Principle 11.2 requires that information be destroyed when no longer required and retained historical data has been the cause of every major breach in Australia.</w:t>
      </w:r>
    </w:p>
    <w:p w14:paraId="5191761E" w14:textId="77777777" w:rsidR="00F70995" w:rsidRDefault="00081955">
      <w:r>
        <w:lastRenderedPageBreak/>
        <w:t>Thirdly, put in place the Essential Eight mitigation strategies and document the level of maturity. The Essential Eight is not a legal standard, but is likely the most common standard a court or regulator would refer to when considering what reasonable steps looked like. Fourth, develop and test an incident response plan assigning an owner to each notification requirement, including regulator information and sample notifications that are practiced annually, including board participation.</w:t>
      </w:r>
    </w:p>
    <w:p w14:paraId="5191761F" w14:textId="77777777" w:rsidR="00F70995" w:rsidRDefault="00081955">
      <w:r>
        <w:t>Fifth, tackle the human factor, as 37% of reported incidents of notifiable breaches in early 2025 were due to human error; Phishing simulation, multi-factor authentication and clear handling procedures provide great value for marginal investment. Sixth, control third parties with due diligence, contractual security and notification provisions, and periodic assurances, instead of a one-time questionnaire. Seventh, consider privilege at the beginning of post-incident forensic reviews by taking legal advice before beginning. Eighth, make sure that the board is regularly and clearly and minuted on cyber risk reporting as this is the governance record that a stepping stone action is going to look at. Lastly, consider cyber insurance – regulatory penalties are generally not insurable in Australia on public policy basis.</w:t>
      </w:r>
    </w:p>
    <w:p w14:paraId="51917620" w14:textId="77777777" w:rsidR="00F70995" w:rsidRDefault="00081955">
      <w:pPr>
        <w:pStyle w:val="Heading2"/>
      </w:pPr>
      <w:r>
        <w:t>2.8 Chapter summary</w:t>
      </w:r>
    </w:p>
    <w:p w14:paraId="51917621" w14:textId="77777777" w:rsidR="00F70995" w:rsidRDefault="00081955">
      <w:r>
        <w:t>Australian cyber security law is now in enforcement mode. There are two of the biggest penalty proceedings for privacy violations in the nation's history currently before the Federal Court, with both a class action and a shareholder action running concurrently, a statutory tort provides individuals with a direct cause of action, and a reporting requirement for payment of ransomware demands has been in force since May 2025, without any grace period. Overlapping reporting times, the loss of the small business exemption via contractual and sectoral mechanisms and the challenge of establishing reasonable care was taken prior to an incident, and the potential for an internal investigation to be used as evidence. All of these are not technology solutions. Governance is the answer to their solution.</w:t>
      </w:r>
    </w:p>
    <w:p w14:paraId="51917622" w14:textId="77777777" w:rsidR="00F70995" w:rsidRDefault="00081955">
      <w:r>
        <w:br w:type="page"/>
      </w:r>
    </w:p>
    <w:p w14:paraId="51917623" w14:textId="77777777" w:rsidR="00F70995" w:rsidRDefault="00081955">
      <w:pPr>
        <w:pStyle w:val="Heading1"/>
        <w:spacing w:line="320" w:lineRule="auto"/>
      </w:pPr>
      <w:r>
        <w:lastRenderedPageBreak/>
        <w:t>Conclusion</w:t>
      </w:r>
    </w:p>
    <w:p w14:paraId="51917624" w14:textId="77777777" w:rsidR="00F70995" w:rsidRDefault="00081955">
      <w:r>
        <w:t>This report was designed to demonstrate that Australian cyber security law has moved from a light touch approach to enforcement driven model and that the most onerous regimes are for organisations that view compliance as a matter of paperwork. The framework was mapped in chapter 1. It was seen at work in Chapter 2, as recordable breaches, two precedent-setting penalty actions, parallel class actions and hours-till-deadlines.</w:t>
      </w:r>
    </w:p>
    <w:p w14:paraId="51917625" w14:textId="77777777" w:rsidR="00F70995" w:rsidRDefault="00081955">
      <w:r>
        <w:t>It's a simple message for Australian Business. The law does not demand absolute security, there is no such thing as absolute security. It demands appropriate documented, tested and controlled security to match the sensitivity and amount of information it contains. Organisations that develop that skill prior to the incident will be evaluated on that preparation. Those that don't will be judged on improvisation.</w:t>
      </w:r>
    </w:p>
    <w:p w14:paraId="51917626" w14:textId="77777777" w:rsidR="00F70995" w:rsidRDefault="00081955">
      <w:r>
        <w:br w:type="page"/>
      </w:r>
    </w:p>
    <w:p w14:paraId="51917627" w14:textId="77777777" w:rsidR="00F70995" w:rsidRDefault="00081955">
      <w:pPr>
        <w:pStyle w:val="Heading1"/>
        <w:spacing w:line="320" w:lineRule="auto"/>
      </w:pPr>
      <w:r>
        <w:lastRenderedPageBreak/>
        <w:t>Bibliography</w:t>
      </w:r>
    </w:p>
    <w:p w14:paraId="51917641" w14:textId="2C59F4AE" w:rsidR="00F70995" w:rsidRDefault="0094440F">
      <w:pPr>
        <w:ind w:left="720" w:hanging="720"/>
      </w:pPr>
      <w:r>
        <w:t>[Insert bibliography in Harvard style]</w:t>
      </w:r>
    </w:p>
    <w:sectPr w:rsidR="00F7099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36C4" w14:textId="77777777" w:rsidR="00D43D85" w:rsidRDefault="00D43D85">
      <w:pPr>
        <w:spacing w:after="0" w:line="240" w:lineRule="auto"/>
      </w:pPr>
      <w:r>
        <w:separator/>
      </w:r>
    </w:p>
  </w:endnote>
  <w:endnote w:type="continuationSeparator" w:id="0">
    <w:p w14:paraId="2D8D6823" w14:textId="77777777" w:rsidR="00D43D85" w:rsidRDefault="00D43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06BC4" w14:textId="77777777" w:rsidR="00D43D85" w:rsidRDefault="00D43D85">
      <w:pPr>
        <w:spacing w:after="0" w:line="240" w:lineRule="auto"/>
      </w:pPr>
      <w:r>
        <w:separator/>
      </w:r>
    </w:p>
  </w:footnote>
  <w:footnote w:type="continuationSeparator" w:id="0">
    <w:p w14:paraId="3FF968AF" w14:textId="77777777" w:rsidR="00D43D85" w:rsidRDefault="00D43D85">
      <w:pPr>
        <w:spacing w:after="0" w:line="240" w:lineRule="auto"/>
      </w:pPr>
      <w:r>
        <w:continuationSeparator/>
      </w:r>
    </w:p>
  </w:footnote>
  <w:footnote w:id="1">
    <w:p w14:paraId="7B86F33A" w14:textId="77777777" w:rsidR="00B104B0" w:rsidRDefault="002E1137">
      <w:pPr>
        <w:pStyle w:val="FootnoteText"/>
      </w:pPr>
      <w:r>
        <w:rPr>
          <w:rStyle w:val="FootnoteReference"/>
        </w:rPr>
        <w:footnoteRef/>
      </w:r>
      <w:r>
        <w:t xml:space="preserve"> </w:t>
      </w:r>
      <w:hyperlink r:id="rId1" w:history="1">
        <w:r>
          <w:rPr>
            <w:rStyle w:val="Hyperlink"/>
          </w:rPr>
          <w:t>https://www.cyber.gov.au/about-us/view-all-content/reports-and-statistics/annual-cyber-threat-report-2024-2025</w:t>
        </w:r>
      </w:hyperlink>
    </w:p>
    <w:p w14:paraId="032E010B" w14:textId="77777777" w:rsidR="00B104B0" w:rsidRDefault="00B104B0">
      <w:pPr>
        <w:pStyle w:val="FootnoteText"/>
      </w:pPr>
    </w:p>
  </w:footnote>
  <w:footnote w:id="2">
    <w:p w14:paraId="16EAB7F9" w14:textId="77777777" w:rsidR="00B104B0" w:rsidRDefault="002E1137">
      <w:pPr>
        <w:pStyle w:val="FootnoteText"/>
      </w:pPr>
      <w:r>
        <w:rPr>
          <w:rStyle w:val="FootnoteReference"/>
        </w:rPr>
        <w:footnoteRef/>
      </w:r>
      <w:r>
        <w:t xml:space="preserve"> </w:t>
      </w:r>
      <w:hyperlink r:id="rId2" w:history="1">
        <w:r>
          <w:rPr>
            <w:rStyle w:val="Hyperlink"/>
          </w:rPr>
          <w:t>https://www.cyberdaily.au/security/12768-annual-cyber-threat-report-2024-2025-by-the-numbers</w:t>
        </w:r>
      </w:hyperlink>
    </w:p>
    <w:p w14:paraId="45A08F0B" w14:textId="77777777" w:rsidR="00B104B0" w:rsidRDefault="00B104B0">
      <w:pPr>
        <w:pStyle w:val="FootnoteText"/>
      </w:pPr>
    </w:p>
  </w:footnote>
  <w:footnote w:id="3">
    <w:p w14:paraId="4292A110" w14:textId="5668F132" w:rsidR="001F406F" w:rsidRDefault="001F406F">
      <w:pPr>
        <w:pStyle w:val="FootnoteText"/>
      </w:pPr>
      <w:r>
        <w:rPr>
          <w:rStyle w:val="FootnoteReference"/>
        </w:rPr>
        <w:footnoteRef/>
      </w:r>
      <w:r>
        <w:t xml:space="preserve"> </w:t>
      </w:r>
      <w:hyperlink r:id="rId3" w:history="1">
        <w:r>
          <w:rPr>
            <w:rStyle w:val="Hyperlink"/>
          </w:rPr>
          <w:t>https://www.legislation.gov.au/series/C2004A03712</w:t>
        </w:r>
      </w:hyperlink>
    </w:p>
  </w:footnote>
  <w:footnote w:id="4">
    <w:p w14:paraId="311FB522" w14:textId="49BDF745" w:rsidR="00F60B77" w:rsidRDefault="00F60B77">
      <w:pPr>
        <w:pStyle w:val="FootnoteText"/>
      </w:pPr>
      <w:r>
        <w:rPr>
          <w:rStyle w:val="FootnoteReference"/>
        </w:rPr>
        <w:footnoteRef/>
      </w:r>
      <w:r>
        <w:t xml:space="preserve"> </w:t>
      </w:r>
      <w:hyperlink r:id="rId4" w:history="1">
        <w:r w:rsidRPr="008B78AC">
          <w:rPr>
            <w:rStyle w:val="Hyperlink"/>
          </w:rPr>
          <w:t>https://www.oaic.gov.au/news/media-centre/data-breach-notifications-increase-to-all-time-high-in-2025,-new-ndb-stats-show</w:t>
        </w:r>
      </w:hyperlink>
    </w:p>
    <w:p w14:paraId="5E5D7CDF" w14:textId="77777777" w:rsidR="00F60B77" w:rsidRDefault="00F60B77">
      <w:pPr>
        <w:pStyle w:val="FootnoteText"/>
      </w:pPr>
    </w:p>
  </w:footnote>
  <w:footnote w:id="5">
    <w:p w14:paraId="1E9A9803" w14:textId="07AA4CD0" w:rsidR="00CC0B21" w:rsidRDefault="00CC0B21">
      <w:pPr>
        <w:pStyle w:val="FootnoteText"/>
      </w:pPr>
      <w:r>
        <w:rPr>
          <w:rStyle w:val="FootnoteReference"/>
        </w:rPr>
        <w:footnoteRef/>
      </w:r>
      <w:r>
        <w:t xml:space="preserve"> </w:t>
      </w:r>
      <w:hyperlink r:id="rId5" w:history="1">
        <w:r>
          <w:rPr>
            <w:rStyle w:val="Hyperlink"/>
          </w:rPr>
          <w:t>https://www.oaic.gov.au/news/blog/latest-notifiable-data-breach-statistics-for-january-to-june-2025</w:t>
        </w:r>
      </w:hyperlink>
    </w:p>
    <w:p w14:paraId="6B9FC67F" w14:textId="77777777" w:rsidR="00CC0B21" w:rsidRDefault="00CC0B21">
      <w:pPr>
        <w:pStyle w:val="FootnoteText"/>
      </w:pPr>
    </w:p>
  </w:footnote>
  <w:footnote w:id="6">
    <w:p w14:paraId="6BA45FB4" w14:textId="13EF240C" w:rsidR="002269F9" w:rsidRDefault="002269F9">
      <w:pPr>
        <w:pStyle w:val="FootnoteText"/>
      </w:pPr>
      <w:r>
        <w:rPr>
          <w:rStyle w:val="FootnoteReference"/>
        </w:rPr>
        <w:footnoteRef/>
      </w:r>
      <w:r>
        <w:t xml:space="preserve"> </w:t>
      </w:r>
      <w:hyperlink r:id="rId6" w:history="1">
        <w:r w:rsidRPr="003171DD">
          <w:rPr>
            <w:rStyle w:val="Hyperlink"/>
          </w:rPr>
          <w:t>https://www.nortonrosefulbright.com/en/knowledge/publications/be98b0ff/australian-privacy-alert-parliament-passes-major-and-meaningful-privacy-law-reform</w:t>
        </w:r>
      </w:hyperlink>
    </w:p>
    <w:p w14:paraId="00FEE8B5" w14:textId="77777777" w:rsidR="002269F9" w:rsidRDefault="002269F9">
      <w:pPr>
        <w:pStyle w:val="FootnoteText"/>
      </w:pPr>
    </w:p>
  </w:footnote>
  <w:footnote w:id="7">
    <w:p w14:paraId="3B9C83B2" w14:textId="77777777" w:rsidR="00B104B0" w:rsidRDefault="002E1137">
      <w:pPr>
        <w:pStyle w:val="FootnoteText"/>
      </w:pPr>
      <w:r>
        <w:rPr>
          <w:rStyle w:val="FootnoteReference"/>
        </w:rPr>
        <w:footnoteRef/>
      </w:r>
      <w:r>
        <w:t xml:space="preserve"> </w:t>
      </w:r>
      <w:hyperlink r:id="rId7" w:history="1">
        <w:r>
          <w:rPr>
            <w:rStyle w:val="Hyperlink"/>
          </w:rPr>
          <w:t>https://www.nortonrosefulbright.com/en/knowledge/publications/be98b0ff/australian-privacy-alert-parliament-passes-major-and-meaningful-privacy-law-reform</w:t>
        </w:r>
      </w:hyperlink>
    </w:p>
    <w:p w14:paraId="7E751050" w14:textId="77777777" w:rsidR="00B104B0" w:rsidRDefault="00B104B0">
      <w:pPr>
        <w:pStyle w:val="FootnoteText"/>
      </w:pPr>
    </w:p>
  </w:footnote>
  <w:footnote w:id="8">
    <w:p w14:paraId="50AA0C94" w14:textId="0B4B1287" w:rsidR="00CC0B21" w:rsidRDefault="00CC0B21">
      <w:pPr>
        <w:pStyle w:val="FootnoteText"/>
      </w:pPr>
      <w:r>
        <w:rPr>
          <w:rStyle w:val="FootnoteReference"/>
        </w:rPr>
        <w:footnoteRef/>
      </w:r>
      <w:r>
        <w:t xml:space="preserve"> </w:t>
      </w:r>
      <w:hyperlink r:id="rId8" w:history="1">
        <w:r>
          <w:rPr>
            <w:rStyle w:val="Hyperlink"/>
          </w:rPr>
          <w:t>https://www.oaic.gov.au/privacy/your-privacy-rights/more-privacy-rights/statutory-tort-for-serious-invasions-of-privacy</w:t>
        </w:r>
      </w:hyperlink>
    </w:p>
    <w:p w14:paraId="6113CD32" w14:textId="77777777" w:rsidR="00CC0B21" w:rsidRDefault="00CC0B21">
      <w:pPr>
        <w:pStyle w:val="FootnoteText"/>
      </w:pPr>
    </w:p>
  </w:footnote>
  <w:footnote w:id="9">
    <w:p w14:paraId="6BFFC64B" w14:textId="77777777" w:rsidR="00B104B0" w:rsidRDefault="002E1137">
      <w:pPr>
        <w:pStyle w:val="FootnoteText"/>
      </w:pPr>
      <w:r>
        <w:rPr>
          <w:rStyle w:val="FootnoteReference"/>
        </w:rPr>
        <w:footnoteRef/>
      </w:r>
      <w:r>
        <w:t xml:space="preserve"> </w:t>
      </w:r>
      <w:hyperlink r:id="rId9" w:history="1">
        <w:r>
          <w:rPr>
            <w:rStyle w:val="Hyperlink"/>
          </w:rPr>
          <w:t>https://www.kennedyslaw.com/en/thought-leadership/article/2025/australia-introduces-statutory-tort-of-serious-invasion-of-privacy-apac/</w:t>
        </w:r>
      </w:hyperlink>
    </w:p>
    <w:p w14:paraId="4E67278D" w14:textId="77777777" w:rsidR="00B104B0" w:rsidRDefault="00B104B0">
      <w:pPr>
        <w:pStyle w:val="FootnoteText"/>
      </w:pPr>
    </w:p>
  </w:footnote>
  <w:footnote w:id="10">
    <w:p w14:paraId="6665333F" w14:textId="77777777" w:rsidR="00B104B0" w:rsidRDefault="002E1137">
      <w:pPr>
        <w:pStyle w:val="FootnoteText"/>
      </w:pPr>
      <w:r>
        <w:rPr>
          <w:rStyle w:val="FootnoteReference"/>
        </w:rPr>
        <w:footnoteRef/>
      </w:r>
      <w:r>
        <w:t xml:space="preserve"> </w:t>
      </w:r>
      <w:hyperlink r:id="rId10" w:history="1">
        <w:r>
          <w:rPr>
            <w:rStyle w:val="Hyperlink"/>
          </w:rPr>
          <w:t>https://www.rigbycooke.com.au/tort-for-serious-invasion-of-privacy-is-now-in-effect/</w:t>
        </w:r>
      </w:hyperlink>
    </w:p>
    <w:p w14:paraId="536BEEB9" w14:textId="77777777" w:rsidR="00B104B0" w:rsidRDefault="00B104B0">
      <w:pPr>
        <w:pStyle w:val="FootnoteText"/>
      </w:pPr>
    </w:p>
  </w:footnote>
  <w:footnote w:id="11">
    <w:p w14:paraId="37B76845" w14:textId="7C6C534F" w:rsidR="0087585B" w:rsidRDefault="0087585B">
      <w:pPr>
        <w:pStyle w:val="FootnoteText"/>
      </w:pPr>
      <w:r>
        <w:rPr>
          <w:rStyle w:val="FootnoteReference"/>
        </w:rPr>
        <w:footnoteRef/>
      </w:r>
      <w:r>
        <w:t xml:space="preserve"> </w:t>
      </w:r>
      <w:hyperlink r:id="rId11" w:history="1">
        <w:r>
          <w:rPr>
            <w:rStyle w:val="Hyperlink"/>
          </w:rPr>
          <w:t>https://www.legislation.gov.au/C2024A00098/asmade</w:t>
        </w:r>
      </w:hyperlink>
    </w:p>
    <w:p w14:paraId="2E806AA5" w14:textId="77777777" w:rsidR="0087585B" w:rsidRDefault="0087585B">
      <w:pPr>
        <w:pStyle w:val="FootnoteText"/>
      </w:pPr>
    </w:p>
  </w:footnote>
  <w:footnote w:id="12">
    <w:p w14:paraId="6EB20C31" w14:textId="77777777" w:rsidR="00B104B0" w:rsidRDefault="002E1137">
      <w:pPr>
        <w:pStyle w:val="FootnoteText"/>
      </w:pPr>
      <w:r>
        <w:rPr>
          <w:rStyle w:val="FootnoteReference"/>
        </w:rPr>
        <w:footnoteRef/>
      </w:r>
      <w:r>
        <w:t xml:space="preserve"> </w:t>
      </w:r>
      <w:hyperlink r:id="rId12" w:history="1">
        <w:r>
          <w:rPr>
            <w:rStyle w:val="Hyperlink"/>
          </w:rPr>
          <w:t>https://www.twobirds.com/en/insights/2024/australia/australias-first-standalone-cyber-security-law-the-cyber-security-act-2024</w:t>
        </w:r>
      </w:hyperlink>
    </w:p>
    <w:p w14:paraId="3F8A9D9A" w14:textId="77777777" w:rsidR="00B104B0" w:rsidRDefault="00B104B0">
      <w:pPr>
        <w:pStyle w:val="FootnoteText"/>
      </w:pPr>
    </w:p>
  </w:footnote>
  <w:footnote w:id="13">
    <w:p w14:paraId="43CCE2B4" w14:textId="77777777" w:rsidR="00B104B0" w:rsidRDefault="002E1137">
      <w:pPr>
        <w:pStyle w:val="FootnoteText"/>
      </w:pPr>
      <w:r>
        <w:rPr>
          <w:rStyle w:val="FootnoteReference"/>
        </w:rPr>
        <w:footnoteRef/>
      </w:r>
      <w:r>
        <w:t xml:space="preserve"> </w:t>
      </w:r>
      <w:hyperlink r:id="rId13" w:history="1">
        <w:r>
          <w:rPr>
            <w:rStyle w:val="Hyperlink"/>
          </w:rPr>
          <w:t>https://www.minterellison.com/articles/mandatory-ransomware-payment-reporting-obligations-in-force</w:t>
        </w:r>
      </w:hyperlink>
    </w:p>
    <w:p w14:paraId="2621F15A" w14:textId="77777777" w:rsidR="00B104B0" w:rsidRDefault="00B104B0">
      <w:pPr>
        <w:pStyle w:val="FootnoteText"/>
      </w:pPr>
    </w:p>
  </w:footnote>
  <w:footnote w:id="14">
    <w:p w14:paraId="7F34DAFD" w14:textId="77777777" w:rsidR="00B104B0" w:rsidRDefault="002E1137">
      <w:pPr>
        <w:pStyle w:val="FootnoteText"/>
      </w:pPr>
      <w:r>
        <w:rPr>
          <w:rStyle w:val="FootnoteReference"/>
        </w:rPr>
        <w:footnoteRef/>
      </w:r>
      <w:r>
        <w:t xml:space="preserve"> </w:t>
      </w:r>
      <w:hyperlink r:id="rId14" w:history="1">
        <w:r>
          <w:rPr>
            <w:rStyle w:val="Hyperlink"/>
          </w:rPr>
          <w:t>https://www.gadens.com/legal-insights/new-mandatory-ransomware-payment-reporting-obligations-now-in-force/</w:t>
        </w:r>
      </w:hyperlink>
    </w:p>
    <w:p w14:paraId="29C21F30" w14:textId="77777777" w:rsidR="00B104B0" w:rsidRDefault="00B104B0">
      <w:pPr>
        <w:pStyle w:val="FootnoteText"/>
      </w:pPr>
    </w:p>
  </w:footnote>
  <w:footnote w:id="15">
    <w:p w14:paraId="19C17C83" w14:textId="5C474CE4" w:rsidR="00133735" w:rsidRDefault="00133735">
      <w:pPr>
        <w:pStyle w:val="FootnoteText"/>
      </w:pPr>
      <w:r>
        <w:rPr>
          <w:rStyle w:val="FootnoteReference"/>
        </w:rPr>
        <w:footnoteRef/>
      </w:r>
      <w:r>
        <w:t xml:space="preserve"> </w:t>
      </w:r>
      <w:hyperlink r:id="rId15" w:history="1">
        <w:r w:rsidR="005154C9">
          <w:rPr>
            <w:rStyle w:val="Hyperlink"/>
          </w:rPr>
          <w:t>https://www.legislation.gov.au/Series/C2018A00029</w:t>
        </w:r>
      </w:hyperlink>
    </w:p>
    <w:p w14:paraId="5C84F47B" w14:textId="77777777" w:rsidR="005154C9" w:rsidRDefault="005154C9">
      <w:pPr>
        <w:pStyle w:val="FootnoteText"/>
      </w:pPr>
    </w:p>
  </w:footnote>
  <w:footnote w:id="16">
    <w:p w14:paraId="59BFF052" w14:textId="2DEAD380" w:rsidR="0092624B" w:rsidRDefault="0092624B">
      <w:pPr>
        <w:pStyle w:val="FootnoteText"/>
      </w:pPr>
      <w:r>
        <w:rPr>
          <w:rStyle w:val="FootnoteReference"/>
        </w:rPr>
        <w:footnoteRef/>
      </w:r>
      <w:r>
        <w:t xml:space="preserve"> </w:t>
      </w:r>
      <w:hyperlink r:id="rId16" w:history="1">
        <w:r w:rsidRPr="000C25BF">
          <w:rPr>
            <w:rStyle w:val="Hyperlink"/>
          </w:rPr>
          <w:t>https://www.nortonrosefulbright.com/en/knowledge/publications/be98b0ff/australian-privacy-alert-parliament-passes-major-and-meaningful-privacy-law-reform</w:t>
        </w:r>
      </w:hyperlink>
    </w:p>
    <w:p w14:paraId="0DE21118" w14:textId="77777777" w:rsidR="0092624B" w:rsidRDefault="0092624B">
      <w:pPr>
        <w:pStyle w:val="FootnoteText"/>
      </w:pPr>
    </w:p>
  </w:footnote>
  <w:footnote w:id="17">
    <w:p w14:paraId="173330E8" w14:textId="77777777" w:rsidR="00B104B0" w:rsidRDefault="002E1137">
      <w:pPr>
        <w:pStyle w:val="FootnoteText"/>
      </w:pPr>
      <w:r>
        <w:rPr>
          <w:rStyle w:val="FootnoteReference"/>
        </w:rPr>
        <w:footnoteRef/>
      </w:r>
      <w:r>
        <w:t xml:space="preserve"> </w:t>
      </w:r>
      <w:hyperlink r:id="rId17" w:history="1">
        <w:r>
          <w:rPr>
            <w:rStyle w:val="Hyperlink"/>
          </w:rPr>
          <w:t>https://www.cisc.gov.au/resources-subsite/Documents/data-storage-systems-factsheet.pdf</w:t>
        </w:r>
      </w:hyperlink>
    </w:p>
    <w:p w14:paraId="21E7FE2A" w14:textId="77777777" w:rsidR="00B104B0" w:rsidRDefault="00B104B0">
      <w:pPr>
        <w:pStyle w:val="FootnoteText"/>
      </w:pPr>
    </w:p>
  </w:footnote>
  <w:footnote w:id="18">
    <w:p w14:paraId="5C0E487B" w14:textId="77777777" w:rsidR="00B104B0" w:rsidRDefault="002E1137">
      <w:pPr>
        <w:pStyle w:val="FootnoteText"/>
      </w:pPr>
      <w:r>
        <w:rPr>
          <w:rStyle w:val="FootnoteReference"/>
        </w:rPr>
        <w:footnoteRef/>
      </w:r>
      <w:r>
        <w:t xml:space="preserve"> </w:t>
      </w:r>
      <w:hyperlink r:id="rId18" w:history="1">
        <w:r>
          <w:rPr>
            <w:rStyle w:val="Hyperlink"/>
          </w:rPr>
          <w:t>https://www.claytonutz.com/insights/2025/april/enhancing-response-and-prevention-powers-in-relation-to-critical-infrastructure-assets</w:t>
        </w:r>
      </w:hyperlink>
    </w:p>
    <w:p w14:paraId="2AFF6B81" w14:textId="77777777" w:rsidR="00B104B0" w:rsidRDefault="00B104B0">
      <w:pPr>
        <w:pStyle w:val="FootnoteText"/>
      </w:pPr>
    </w:p>
  </w:footnote>
  <w:footnote w:id="19">
    <w:p w14:paraId="23CBFF05" w14:textId="77777777" w:rsidR="00B104B0" w:rsidRDefault="002E1137">
      <w:pPr>
        <w:pStyle w:val="FootnoteText"/>
      </w:pPr>
      <w:r>
        <w:rPr>
          <w:rStyle w:val="FootnoteReference"/>
        </w:rPr>
        <w:footnoteRef/>
      </w:r>
      <w:r>
        <w:t xml:space="preserve"> </w:t>
      </w:r>
      <w:hyperlink r:id="rId19" w:history="1">
        <w:r>
          <w:rPr>
            <w:rStyle w:val="Hyperlink"/>
          </w:rPr>
          <w:t>https://www.lk.law/2025/04/new-soci-rules-go-live-changes-for-data-storage-systems-and-telco-assets/</w:t>
        </w:r>
      </w:hyperlink>
    </w:p>
    <w:p w14:paraId="64031D69" w14:textId="77777777" w:rsidR="00B104B0" w:rsidRDefault="00B104B0">
      <w:pPr>
        <w:pStyle w:val="FootnoteText"/>
      </w:pPr>
    </w:p>
  </w:footnote>
  <w:footnote w:id="20">
    <w:p w14:paraId="101A83B2" w14:textId="68DAE838" w:rsidR="00C35D15" w:rsidRDefault="00C35D15">
      <w:pPr>
        <w:pStyle w:val="FootnoteText"/>
      </w:pPr>
      <w:r>
        <w:rPr>
          <w:rStyle w:val="FootnoteReference"/>
        </w:rPr>
        <w:footnoteRef/>
      </w:r>
      <w:r>
        <w:t xml:space="preserve"> </w:t>
      </w:r>
      <w:hyperlink r:id="rId20" w:history="1">
        <w:r w:rsidRPr="000C25BF">
          <w:rPr>
            <w:rStyle w:val="Hyperlink"/>
          </w:rPr>
          <w:t>https://www.legislation.gov.au/C2004A00818/latest/text</w:t>
        </w:r>
      </w:hyperlink>
    </w:p>
    <w:p w14:paraId="5BCB15FA" w14:textId="77777777" w:rsidR="00C35D15" w:rsidRDefault="00C35D15">
      <w:pPr>
        <w:pStyle w:val="FootnoteText"/>
      </w:pPr>
    </w:p>
  </w:footnote>
  <w:footnote w:id="21">
    <w:p w14:paraId="668C20A1" w14:textId="77777777" w:rsidR="00B104B0" w:rsidRDefault="002E1137">
      <w:pPr>
        <w:pStyle w:val="FootnoteText"/>
      </w:pPr>
      <w:r>
        <w:rPr>
          <w:rStyle w:val="FootnoteReference"/>
        </w:rPr>
        <w:footnoteRef/>
      </w:r>
      <w:r>
        <w:t xml:space="preserve"> </w:t>
      </w:r>
      <w:hyperlink r:id="rId21" w:history="1">
        <w:r>
          <w:rPr>
            <w:rStyle w:val="Hyperlink"/>
          </w:rPr>
          <w:t>https://www.rllawyers.com.au/cybersecurity-risk-management-obligations-for-australian-financial-services-licensees-australian-securities-and-investments-commission-v-ri-advice-group-pty-ltd-2022-fca-496/</w:t>
        </w:r>
      </w:hyperlink>
    </w:p>
    <w:p w14:paraId="28CCB860" w14:textId="77777777" w:rsidR="00B104B0" w:rsidRDefault="00B104B0">
      <w:pPr>
        <w:pStyle w:val="FootnoteText"/>
      </w:pPr>
    </w:p>
  </w:footnote>
  <w:footnote w:id="22">
    <w:p w14:paraId="50CA0654" w14:textId="77777777" w:rsidR="00B104B0" w:rsidRDefault="002E1137">
      <w:pPr>
        <w:pStyle w:val="FootnoteText"/>
      </w:pPr>
      <w:r>
        <w:rPr>
          <w:rStyle w:val="FootnoteReference"/>
        </w:rPr>
        <w:footnoteRef/>
      </w:r>
      <w:r>
        <w:t xml:space="preserve"> </w:t>
      </w:r>
      <w:hyperlink r:id="rId22" w:history="1">
        <w:r>
          <w:rPr>
            <w:rStyle w:val="Hyperlink"/>
          </w:rPr>
          <w:t>https://www.kwm.com/au/en/insights/latest-thinking/cybersecurity-obligations-arising-out-of-asic-v-ri-advice-group.html</w:t>
        </w:r>
      </w:hyperlink>
    </w:p>
    <w:p w14:paraId="71619AFB" w14:textId="77777777" w:rsidR="00B104B0" w:rsidRDefault="00B104B0">
      <w:pPr>
        <w:pStyle w:val="FootnoteText"/>
      </w:pPr>
    </w:p>
  </w:footnote>
  <w:footnote w:id="23">
    <w:p w14:paraId="14570D9B" w14:textId="22128F8B" w:rsidR="00C3124B" w:rsidRDefault="00C3124B">
      <w:pPr>
        <w:pStyle w:val="FootnoteText"/>
      </w:pPr>
      <w:r>
        <w:rPr>
          <w:rStyle w:val="FootnoteReference"/>
        </w:rPr>
        <w:footnoteRef/>
      </w:r>
      <w:r>
        <w:t xml:space="preserve"> </w:t>
      </w:r>
      <w:hyperlink r:id="rId23" w:history="1">
        <w:r>
          <w:rPr>
            <w:rStyle w:val="Hyperlink"/>
          </w:rPr>
          <w:t>https://www.legislation.gov.au/series/C2004A00109</w:t>
        </w:r>
      </w:hyperlink>
    </w:p>
    <w:p w14:paraId="54B4D69F" w14:textId="77777777" w:rsidR="00C3124B" w:rsidRDefault="00C3124B">
      <w:pPr>
        <w:pStyle w:val="FootnoteText"/>
      </w:pPr>
    </w:p>
  </w:footnote>
  <w:footnote w:id="24">
    <w:p w14:paraId="4883808D" w14:textId="77777777" w:rsidR="00B104B0" w:rsidRDefault="002E1137">
      <w:pPr>
        <w:pStyle w:val="FootnoteText"/>
      </w:pPr>
      <w:r>
        <w:rPr>
          <w:rStyle w:val="FootnoteReference"/>
        </w:rPr>
        <w:footnoteRef/>
      </w:r>
      <w:r>
        <w:t xml:space="preserve"> </w:t>
      </w:r>
      <w:hyperlink r:id="rId24" w:history="1">
        <w:r>
          <w:rPr>
            <w:rStyle w:val="Hyperlink"/>
          </w:rPr>
          <w:t>https://www.cyber.gov.au/about-us/view-all-content/reports-and-statistics/annual-cyber-threat-report-2024-2025</w:t>
        </w:r>
      </w:hyperlink>
    </w:p>
    <w:p w14:paraId="77E77451" w14:textId="77777777" w:rsidR="00B104B0" w:rsidRDefault="00B104B0">
      <w:pPr>
        <w:pStyle w:val="FootnoteText"/>
      </w:pPr>
    </w:p>
  </w:footnote>
  <w:footnote w:id="25">
    <w:p w14:paraId="07191F75" w14:textId="1C71C35D" w:rsidR="0094440F" w:rsidRDefault="0094440F">
      <w:pPr>
        <w:pStyle w:val="FootnoteText"/>
      </w:pPr>
      <w:r>
        <w:rPr>
          <w:rStyle w:val="FootnoteReference"/>
        </w:rPr>
        <w:footnoteRef/>
      </w:r>
      <w:r>
        <w:t xml:space="preserve"> </w:t>
      </w:r>
      <w:hyperlink r:id="rId25" w:history="1">
        <w:r>
          <w:rPr>
            <w:rStyle w:val="Hyperlink"/>
          </w:rPr>
          <w:t>https://www.oaic.gov.au/news/media-centre/oaic-takes-civil-penalty-action-against-medibank</w:t>
        </w:r>
      </w:hyperlink>
    </w:p>
    <w:p w14:paraId="7233F5F9" w14:textId="77777777" w:rsidR="0094440F" w:rsidRDefault="0094440F">
      <w:pPr>
        <w:pStyle w:val="FootnoteText"/>
      </w:pPr>
    </w:p>
  </w:footnote>
  <w:footnote w:id="26">
    <w:p w14:paraId="05663221" w14:textId="77777777" w:rsidR="00B104B0" w:rsidRDefault="002E1137">
      <w:pPr>
        <w:pStyle w:val="FootnoteText"/>
      </w:pPr>
      <w:r>
        <w:rPr>
          <w:rStyle w:val="FootnoteReference"/>
        </w:rPr>
        <w:footnoteRef/>
      </w:r>
      <w:r>
        <w:t xml:space="preserve"> </w:t>
      </w:r>
      <w:hyperlink r:id="rId26" w:history="1">
        <w:r>
          <w:rPr>
            <w:rStyle w:val="Hyperlink"/>
          </w:rPr>
          <w:t>https://jws.com.au/what-we-think/aic-v-medibank-concise-statement-released-oaic/</w:t>
        </w:r>
      </w:hyperlink>
    </w:p>
    <w:p w14:paraId="3C9DC247" w14:textId="77777777" w:rsidR="00B104B0" w:rsidRDefault="00B104B0">
      <w:pPr>
        <w:pStyle w:val="FootnoteText"/>
      </w:pPr>
    </w:p>
  </w:footnote>
  <w:footnote w:id="27">
    <w:p w14:paraId="5E0D97C9" w14:textId="0A8CA7E1" w:rsidR="00CC0B21" w:rsidRDefault="00CC0B21">
      <w:pPr>
        <w:pStyle w:val="FootnoteText"/>
      </w:pPr>
      <w:r>
        <w:rPr>
          <w:rStyle w:val="FootnoteReference"/>
        </w:rPr>
        <w:footnoteRef/>
      </w:r>
      <w:r>
        <w:t xml:space="preserve"> </w:t>
      </w:r>
      <w:hyperlink r:id="rId27" w:history="1">
        <w:r>
          <w:rPr>
            <w:rStyle w:val="Hyperlink"/>
          </w:rPr>
          <w:t>https://www.oaic.gov.au/news/media-centre/australian-information-commissioner-takes-civil-penalty-action-against-optus</w:t>
        </w:r>
      </w:hyperlink>
    </w:p>
    <w:p w14:paraId="56723286" w14:textId="77777777" w:rsidR="00CC0B21" w:rsidRDefault="00CC0B21">
      <w:pPr>
        <w:pStyle w:val="FootnoteText"/>
      </w:pPr>
    </w:p>
  </w:footnote>
  <w:footnote w:id="28">
    <w:p w14:paraId="4713ABDA" w14:textId="4D00B84C" w:rsidR="00F60B77" w:rsidRDefault="00F60B77">
      <w:pPr>
        <w:pStyle w:val="FootnoteText"/>
      </w:pPr>
      <w:r>
        <w:rPr>
          <w:rStyle w:val="FootnoteReference"/>
        </w:rPr>
        <w:footnoteRef/>
      </w:r>
      <w:r>
        <w:t xml:space="preserve"> </w:t>
      </w:r>
      <w:hyperlink r:id="rId28" w:history="1">
        <w:r>
          <w:rPr>
            <w:rStyle w:val="Hyperlink"/>
          </w:rPr>
          <w:t>https://www.oaic.gov.au/news/blog/handling-privacy-complaints-a-new-approach-for-a-new-era</w:t>
        </w:r>
      </w:hyperlink>
    </w:p>
    <w:p w14:paraId="4B39936E" w14:textId="77777777" w:rsidR="00F60B77" w:rsidRDefault="00F60B77">
      <w:pPr>
        <w:pStyle w:val="FootnoteText"/>
      </w:pPr>
    </w:p>
  </w:footnote>
  <w:footnote w:id="29">
    <w:p w14:paraId="3E36AE10" w14:textId="587B8144" w:rsidR="00F82853" w:rsidRDefault="00F82853">
      <w:pPr>
        <w:pStyle w:val="FootnoteText"/>
      </w:pPr>
      <w:r>
        <w:rPr>
          <w:rStyle w:val="FootnoteReference"/>
        </w:rPr>
        <w:footnoteRef/>
      </w:r>
      <w:r>
        <w:t xml:space="preserve"> </w:t>
      </w:r>
      <w:hyperlink r:id="rId29" w:history="1">
        <w:r>
          <w:rPr>
            <w:rStyle w:val="Hyperlink"/>
          </w:rPr>
          <w:t>https://www.homeaffairs.gov.au/cyber-security-subsite/Pages/cyber-security-act.aspx</w:t>
        </w:r>
      </w:hyperlink>
    </w:p>
    <w:p w14:paraId="62083808" w14:textId="77777777" w:rsidR="00F82853" w:rsidRDefault="00F8285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F7F9C"/>
    <w:multiLevelType w:val="hybridMultilevel"/>
    <w:tmpl w:val="E35E4E52"/>
    <w:lvl w:ilvl="0" w:tplc="2408C304">
      <w:start w:val="1"/>
      <w:numFmt w:val="bullet"/>
      <w:lvlText w:val="●"/>
      <w:lvlJc w:val="left"/>
      <w:pPr>
        <w:ind w:left="720" w:hanging="360"/>
      </w:pPr>
    </w:lvl>
    <w:lvl w:ilvl="1" w:tplc="23D05432">
      <w:start w:val="1"/>
      <w:numFmt w:val="bullet"/>
      <w:lvlText w:val="○"/>
      <w:lvlJc w:val="left"/>
      <w:pPr>
        <w:ind w:left="1440" w:hanging="360"/>
      </w:pPr>
    </w:lvl>
    <w:lvl w:ilvl="2" w:tplc="8FC61CC2">
      <w:start w:val="1"/>
      <w:numFmt w:val="bullet"/>
      <w:lvlText w:val="■"/>
      <w:lvlJc w:val="left"/>
      <w:pPr>
        <w:ind w:left="2160" w:hanging="360"/>
      </w:pPr>
    </w:lvl>
    <w:lvl w:ilvl="3" w:tplc="A4945B36">
      <w:start w:val="1"/>
      <w:numFmt w:val="bullet"/>
      <w:lvlText w:val="●"/>
      <w:lvlJc w:val="left"/>
      <w:pPr>
        <w:ind w:left="2880" w:hanging="360"/>
      </w:pPr>
    </w:lvl>
    <w:lvl w:ilvl="4" w:tplc="B2166A4E">
      <w:start w:val="1"/>
      <w:numFmt w:val="bullet"/>
      <w:lvlText w:val="○"/>
      <w:lvlJc w:val="left"/>
      <w:pPr>
        <w:ind w:left="3600" w:hanging="360"/>
      </w:pPr>
    </w:lvl>
    <w:lvl w:ilvl="5" w:tplc="C94A9B80">
      <w:start w:val="1"/>
      <w:numFmt w:val="bullet"/>
      <w:lvlText w:val="■"/>
      <w:lvlJc w:val="left"/>
      <w:pPr>
        <w:ind w:left="4320" w:hanging="360"/>
      </w:pPr>
    </w:lvl>
    <w:lvl w:ilvl="6" w:tplc="2A22C692">
      <w:start w:val="1"/>
      <w:numFmt w:val="bullet"/>
      <w:lvlText w:val="●"/>
      <w:lvlJc w:val="left"/>
      <w:pPr>
        <w:ind w:left="5040" w:hanging="360"/>
      </w:pPr>
    </w:lvl>
    <w:lvl w:ilvl="7" w:tplc="591AB404">
      <w:start w:val="1"/>
      <w:numFmt w:val="bullet"/>
      <w:lvlText w:val="●"/>
      <w:lvlJc w:val="left"/>
      <w:pPr>
        <w:ind w:left="5760" w:hanging="360"/>
      </w:pPr>
    </w:lvl>
    <w:lvl w:ilvl="8" w:tplc="85E646C2">
      <w:start w:val="1"/>
      <w:numFmt w:val="bullet"/>
      <w:lvlText w:val="●"/>
      <w:lvlJc w:val="left"/>
      <w:pPr>
        <w:ind w:left="6480" w:hanging="360"/>
      </w:pPr>
    </w:lvl>
  </w:abstractNum>
  <w:num w:numId="1" w16cid:durableId="162474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995"/>
    <w:rsid w:val="00081955"/>
    <w:rsid w:val="000A35EA"/>
    <w:rsid w:val="00133735"/>
    <w:rsid w:val="001C742F"/>
    <w:rsid w:val="001F406F"/>
    <w:rsid w:val="002269F9"/>
    <w:rsid w:val="00250A2B"/>
    <w:rsid w:val="002E1137"/>
    <w:rsid w:val="005154C9"/>
    <w:rsid w:val="0081090D"/>
    <w:rsid w:val="0087585B"/>
    <w:rsid w:val="0092624B"/>
    <w:rsid w:val="0094440F"/>
    <w:rsid w:val="00973F82"/>
    <w:rsid w:val="00AC0721"/>
    <w:rsid w:val="00B05FF3"/>
    <w:rsid w:val="00B104B0"/>
    <w:rsid w:val="00C3124B"/>
    <w:rsid w:val="00C35D15"/>
    <w:rsid w:val="00CC0B21"/>
    <w:rsid w:val="00D43D85"/>
    <w:rsid w:val="00F60B77"/>
    <w:rsid w:val="00F70995"/>
    <w:rsid w:val="00F82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175C5"/>
  <w15:docId w15:val="{8E14F473-2E70-4546-8714-14BF2742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line="300" w:lineRule="auto"/>
      <w:outlineLvl w:val="0"/>
    </w:pPr>
    <w:rPr>
      <w:rFonts w:ascii="Aptos Display" w:eastAsia="Aptos Display" w:hAnsi="Aptos Display" w:cs="Aptos Display"/>
      <w:color w:val="0F4761"/>
      <w:sz w:val="40"/>
      <w:szCs w:val="40"/>
    </w:rPr>
  </w:style>
  <w:style w:type="paragraph" w:styleId="Heading2">
    <w:name w:val="heading 2"/>
    <w:uiPriority w:val="9"/>
    <w:unhideWhenUsed/>
    <w:qFormat/>
    <w:pPr>
      <w:spacing w:before="240" w:after="100" w:line="300" w:lineRule="auto"/>
      <w:outlineLvl w:val="1"/>
    </w:pPr>
    <w:rPr>
      <w:rFonts w:ascii="Aptos Display" w:eastAsia="Aptos Display" w:hAnsi="Aptos Display" w:cs="Aptos Display"/>
      <w:color w:val="0F4761"/>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line="300" w:lineRule="auto"/>
      <w:jc w:val="center"/>
    </w:pPr>
    <w:rPr>
      <w:rFonts w:ascii="Aptos Display" w:eastAsia="Aptos Display" w:hAnsi="Aptos Display" w:cs="Aptos Display"/>
      <w:color w:val="0F4761"/>
      <w:sz w:val="56"/>
      <w:szCs w:val="56"/>
    </w:rPr>
  </w:style>
  <w:style w:type="paragraph" w:customStyle="1" w:styleId="Strong1">
    <w:name w:val="Strong1"/>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jc w:val="center"/>
    </w:pPr>
    <w:rPr>
      <w:color w:val="595959"/>
      <w:sz w:val="28"/>
      <w:szCs w:val="28"/>
    </w:rPr>
  </w:style>
  <w:style w:type="character" w:styleId="UnresolvedMention">
    <w:name w:val="Unresolved Mention"/>
    <w:basedOn w:val="DefaultParagraphFont"/>
    <w:uiPriority w:val="99"/>
    <w:semiHidden/>
    <w:unhideWhenUsed/>
    <w:rsid w:val="00F60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oaic.gov.au/privacy/your-privacy-rights/more-privacy-rights/statutory-tort-for-serious-invasions-of-privacy" TargetMode="External"/><Relationship Id="rId13" Type="http://schemas.openxmlformats.org/officeDocument/2006/relationships/hyperlink" Target="https://www.minterellison.com/articles/mandatory-ransomware-payment-reporting-obligations-in-force" TargetMode="External"/><Relationship Id="rId18" Type="http://schemas.openxmlformats.org/officeDocument/2006/relationships/hyperlink" Target="https://www.claytonutz.com/insights/2025/april/enhancing-response-and-prevention-powers-in-relation-to-critical-infrastructure-assets" TargetMode="External"/><Relationship Id="rId26" Type="http://schemas.openxmlformats.org/officeDocument/2006/relationships/hyperlink" Target="https://jws.com.au/what-we-think/aic-v-medibank-concise-statement-released-oaic/" TargetMode="External"/><Relationship Id="rId3" Type="http://schemas.openxmlformats.org/officeDocument/2006/relationships/hyperlink" Target="https://www.legislation.gov.au/series/C2004A03712" TargetMode="External"/><Relationship Id="rId21" Type="http://schemas.openxmlformats.org/officeDocument/2006/relationships/hyperlink" Target="https://www.rllawyers.com.au/cybersecurity-risk-management-obligations-for-australian-financial-services-licensees-australian-securities-and-investments-commission-v-ri-advice-group-pty-ltd-2022-fca-496/" TargetMode="External"/><Relationship Id="rId7" Type="http://schemas.openxmlformats.org/officeDocument/2006/relationships/hyperlink" Target="https://www.nortonrosefulbright.com/en/knowledge/publications/be98b0ff/australian-privacy-alert-parliament-passes-major-and-meaningful-privacy-law-reform" TargetMode="External"/><Relationship Id="rId12" Type="http://schemas.openxmlformats.org/officeDocument/2006/relationships/hyperlink" Target="https://www.twobirds.com/en/insights/2024/australia/australias-first-standalone-cyber-security-law-the-cyber-security-act-2024" TargetMode="External"/><Relationship Id="rId17" Type="http://schemas.openxmlformats.org/officeDocument/2006/relationships/hyperlink" Target="https://www.cisc.gov.au/resources-subsite/Documents/data-storage-systems-factsheet.pdf" TargetMode="External"/><Relationship Id="rId25" Type="http://schemas.openxmlformats.org/officeDocument/2006/relationships/hyperlink" Target="https://www.oaic.gov.au/news/media-centre/oaic-takes-civil-penalty-action-against-medibank" TargetMode="External"/><Relationship Id="rId2" Type="http://schemas.openxmlformats.org/officeDocument/2006/relationships/hyperlink" Target="https://www.cyberdaily.au/security/12768-annual-cyber-threat-report-2024-2025-by-the-numbers" TargetMode="External"/><Relationship Id="rId16" Type="http://schemas.openxmlformats.org/officeDocument/2006/relationships/hyperlink" Target="https://www.nortonrosefulbright.com/en/knowledge/publications/be98b0ff/australian-privacy-alert-parliament-passes-major-and-meaningful-privacy-law-reform" TargetMode="External"/><Relationship Id="rId20" Type="http://schemas.openxmlformats.org/officeDocument/2006/relationships/hyperlink" Target="https://www.legislation.gov.au/C2004A00818/latest/text" TargetMode="External"/><Relationship Id="rId29" Type="http://schemas.openxmlformats.org/officeDocument/2006/relationships/hyperlink" Target="https://www.homeaffairs.gov.au/cyber-security-subsite/Pages/cyber-security-act.aspx" TargetMode="External"/><Relationship Id="rId1" Type="http://schemas.openxmlformats.org/officeDocument/2006/relationships/hyperlink" Target="https://www.cyber.gov.au/about-us/view-all-content/reports-and-statistics/annual-cyber-threat-report-2024-2025" TargetMode="External"/><Relationship Id="rId6" Type="http://schemas.openxmlformats.org/officeDocument/2006/relationships/hyperlink" Target="https://www.nortonrosefulbright.com/en/knowledge/publications/be98b0ff/australian-privacy-alert-parliament-passes-major-and-meaningful-privacy-law-reform" TargetMode="External"/><Relationship Id="rId11" Type="http://schemas.openxmlformats.org/officeDocument/2006/relationships/hyperlink" Target="https://www.legislation.gov.au/C2024A00098/asmade" TargetMode="External"/><Relationship Id="rId24" Type="http://schemas.openxmlformats.org/officeDocument/2006/relationships/hyperlink" Target="https://www.cyber.gov.au/about-us/view-all-content/reports-and-statistics/annual-cyber-threat-report-2024-2025" TargetMode="External"/><Relationship Id="rId5" Type="http://schemas.openxmlformats.org/officeDocument/2006/relationships/hyperlink" Target="https://www.oaic.gov.au/news/blog/latest-notifiable-data-breach-statistics-for-january-to-june-2025" TargetMode="External"/><Relationship Id="rId15" Type="http://schemas.openxmlformats.org/officeDocument/2006/relationships/hyperlink" Target="https://www.legislation.gov.au/Series/C2018A00029" TargetMode="External"/><Relationship Id="rId23" Type="http://schemas.openxmlformats.org/officeDocument/2006/relationships/hyperlink" Target="https://www.legislation.gov.au/series/C2004A00109" TargetMode="External"/><Relationship Id="rId28" Type="http://schemas.openxmlformats.org/officeDocument/2006/relationships/hyperlink" Target="https://www.oaic.gov.au/news/blog/handling-privacy-complaints-a-new-approach-for-a-new-era" TargetMode="External"/><Relationship Id="rId10" Type="http://schemas.openxmlformats.org/officeDocument/2006/relationships/hyperlink" Target="https://www.rigbycooke.com.au/tort-for-serious-invasion-of-privacy-is-now-in-effect/" TargetMode="External"/><Relationship Id="rId19" Type="http://schemas.openxmlformats.org/officeDocument/2006/relationships/hyperlink" Target="https://www.lk.law/2025/04/new-soci-rules-go-live-changes-for-data-storage-systems-and-telco-assets/" TargetMode="External"/><Relationship Id="rId4" Type="http://schemas.openxmlformats.org/officeDocument/2006/relationships/hyperlink" Target="https://www.oaic.gov.au/news/media-centre/data-breach-notifications-increase-to-all-time-high-in-2025,-new-ndb-stats-show" TargetMode="External"/><Relationship Id="rId9" Type="http://schemas.openxmlformats.org/officeDocument/2006/relationships/hyperlink" Target="https://www.kennedyslaw.com/en/thought-leadership/article/2025/australia-introduces-statutory-tort-of-serious-invasion-of-privacy-apac/" TargetMode="External"/><Relationship Id="rId14" Type="http://schemas.openxmlformats.org/officeDocument/2006/relationships/hyperlink" Target="https://www.gadens.com/legal-insights/new-mandatory-ransomware-payment-reporting-obligations-now-in-force/" TargetMode="External"/><Relationship Id="rId22" Type="http://schemas.openxmlformats.org/officeDocument/2006/relationships/hyperlink" Target="https://www.kwm.com/au/en/insights/latest-thinking/cybersecurity-obligations-arising-out-of-asic-v-ri-advice-group.html" TargetMode="External"/><Relationship Id="rId27" Type="http://schemas.openxmlformats.org/officeDocument/2006/relationships/hyperlink" Target="https://www.oaic.gov.au/news/media-centre/australian-information-commissioner-takes-civil-penalty-action-against-op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9A9D1-4573-4330-AA53-115EDF880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4630</Words>
  <Characters>26392</Characters>
  <Application>Microsoft Office Word</Application>
  <DocSecurity>0</DocSecurity>
  <Lines>219</Lines>
  <Paragraphs>61</Paragraphs>
  <ScaleCrop>false</ScaleCrop>
  <Company/>
  <LinksUpToDate>false</LinksUpToDate>
  <CharactersWithSpaces>30961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Challenges for Australian Business</dc:title>
  <dc:creator>BUS702 Group</dc:creator>
  <dc:description>BUS702 Business Law Assessment 2 report</dc:description>
  <cp:lastModifiedBy>Manish Majhi</cp:lastModifiedBy>
  <cp:revision>15</cp:revision>
  <dcterms:created xsi:type="dcterms:W3CDTF">2026-08-16T02:02:00Z</dcterms:created>
  <dcterms:modified xsi:type="dcterms:W3CDTF">2026-08-16T03:28:00Z</dcterms:modified>
</cp:coreProperties>
</file>