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019D" w14:textId="77777777" w:rsidR="005C5208" w:rsidRDefault="008E342E">
      <w:pPr>
        <w:pStyle w:val="Title"/>
        <w:spacing w:after="120" w:line="340" w:lineRule="auto"/>
      </w:pPr>
      <w:r>
        <w:t>Cyber Security Challenges for Australian Business</w:t>
      </w:r>
    </w:p>
    <w:p w14:paraId="7455019E" w14:textId="77777777" w:rsidR="005C5208" w:rsidRDefault="008E342E">
      <w:pPr>
        <w:pStyle w:val="Subtitle"/>
      </w:pPr>
      <w:r>
        <w:t>BUS702 Business Law - Research and Presentation Project</w:t>
      </w:r>
    </w:p>
    <w:p w14:paraId="7455019F" w14:textId="77777777" w:rsidR="005C5208" w:rsidRDefault="008E342E">
      <w:pPr>
        <w:spacing w:before="400" w:after="0"/>
        <w:jc w:val="center"/>
      </w:pPr>
      <w:r>
        <w:rPr>
          <w:b/>
          <w:bCs/>
        </w:rPr>
        <w:t>King's Own Institute</w:t>
      </w:r>
    </w:p>
    <w:p w14:paraId="745501A0" w14:textId="77777777" w:rsidR="005C5208" w:rsidRDefault="008E342E">
      <w:pPr>
        <w:spacing w:after="400"/>
        <w:jc w:val="center"/>
      </w:pPr>
      <w:r>
        <w:t>Trimester 2, 2026</w:t>
      </w:r>
    </w:p>
    <w:p w14:paraId="745501A1" w14:textId="77777777" w:rsidR="005C5208" w:rsidRDefault="008E342E">
      <w:pPr>
        <w:spacing w:after="0"/>
        <w:jc w:val="center"/>
      </w:pPr>
      <w:r>
        <w:rPr>
          <w:b/>
          <w:bCs/>
        </w:rPr>
        <w:t>Group Members</w:t>
      </w:r>
    </w:p>
    <w:p w14:paraId="745501A2" w14:textId="77777777" w:rsidR="005C5208" w:rsidRDefault="008E342E">
      <w:pPr>
        <w:spacing w:after="0"/>
        <w:jc w:val="center"/>
      </w:pPr>
      <w:r>
        <w:t>Chapter 1: [Student Name 1], [Student Number 1]</w:t>
      </w:r>
    </w:p>
    <w:p w14:paraId="745501A3" w14:textId="77777777" w:rsidR="005C5208" w:rsidRDefault="008E342E">
      <w:pPr>
        <w:spacing w:after="0"/>
        <w:jc w:val="center"/>
      </w:pPr>
      <w:r>
        <w:t>Chapter 2: [Student Name 2], [Student Number 2]</w:t>
      </w:r>
    </w:p>
    <w:p w14:paraId="745501A4" w14:textId="77777777" w:rsidR="005C5208" w:rsidRDefault="008E342E">
      <w:pPr>
        <w:spacing w:after="0"/>
        <w:jc w:val="center"/>
      </w:pPr>
      <w:r>
        <w:t>Tutor: [Tutor Name]</w:t>
      </w:r>
    </w:p>
    <w:p w14:paraId="745501A5" w14:textId="77777777" w:rsidR="005C5208" w:rsidRDefault="008E342E">
      <w:pPr>
        <w:jc w:val="center"/>
      </w:pPr>
      <w:r>
        <w:t>Date of submission: [Date]</w:t>
      </w:r>
    </w:p>
    <w:p w14:paraId="745501A6" w14:textId="77777777" w:rsidR="005C5208" w:rsidRDefault="008E342E">
      <w:r>
        <w:br w:type="page"/>
      </w:r>
    </w:p>
    <w:p w14:paraId="745501A7" w14:textId="77777777" w:rsidR="005C5208" w:rsidRDefault="008E342E">
      <w:pPr>
        <w:pStyle w:val="Heading1"/>
        <w:spacing w:line="320" w:lineRule="auto"/>
      </w:pPr>
      <w:r>
        <w:lastRenderedPageBreak/>
        <w:t>Index</w:t>
      </w:r>
    </w:p>
    <w:sdt>
      <w:sdtPr>
        <w:alias w:val="Right-click and choose Update Field to build the index."/>
        <w:id w:val="-1807699773"/>
      </w:sdtPr>
      <w:sdtEndPr/>
      <w:sdtContent>
        <w:p w14:paraId="745501A8" w14:textId="77777777" w:rsidR="005C5208" w:rsidRDefault="008E342E">
          <w:r>
            <w:fldChar w:fldCharType="begin"/>
          </w:r>
          <w:r>
            <w:instrText>TOC \h \o "1-2"</w:instrText>
          </w:r>
          <w:r>
            <w:fldChar w:fldCharType="separate"/>
          </w:r>
        </w:p>
        <w:p w14:paraId="745501A9" w14:textId="77777777" w:rsidR="005C5208" w:rsidRDefault="008E342E">
          <w:r>
            <w:fldChar w:fldCharType="end"/>
          </w:r>
        </w:p>
      </w:sdtContent>
    </w:sdt>
    <w:p w14:paraId="745501AA" w14:textId="77777777" w:rsidR="005C5208" w:rsidRDefault="008E342E">
      <w:r>
        <w:br w:type="page"/>
      </w:r>
    </w:p>
    <w:p w14:paraId="745501AB" w14:textId="77777777" w:rsidR="005C5208" w:rsidRDefault="008E342E">
      <w:pPr>
        <w:pStyle w:val="Heading1"/>
        <w:spacing w:line="320" w:lineRule="auto"/>
      </w:pPr>
      <w:r>
        <w:lastRenderedPageBreak/>
        <w:t>Introduction</w:t>
      </w:r>
    </w:p>
    <w:p w14:paraId="745501AC" w14:textId="77777777" w:rsidR="005C5208" w:rsidRDefault="008E342E">
      <w:r>
        <w:t>Cyber security has moved out of the server room and into the boardroom. For Australian business it is no longer only a technical problem for information technology staff; it is a legal obligation enforced by regulators, tested in the Federal Court and priced into commercial contracts.</w:t>
      </w:r>
    </w:p>
    <w:p w14:paraId="745501AD" w14:textId="77777777" w:rsidR="005C5208" w:rsidRDefault="008E342E">
      <w:r>
        <w:t xml:space="preserve">This report argues that Australian cyber security law has shifted from a light-touch, principles-based model to an enforcement-driven regime, and that the heaviest burden of that shift falls on </w:t>
      </w:r>
      <w:proofErr w:type="spellStart"/>
      <w:r>
        <w:t>organisations</w:t>
      </w:r>
      <w:proofErr w:type="spellEnd"/>
      <w:r>
        <w:t xml:space="preserve"> treating compliance as paperwork rather than practice. Chapter 1 maps the legal framework now governing cyber security for Australian business. Chapter 2 examines how that framework is enforced, the liability it creates, the compliance challenges it produces, and how businesses should respond.</w:t>
      </w:r>
    </w:p>
    <w:p w14:paraId="745501AE" w14:textId="77777777" w:rsidR="005C5208" w:rsidRDefault="008E342E">
      <w:r>
        <w:br w:type="page"/>
      </w:r>
    </w:p>
    <w:p w14:paraId="745501AF" w14:textId="77777777" w:rsidR="005C5208" w:rsidRDefault="008E342E">
      <w:pPr>
        <w:pStyle w:val="Heading1"/>
        <w:spacing w:line="320" w:lineRule="auto"/>
      </w:pPr>
      <w:r>
        <w:lastRenderedPageBreak/>
        <w:t>Chapter 1: The Legal Framework Governing Cyber Security for Australian Business</w:t>
      </w:r>
    </w:p>
    <w:p w14:paraId="745501B0" w14:textId="77777777" w:rsidR="005C5208" w:rsidRDefault="008E342E">
      <w:pPr>
        <w:spacing w:after="200"/>
      </w:pPr>
      <w:r>
        <w:rPr>
          <w:i/>
          <w:iCs/>
          <w:color w:val="595959"/>
        </w:rPr>
        <w:t>Prepared by [Student Name 1], [Student Number 1]</w:t>
      </w:r>
    </w:p>
    <w:p w14:paraId="745501B1" w14:textId="77777777" w:rsidR="005C5208" w:rsidRDefault="008E342E">
      <w:pPr>
        <w:pStyle w:val="Heading2"/>
      </w:pPr>
      <w:r>
        <w:t>1.1 Cyber security as a legal obligation</w:t>
      </w:r>
    </w:p>
    <w:p w14:paraId="745501B2" w14:textId="77777777" w:rsidR="005C5208" w:rsidRDefault="008E342E">
      <w:r>
        <w:t xml:space="preserve">Australian businesses once treated cyber security as a purely operational matter. That position is no longer sustainable. The Australian Signals Directorate received more than 84,700 cybercrime reports through </w:t>
      </w:r>
      <w:proofErr w:type="spellStart"/>
      <w:r>
        <w:t>ReportCyber</w:t>
      </w:r>
      <w:proofErr w:type="spellEnd"/>
      <w:r>
        <w:t xml:space="preserve"> in 2024-25, roughly one every six minutes, and the average self-reported cost of cybercrime to business rose 50 per cent to $80,850 per report (Australian Signals Directorate 2025). For small </w:t>
      </w:r>
      <w:proofErr w:type="gramStart"/>
      <w:r>
        <w:t>business</w:t>
      </w:r>
      <w:proofErr w:type="gramEnd"/>
      <w:r>
        <w:t xml:space="preserve"> the average cost rose 14 per cent to $56,600, while for large </w:t>
      </w:r>
      <w:proofErr w:type="spellStart"/>
      <w:r>
        <w:t>organisations</w:t>
      </w:r>
      <w:proofErr w:type="spellEnd"/>
      <w:r>
        <w:t xml:space="preserve"> it climbed 219 per cent to $202,700 (Cyber Daily 2025). Those numbers explain why Parliament intervened, and why the legal risk now sits with directors rather than system administrators.</w:t>
      </w:r>
    </w:p>
    <w:p w14:paraId="745501B3" w14:textId="77777777" w:rsidR="005C5208" w:rsidRDefault="008E342E">
      <w:r>
        <w:t xml:space="preserve">The framework is not contained in one statute. It is a layered structure of privacy law, a dedicated cyber security statute, critical infrastructure regulation, corporate and financial services law, consumer law and the general law of contract and negligence. A single incident usually triggers several regimes at </w:t>
      </w:r>
      <w:proofErr w:type="gramStart"/>
      <w:r>
        <w:t>once, and</w:t>
      </w:r>
      <w:proofErr w:type="gramEnd"/>
      <w:r>
        <w:t xml:space="preserve"> understanding how they interact is the first practical challenge.</w:t>
      </w:r>
    </w:p>
    <w:p w14:paraId="745501B4" w14:textId="77777777" w:rsidR="005C5208" w:rsidRDefault="008E342E">
      <w:pPr>
        <w:pStyle w:val="Heading2"/>
      </w:pPr>
      <w:r>
        <w:t>1.2 The Privacy Act 1988 and Australian Privacy Principle 11</w:t>
      </w:r>
    </w:p>
    <w:p w14:paraId="745501B5" w14:textId="77777777" w:rsidR="005C5208" w:rsidRDefault="008E342E">
      <w:r>
        <w:t>The Privacy Act 1988 (</w:t>
      </w:r>
      <w:proofErr w:type="spellStart"/>
      <w:r>
        <w:t>Cth</w:t>
      </w:r>
      <w:proofErr w:type="spellEnd"/>
      <w:r>
        <w:t xml:space="preserve">) remains the central instrument. It binds Australian Privacy </w:t>
      </w:r>
      <w:proofErr w:type="gramStart"/>
      <w:r>
        <w:t>Principle</w:t>
      </w:r>
      <w:proofErr w:type="gramEnd"/>
      <w:r>
        <w:t xml:space="preserve"> entities, being Commonwealth agencies and private </w:t>
      </w:r>
      <w:proofErr w:type="spellStart"/>
      <w:r>
        <w:t>organisations</w:t>
      </w:r>
      <w:proofErr w:type="spellEnd"/>
      <w:r>
        <w:t xml:space="preserve"> with annual turnover above three million dollars, together with entities captured regardless of turnover such as health service providers and credit reporting bodies. Thirteen Australian Privacy Principles govern the collection, use, disclosure, quality and security of personal information.</w:t>
      </w:r>
    </w:p>
    <w:p w14:paraId="745501B6" w14:textId="77777777" w:rsidR="005C5208" w:rsidRDefault="008E342E">
      <w:r>
        <w:t xml:space="preserve">Australian Privacy Principle 11 is the security principle. It requires an entity to take such steps as are reasonable in the circumstances to protect personal information from misuse, interference, loss and </w:t>
      </w:r>
      <w:proofErr w:type="spellStart"/>
      <w:r>
        <w:t>unauthorised</w:t>
      </w:r>
      <w:proofErr w:type="spellEnd"/>
      <w:r>
        <w:t xml:space="preserve"> access, modification or disclosure, and to destroy or de-identify information no longer needed. What is reasonable depends on the size of the </w:t>
      </w:r>
      <w:proofErr w:type="spellStart"/>
      <w:r>
        <w:t>organisation</w:t>
      </w:r>
      <w:proofErr w:type="spellEnd"/>
      <w:r>
        <w:t>, its resources, the sensitivity and volume of information held, and the harm a breach would cause. A small retailer holding email addresses is not expected to do what a health insurer holding medical records must do.</w:t>
      </w:r>
    </w:p>
    <w:p w14:paraId="745501B7" w14:textId="77777777" w:rsidR="005C5208" w:rsidRDefault="008E342E">
      <w:r>
        <w:t xml:space="preserve">That flexibility cuts both ways. It lets the principle keep pace with </w:t>
      </w:r>
      <w:proofErr w:type="gramStart"/>
      <w:r>
        <w:t>technology, but</w:t>
      </w:r>
      <w:proofErr w:type="gramEnd"/>
      <w:r>
        <w:t xml:space="preserve"> gives businesses little certainty until a regulator or court draws the line. The 2024 reforms clarified that reasonable steps include technical and </w:t>
      </w:r>
      <w:proofErr w:type="spellStart"/>
      <w:r>
        <w:t>organisational</w:t>
      </w:r>
      <w:proofErr w:type="spellEnd"/>
      <w:r>
        <w:t xml:space="preserve"> measures, language borrowed from the European General Data Protection Regulation, </w:t>
      </w:r>
      <w:proofErr w:type="spellStart"/>
      <w:r>
        <w:t>signalling</w:t>
      </w:r>
      <w:proofErr w:type="spellEnd"/>
      <w:r>
        <w:t xml:space="preserve"> that documented governance is expected alongside technical controls.</w:t>
      </w:r>
    </w:p>
    <w:p w14:paraId="745501B8" w14:textId="77777777" w:rsidR="005C5208" w:rsidRDefault="008E342E">
      <w:r>
        <w:t xml:space="preserve">Enforcement was strengthened in December 2022. Serious or repeated interferences with privacy now attract a maximum corporate penalty of the greater of fifty million dollars, three times the benefit obtained, or thirty per cent of adjusted turnover for the relevant period. The 2024 amendments added mid-tier and low-tier penalties and gave the Office of the Australian Information Commissioner power to issue infringement notices for administrative failures such </w:t>
      </w:r>
      <w:r>
        <w:lastRenderedPageBreak/>
        <w:t>as an inadequate privacy policy. The regulator now holds graduated tools rather than a single rarely used sledgehammer.</w:t>
      </w:r>
    </w:p>
    <w:p w14:paraId="745501B9" w14:textId="77777777" w:rsidR="005C5208" w:rsidRDefault="008E342E">
      <w:pPr>
        <w:pStyle w:val="Heading2"/>
      </w:pPr>
      <w:r>
        <w:t>1.3 The Notifiable Data Breaches scheme</w:t>
      </w:r>
    </w:p>
    <w:p w14:paraId="745501BA" w14:textId="77777777" w:rsidR="005C5208" w:rsidRDefault="008E342E">
      <w:r>
        <w:t xml:space="preserve">Part IIIC of the Privacy Act contains the Notifiable Data Breaches scheme, commenced in 2018. Where an entity has reasonable grounds to suspect an eligible data breach, it must complete a reasonable and expeditious assessment within thirty days. An eligible data breach involves </w:t>
      </w:r>
      <w:proofErr w:type="spellStart"/>
      <w:r>
        <w:t>unauthorised</w:t>
      </w:r>
      <w:proofErr w:type="spellEnd"/>
      <w:r>
        <w:t xml:space="preserve"> access to, </w:t>
      </w:r>
      <w:proofErr w:type="spellStart"/>
      <w:r>
        <w:t>unauthorised</w:t>
      </w:r>
      <w:proofErr w:type="spellEnd"/>
      <w:r>
        <w:t xml:space="preserve"> disclosure of, or loss of personal information where a reasonable person would conclude serious harm to affected individuals is likely. Once confirmed, the entity must give the Commissioner a statement and notify affected individuals as soon as practicable.</w:t>
      </w:r>
    </w:p>
    <w:p w14:paraId="745501BB" w14:textId="77777777" w:rsidR="005C5208" w:rsidRDefault="008E342E">
      <w:r>
        <w:t>The scheme is now the clearest measure of Australia's cyber risk. The Commissioner received 1,205 notifications in the 2025 calendar year, the highest annual total since the scheme began and an eight per cent rise on the 1,112 received in 2024 (OAIC 2026a). Of those, 716 arose from malicious or criminal activity, with health service providers the most affected sector at nineteen per cent. In the January to June 2025 period the regulator received 532 notifications, fifty-nine per cent from malicious attack a</w:t>
      </w:r>
      <w:r>
        <w:t>nd thirty-seven per cent from human error (OAIC 2025a).</w:t>
      </w:r>
    </w:p>
    <w:p w14:paraId="745501BC" w14:textId="77777777" w:rsidR="005C5208" w:rsidRDefault="008E342E">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t>Screenshot placeholder 1: Insert a screenshot of the OAIC Notifiable Data Breaches statistics dashboard showing notifications for the most recent reporting period. Label it Figure 1 and cite the source underneath.</w:t>
      </w:r>
    </w:p>
    <w:p w14:paraId="745501BD" w14:textId="77777777" w:rsidR="005C5208" w:rsidRDefault="008E342E">
      <w:r>
        <w:t xml:space="preserve">Two points follow. Most notifiable breaches are caused by criminal </w:t>
      </w:r>
      <w:proofErr w:type="gramStart"/>
      <w:r>
        <w:t>attack</w:t>
      </w:r>
      <w:proofErr w:type="gramEnd"/>
      <w:r>
        <w:t xml:space="preserve">, so security controls matter. More than a third arise from staff mistakes such as misdirected email, so training and process matter equally. A </w:t>
      </w:r>
      <w:proofErr w:type="spellStart"/>
      <w:r>
        <w:t>programme</w:t>
      </w:r>
      <w:proofErr w:type="spellEnd"/>
      <w:r>
        <w:t xml:space="preserve"> funding technology while ignoring people addresses only part of the legal risk.</w:t>
      </w:r>
    </w:p>
    <w:p w14:paraId="745501BE" w14:textId="77777777" w:rsidR="005C5208" w:rsidRDefault="008E342E">
      <w:pPr>
        <w:pStyle w:val="Heading2"/>
      </w:pPr>
      <w:r>
        <w:t>1.4 The Privacy and Other Legislation Amendment Act 2024</w:t>
      </w:r>
    </w:p>
    <w:p w14:paraId="745501BF" w14:textId="77777777" w:rsidR="005C5208" w:rsidRDefault="008E342E">
      <w:r>
        <w:t>The Privacy and Other Legislation Amendment Act 2024 (</w:t>
      </w:r>
      <w:proofErr w:type="spellStart"/>
      <w:r>
        <w:t>Cth</w:t>
      </w:r>
      <w:proofErr w:type="spellEnd"/>
      <w:r>
        <w:t>) received Royal Assent on 10 December 2024, delivering the first tranche of reform from the Privacy Act Review. Most provisions commenced immediately, with two significant exceptions (Norton Rose Fulbright 2024).</w:t>
      </w:r>
    </w:p>
    <w:p w14:paraId="745501C0" w14:textId="77777777" w:rsidR="005C5208" w:rsidRDefault="008E342E">
      <w:r>
        <w:t xml:space="preserve">The most consequential change is the statutory tort for serious invasions of privacy, inserted as Schedule 2 and commenced on 10 June 2025 (OAIC 2025b). An individual may now sue directly. The plaintiff must establish five elements: an invasion by intrusion </w:t>
      </w:r>
      <w:proofErr w:type="gramStart"/>
      <w:r>
        <w:t>upon</w:t>
      </w:r>
      <w:proofErr w:type="gramEnd"/>
      <w:r>
        <w:t xml:space="preserve"> seclusion or misuse of information; a reasonable expectation of privacy; that the invasion was intentional or reckless rather than merely negligent; that it was serious; and that the public interest in privacy outweighs any countervailing interest such as freedom of expression. The tort is actionable without proof of damage, and non-economic loss damages are capped at the greater of $478,550 or the equivalent defamation maximum (Kennedys 2025; Rigby Cooke Lawyers 2025).</w:t>
      </w:r>
    </w:p>
    <w:p w14:paraId="745501C1" w14:textId="77777777" w:rsidR="005C5208" w:rsidRDefault="008E342E">
      <w:r>
        <w:t xml:space="preserve">The intention or recklessness requirement means a business breached despite </w:t>
      </w:r>
      <w:proofErr w:type="gramStart"/>
      <w:r>
        <w:t>honest</w:t>
      </w:r>
      <w:proofErr w:type="gramEnd"/>
      <w:r>
        <w:t xml:space="preserve"> if imperfect security is unlikely to be liable. However, the tort reaches entities that are not </w:t>
      </w:r>
      <w:r>
        <w:lastRenderedPageBreak/>
        <w:t xml:space="preserve">Australian Privacy </w:t>
      </w:r>
      <w:proofErr w:type="gramStart"/>
      <w:r>
        <w:t>Principle</w:t>
      </w:r>
      <w:proofErr w:type="gramEnd"/>
      <w:r>
        <w:t xml:space="preserve"> entities at all, including small businesses and individuals, so it is broader than the Privacy Act itself.</w:t>
      </w:r>
    </w:p>
    <w:p w14:paraId="745501C2" w14:textId="77777777" w:rsidR="005C5208" w:rsidRDefault="008E342E">
      <w:r>
        <w:t xml:space="preserve">The same Act created a criminal doxxing offence, being </w:t>
      </w:r>
      <w:proofErr w:type="gramStart"/>
      <w:r>
        <w:t>use</w:t>
      </w:r>
      <w:proofErr w:type="gramEnd"/>
      <w:r>
        <w:t xml:space="preserve"> of a carriage service to make personal data available in a menacing or harassing way. It introduced automated decision-making transparency obligations requiring privacy policies to disclose computer programs that make or substantially assist decisions affecting individuals, with a grace period ending 10 December 2026. It also enabled a Children's Online Privacy Code. A second tranche covering a fair and reasonable test, a right to erasure and </w:t>
      </w:r>
      <w:proofErr w:type="gramStart"/>
      <w:r>
        <w:t>removal of</w:t>
      </w:r>
      <w:proofErr w:type="gramEnd"/>
      <w:r>
        <w:t xml:space="preserve"> the small business exemption remains a government </w:t>
      </w:r>
      <w:r>
        <w:t>commitment rather than enacted law.</w:t>
      </w:r>
    </w:p>
    <w:p w14:paraId="745501C3" w14:textId="77777777" w:rsidR="005C5208" w:rsidRDefault="008E342E">
      <w:pPr>
        <w:pStyle w:val="Heading2"/>
      </w:pPr>
      <w:r>
        <w:t>1.5 The Cyber Security Act 2024</w:t>
      </w:r>
    </w:p>
    <w:p w14:paraId="745501C4" w14:textId="77777777" w:rsidR="005C5208" w:rsidRDefault="008E342E">
      <w:r>
        <w:t>The Cyber Security Act 2024 (</w:t>
      </w:r>
      <w:proofErr w:type="spellStart"/>
      <w:r>
        <w:t>Cth</w:t>
      </w:r>
      <w:proofErr w:type="spellEnd"/>
      <w:r>
        <w:t>) is Australia's first standalone cyber security statute and forms part of the 2023-2030 Australian Cyber Security Strategy. It received Royal Assent on 29 November 2024 and does four things (Bird and Bird 2024).</w:t>
      </w:r>
    </w:p>
    <w:p w14:paraId="745501C5" w14:textId="77777777" w:rsidR="005C5208" w:rsidRDefault="008E342E">
      <w:r>
        <w:t xml:space="preserve">First, Part 3 creates mandatory ransomware and cyber extortion payment reporting, commenced 30 May 2025 with no grace period. A reporting business entity that makes, or learns that someone made on its behalf, such a payment must report to the Australian Signals Directorate within seventy-two hours. A reporting business entity carries on business in Australia with turnover exceeding three million dollars under the Cyber Security (Ransomware Payment Reporting) Rules </w:t>
      </w:r>
      <w:proofErr w:type="gramStart"/>
      <w:r>
        <w:t>2025, or</w:t>
      </w:r>
      <w:proofErr w:type="gramEnd"/>
      <w:r>
        <w:t xml:space="preserve"> is responsible for a critical infrastructure asset regardless of turnover (</w:t>
      </w:r>
      <w:proofErr w:type="spellStart"/>
      <w:r>
        <w:t>MinterEllison</w:t>
      </w:r>
      <w:proofErr w:type="spellEnd"/>
      <w:r>
        <w:t xml:space="preserve"> 2025; </w:t>
      </w:r>
      <w:proofErr w:type="spellStart"/>
      <w:r>
        <w:t>Gadens</w:t>
      </w:r>
      <w:proofErr w:type="spellEnd"/>
      <w:r>
        <w:t xml:space="preserve"> 2025). Paying a ransom is not unlawful, but concealing the payment now is.</w:t>
      </w:r>
    </w:p>
    <w:p w14:paraId="745501C6" w14:textId="77777777" w:rsidR="005C5208" w:rsidRDefault="008E342E">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t>Screenshot placeholder 2: Insert a screenshot of the ransomware and cyber extortion payment reporting page or reporting form on cyber.gov.au. Label it Figure 2 and cite the source underneath.</w:t>
      </w:r>
    </w:p>
    <w:p w14:paraId="745501C7" w14:textId="77777777" w:rsidR="005C5208" w:rsidRDefault="008E342E">
      <w:r>
        <w:t>Second, the Act enables minimum security standards for smart devices. The Cyber Security (Security Standards for Smart Devices) Rules 2025 commenced on 4 March 2026 after a twelve-month transition, imposing three baseline obligations: no universal default passwords, a published vulnerability disclosure process, and published security update periods.</w:t>
      </w:r>
    </w:p>
    <w:p w14:paraId="745501C8" w14:textId="77777777" w:rsidR="005C5208" w:rsidRDefault="008E342E">
      <w:r>
        <w:t>Third, Part 4 establishes a limited use rule. Information voluntarily shared with the National Cyber Security Coordinator during a significant incident cannot be used for most regulatory purposes, encouraging candid disclosure by reducing fear that cooperation becomes evidence.</w:t>
      </w:r>
    </w:p>
    <w:p w14:paraId="745501C9" w14:textId="77777777" w:rsidR="005C5208" w:rsidRDefault="008E342E">
      <w:r>
        <w:t>Fourth, Part 5 creates a Cyber Incident Review Board conducting no-fault post-incident reviews and publishing lessons for industry, modelled on aviation safety investigation.</w:t>
      </w:r>
    </w:p>
    <w:p w14:paraId="745501CA" w14:textId="77777777" w:rsidR="005C5208" w:rsidRDefault="008E342E">
      <w:pPr>
        <w:pStyle w:val="Heading2"/>
      </w:pPr>
      <w:r>
        <w:t>1.6 Critical infrastructure regulation under the SOCI Act</w:t>
      </w:r>
    </w:p>
    <w:p w14:paraId="745501CB" w14:textId="77777777" w:rsidR="005C5208" w:rsidRDefault="008E342E">
      <w:r>
        <w:t>The Security of Critical Infrastructure Act 2018 (</w:t>
      </w:r>
      <w:proofErr w:type="spellStart"/>
      <w:r>
        <w:t>Cth</w:t>
      </w:r>
      <w:proofErr w:type="spellEnd"/>
      <w:r>
        <w:t xml:space="preserve">) regulates owners and operators of assets in sectors including communications, energy, financial services, transport, data processing and storage, health, food and grocery, education, </w:t>
      </w:r>
      <w:proofErr w:type="spellStart"/>
      <w:r>
        <w:t>defence</w:t>
      </w:r>
      <w:proofErr w:type="spellEnd"/>
      <w:r>
        <w:t xml:space="preserve"> industry and space. Responsible entities must register asset information, maintain a critical infrastructure risk management program, and notify the Australian Signals Directorate of incidents. A significant impact must be reported within twelve hours and a relevant impact within seventy-two hours.</w:t>
      </w:r>
    </w:p>
    <w:p w14:paraId="745501CC" w14:textId="77777777" w:rsidR="005C5208" w:rsidRDefault="008E342E">
      <w:r>
        <w:lastRenderedPageBreak/>
        <w:t>The Security of Critical Infrastructure and Other Legislation Amendment (Enhanced Response and Prevention) Act 2024 (</w:t>
      </w:r>
      <w:proofErr w:type="spellStart"/>
      <w:r>
        <w:t>Cth</w:t>
      </w:r>
      <w:proofErr w:type="spellEnd"/>
      <w:r>
        <w:t>) made five changes. Data storage systems holding business critical data are deemed part of the critical infrastructure asset itself, carrying registration, risk management and notification obligations (Cyber and Infrastructure Security Centre 2024). Government directions powers broadened from cyber incidents to serious incidents generally. Protected information rules were clarified. Home Affairs gained power to direct remediation of a deficient risk management program. Telecommunications security obliga</w:t>
      </w:r>
      <w:r>
        <w:t>tions were consolidated into a new Part 2D. Most changes commenced 20 December 2024, with remaining rules and Schedule 5 from 4 April 2025 (Clayton Utz 2025; LK 2025).</w:t>
      </w:r>
    </w:p>
    <w:p w14:paraId="745501CD" w14:textId="77777777" w:rsidR="005C5208" w:rsidRDefault="008E342E">
      <w:r>
        <w:t xml:space="preserve">The practical effect is that businesses which never considered themselves critical infrastructure find their supporting databases and cloud repositories regulated, and that one ransomware attack may trigger a twelve-hour SOCI notification, a </w:t>
      </w:r>
      <w:proofErr w:type="gramStart"/>
      <w:r>
        <w:t>seventy-two hour</w:t>
      </w:r>
      <w:proofErr w:type="gramEnd"/>
      <w:r>
        <w:t xml:space="preserve"> ransomware report and a thirty-day privacy assessment simultaneously.</w:t>
      </w:r>
    </w:p>
    <w:p w14:paraId="745501CE" w14:textId="77777777" w:rsidR="005C5208" w:rsidRDefault="008E342E">
      <w:pPr>
        <w:pStyle w:val="Heading2"/>
      </w:pPr>
      <w:r>
        <w:t>1.7 Corporate law, financial services and directors' duties</w:t>
      </w:r>
    </w:p>
    <w:p w14:paraId="745501CF" w14:textId="77777777" w:rsidR="005C5208" w:rsidRDefault="008E342E">
      <w:r>
        <w:t>Cyber security also engages the Corporations Act 2001</w:t>
      </w:r>
      <w:r>
        <w:t xml:space="preserve"> </w:t>
      </w:r>
      <w:r>
        <w:t>(</w:t>
      </w:r>
      <w:proofErr w:type="spellStart"/>
      <w:r>
        <w:t>C</w:t>
      </w:r>
      <w:r>
        <w:t>t</w:t>
      </w:r>
      <w:r>
        <w:t>h</w:t>
      </w:r>
      <w:proofErr w:type="spellEnd"/>
      <w:r>
        <w:t>)</w:t>
      </w:r>
      <w:r>
        <w:t xml:space="preserve">. In Australian Securities and Investments Commission v RI Advice Group Pty Ltd [2022] FCA 496 the Federal Court declared for the first time that a financial services licensee breached its statutory obligations by failing to manage cyber security risk adequately. RI Advice's </w:t>
      </w:r>
      <w:proofErr w:type="spellStart"/>
      <w:r>
        <w:t>authorised</w:t>
      </w:r>
      <w:proofErr w:type="spellEnd"/>
      <w:r>
        <w:t xml:space="preserve"> representatives suffered repeated incidents over several years, including one in which an </w:t>
      </w:r>
      <w:proofErr w:type="spellStart"/>
      <w:r>
        <w:t>unauthorised</w:t>
      </w:r>
      <w:proofErr w:type="spellEnd"/>
      <w:r>
        <w:t xml:space="preserve"> person accessed a file server for months. Rofe J held the licensee contravened section 912A(1)(a) by failing to provide se</w:t>
      </w:r>
      <w:r>
        <w:t>rvices efficiently, honestly and fairly, and section 912A(1)(h) by lacking adequate risk management systems. RI Advice paid $750,000 towards ASIC's costs and was ordered to engage a cyber security expert (Resolve Litigation Lawyers 2022).</w:t>
      </w:r>
    </w:p>
    <w:p w14:paraId="745501D0" w14:textId="77777777" w:rsidR="005C5208" w:rsidRDefault="008E342E">
      <w:r>
        <w:t xml:space="preserve">The reasoning matters more than the outcome. The Court accepted that cyber risk must be actively managed through documented and tested </w:t>
      </w:r>
      <w:proofErr w:type="gramStart"/>
      <w:r>
        <w:t>controls, and</w:t>
      </w:r>
      <w:proofErr w:type="gramEnd"/>
      <w:r>
        <w:t xml:space="preserve"> cannot be left entirely to third-party providers. Commentators note the decision opens the way for stepping-stone actions, where a company's contravention supports an allegation that directors breached the duty of care in section 180(1) by failing to prevent it (King and Wood Mallesons 2022). Directors need not be </w:t>
      </w:r>
      <w:proofErr w:type="gramStart"/>
      <w:r>
        <w:t>technologists, but</w:t>
      </w:r>
      <w:proofErr w:type="gramEnd"/>
      <w:r>
        <w:t xml:space="preserve"> must understand material cyber risks and ensure a tested response capability exists. Prudential Standard CPS 234 imposes parallel duties on banks, insurers and sup</w:t>
      </w:r>
      <w:r>
        <w:t>erannuation trustees, and continuous disclosure may require a listed company to disclose a material incident.</w:t>
      </w:r>
    </w:p>
    <w:p w14:paraId="745501D1" w14:textId="77777777" w:rsidR="005C5208" w:rsidRDefault="008E342E">
      <w:pPr>
        <w:pStyle w:val="Heading2"/>
      </w:pPr>
      <w:r>
        <w:t>1.8 Consumer law, contract and the general law</w:t>
      </w:r>
    </w:p>
    <w:p w14:paraId="745501D2" w14:textId="77777777" w:rsidR="005C5208" w:rsidRDefault="008E342E">
      <w:r>
        <w:t>The Australian Consumer Law in Schedule 2 to the Competition and Consumer Act 2010 (</w:t>
      </w:r>
      <w:proofErr w:type="spellStart"/>
      <w:r>
        <w:t>Cth</w:t>
      </w:r>
      <w:proofErr w:type="spellEnd"/>
      <w:r>
        <w:t xml:space="preserve">) adds another layer. Representations that customer data is safe or encrypted can be misleading or </w:t>
      </w:r>
      <w:proofErr w:type="gramStart"/>
      <w:r>
        <w:t>deceptive conduct</w:t>
      </w:r>
      <w:proofErr w:type="gramEnd"/>
      <w:r>
        <w:t xml:space="preserve"> under section 18 if the controls do not match the claim. Services must be supplied with due care and skill under the consumer guarantees, and unfair contract term provisions limit a supplier's ability to exclude liability for data loss in standard form small business contracts.</w:t>
      </w:r>
    </w:p>
    <w:p w14:paraId="745501D3" w14:textId="77777777" w:rsidR="005C5208" w:rsidRDefault="008E342E">
      <w:r>
        <w:t xml:space="preserve">Contract law is increasingly </w:t>
      </w:r>
      <w:proofErr w:type="gramStart"/>
      <w:r>
        <w:t>where</w:t>
      </w:r>
      <w:proofErr w:type="gramEnd"/>
      <w:r>
        <w:t xml:space="preserve"> cyber obligations bite first. Government and financial services buyers routinely require suppliers to meet specified standards, maintain certification, permit audit, carry cyber insurance and notify incidents within windows tighter than the statutory ones. </w:t>
      </w:r>
      <w:r>
        <w:lastRenderedPageBreak/>
        <w:t xml:space="preserve">For many small and medium enterprises, contractual security obligations arrive long before regulatory ones. Negligence remains available where a duty of care </w:t>
      </w:r>
      <w:proofErr w:type="gramStart"/>
      <w:r>
        <w:t>exists, and</w:t>
      </w:r>
      <w:proofErr w:type="gramEnd"/>
      <w:r>
        <w:t xml:space="preserve"> underpins several consumer class actions discussed in Chapter 2.</w:t>
      </w:r>
    </w:p>
    <w:p w14:paraId="745501D4" w14:textId="77777777" w:rsidR="005C5208" w:rsidRDefault="008E342E">
      <w:pPr>
        <w:pStyle w:val="Heading2"/>
      </w:pPr>
      <w:r>
        <w:t>1.9 Chapter summary</w:t>
      </w:r>
    </w:p>
    <w:p w14:paraId="745501D5" w14:textId="77777777" w:rsidR="005C5208" w:rsidRDefault="008E342E">
      <w:r>
        <w:t xml:space="preserve">Australian cyber security law is a layered framework rather than a single obligation. The Privacy Act sets a flexible security standard backed by penalties reaching fifty million dollars and mandatory breach notification. The 2024 privacy amendments added a private right of action. The Cyber Security Act 2024 introduced ransomware payment reporting and device standards. The SOCI Act imposes risk management and rapid notification on an expanding set of entities. Corporate law converts security failures into </w:t>
      </w:r>
      <w:r>
        <w:t>governance failures, while consumer and contract law create exposure independent of any regulator. The direction is towards more obligation, shorter deadlines and higher penalties. Chapter 2 turns to enforcement and practical compliance.</w:t>
      </w:r>
    </w:p>
    <w:p w14:paraId="745501D6" w14:textId="77777777" w:rsidR="005C5208" w:rsidRDefault="008E342E">
      <w:r>
        <w:br w:type="page"/>
      </w:r>
    </w:p>
    <w:p w14:paraId="745501D7" w14:textId="77777777" w:rsidR="005C5208" w:rsidRDefault="008E342E">
      <w:pPr>
        <w:pStyle w:val="Heading1"/>
        <w:spacing w:line="320" w:lineRule="auto"/>
      </w:pPr>
      <w:r>
        <w:lastRenderedPageBreak/>
        <w:t>Chapter 2: Compliance Challenges, Liability and Risk Management</w:t>
      </w:r>
    </w:p>
    <w:p w14:paraId="745501D8" w14:textId="77777777" w:rsidR="005C5208" w:rsidRDefault="008E342E">
      <w:pPr>
        <w:spacing w:after="200"/>
      </w:pPr>
      <w:r>
        <w:rPr>
          <w:i/>
          <w:iCs/>
          <w:color w:val="595959"/>
        </w:rPr>
        <w:t>Prepared by [Student Name 2], [Student Number 2]</w:t>
      </w:r>
    </w:p>
    <w:p w14:paraId="745501D9" w14:textId="77777777" w:rsidR="005C5208" w:rsidRDefault="008E342E">
      <w:pPr>
        <w:pStyle w:val="Heading2"/>
      </w:pPr>
      <w:r>
        <w:t>2.1 From obligation to enforcement</w:t>
      </w:r>
    </w:p>
    <w:p w14:paraId="745501DA" w14:textId="77777777" w:rsidR="005C5208" w:rsidRDefault="008E342E">
      <w:r>
        <w:t xml:space="preserve">Chapter 1 described a framework of obligations. This chapter examines what happens when they are not met, and why compliance is proving difficult in practice. The gap between the law on paper and the law in operation has narrowed sharply since 2024. Regulators that once preferred education now litigate, individuals can sue directly, and reporting deadlines are short enough that an unprepared </w:t>
      </w:r>
      <w:proofErr w:type="spellStart"/>
      <w:r>
        <w:t>organisation</w:t>
      </w:r>
      <w:proofErr w:type="spellEnd"/>
      <w:r>
        <w:t xml:space="preserve"> will </w:t>
      </w:r>
      <w:proofErr w:type="gramStart"/>
      <w:r>
        <w:t>breach</w:t>
      </w:r>
      <w:proofErr w:type="gramEnd"/>
      <w:r>
        <w:t xml:space="preserve"> them through confusion alone during the first day of an incident.</w:t>
      </w:r>
    </w:p>
    <w:p w14:paraId="745501DB" w14:textId="77777777" w:rsidR="005C5208" w:rsidRDefault="008E342E">
      <w:r>
        <w:t xml:space="preserve">The underlying problem is substantial. Malicious actors succeeded in ninety-five per cent of health care and social assistance incidents the Australian Signals Directorate responded to in 2024-25, against roughly fifty-two per cent across all sectors. Ransomware incidents against healthcare doubled year on year, and the agency responded to more than two hundred </w:t>
      </w:r>
      <w:proofErr w:type="gramStart"/>
      <w:r>
        <w:t>denial</w:t>
      </w:r>
      <w:proofErr w:type="gramEnd"/>
      <w:r>
        <w:t xml:space="preserve"> of service incidents, an increase exceeding 280 per cent (Australian Signals Directorate 2025). Ransomware accounted for eleven per cent of reported cybercrime.</w:t>
      </w:r>
    </w:p>
    <w:p w14:paraId="745501DC" w14:textId="77777777" w:rsidR="005C5208" w:rsidRDefault="008E342E">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t>Screenshot placeholder 3: Insert a screenshot of the chart showing the average self-reported cost of cybercrime to Australian businesses from the ASD Annual Cyber Threat Report 2024-25. Label it Figure 3 and cite the source underneath.</w:t>
      </w:r>
    </w:p>
    <w:p w14:paraId="745501DD" w14:textId="77777777" w:rsidR="005C5208" w:rsidRDefault="008E342E">
      <w:pPr>
        <w:pStyle w:val="Heading2"/>
      </w:pPr>
      <w:r>
        <w:t>2.2 Regulatory enforcement in practice</w:t>
      </w:r>
    </w:p>
    <w:p w14:paraId="745501DE" w14:textId="77777777" w:rsidR="005C5208" w:rsidRDefault="008E342E">
      <w:r>
        <w:t>The most visible change is the Commissioner's willingness to bring civil penalty proceedings. In June 2024 proceedings were filed in the Federal Court against Medibank Private Limited over the October 2022 breach, alleging that between March 2021 and October 2022 Medibank seriously interfered with the privacy of 9.7 million Australians by failing to take reasonable steps to protect their personal information (OAIC 2024). The Court may impose up to $2,220,000 for each contravention of section 13G at the rate</w:t>
      </w:r>
      <w:r>
        <w:t xml:space="preserve"> then applicable, and the concise statement advanced alternative constructions including one contravention per affected individual, producing theoretical exposure beyond anything previously seen in Australian privacy law (Johnson Winter Slattery 2024).</w:t>
      </w:r>
    </w:p>
    <w:p w14:paraId="745501DF" w14:textId="77777777" w:rsidR="005C5208" w:rsidRDefault="008E342E">
      <w:r>
        <w:t>In 2025 the Commissioner filed parallel proceedings against Singtel Optus Pty Limited and Optus Systems Pty Limited over the September 2022 breach, alleging that from October 2019 to September 2022 Optus failed to take reasonable steps to protect approximately 9.5 million Australians, again pleading one contravention per individual (OAIC 2025c). Both proceedings continue through 2026 alongside Commissioner-initiated investigations into rental technology, connected cars and tracking pixels (OAIC 2026b).</w:t>
      </w:r>
    </w:p>
    <w:p w14:paraId="745501E0" w14:textId="77777777" w:rsidR="005C5208" w:rsidRDefault="008E342E">
      <w:pPr>
        <w:pBdr>
          <w:top w:val="single" w:sz="8" w:space="10" w:color="0F4761"/>
          <w:left w:val="single" w:sz="8" w:space="10" w:color="0F4761"/>
          <w:bottom w:val="single" w:sz="8" w:space="10" w:color="0F4761"/>
          <w:right w:val="single" w:sz="8" w:space="10" w:color="0F4761"/>
        </w:pBdr>
        <w:spacing w:before="240" w:after="240"/>
        <w:ind w:left="215" w:right="215"/>
      </w:pPr>
      <w:r>
        <w:rPr>
          <w:i/>
          <w:iCs/>
          <w:color w:val="44546A"/>
        </w:rPr>
        <w:lastRenderedPageBreak/>
        <w:t>Screenshot placeholder 4: Insert a screenshot of the OAIC media release announcing civil penalty proceedings against Medibank or Optus. Label it Figure 4 and cite the source underneath.</w:t>
      </w:r>
    </w:p>
    <w:p w14:paraId="745501E1" w14:textId="77777777" w:rsidR="005C5208" w:rsidRDefault="008E342E">
      <w:r>
        <w:t xml:space="preserve">Three lessons emerge. Neither proceeding </w:t>
      </w:r>
      <w:proofErr w:type="spellStart"/>
      <w:r>
        <w:t>penalises</w:t>
      </w:r>
      <w:proofErr w:type="spellEnd"/>
      <w:r>
        <w:t xml:space="preserve"> the fact of being hacked; both allege a failure to take reasonable steps beforehand, so the security posture in the years preceding an incident is what gets litigated. The Medibank concise statement effectively publishes the regulator's expectations for entities holding sensitive information at scale. Pleading per-individual contraventions signals that volume is treated as aggravating, placing data </w:t>
      </w:r>
      <w:proofErr w:type="spellStart"/>
      <w:r>
        <w:t>minimisation</w:t>
      </w:r>
      <w:proofErr w:type="spellEnd"/>
      <w:r>
        <w:t xml:space="preserve"> and retention squarely in issue, since Medibank retained data of many former customers </w:t>
      </w:r>
      <w:r>
        <w:t>well beyond operational need.</w:t>
      </w:r>
    </w:p>
    <w:p w14:paraId="745501E2" w14:textId="77777777" w:rsidR="005C5208" w:rsidRDefault="008E342E">
      <w:pPr>
        <w:pStyle w:val="Heading2"/>
      </w:pPr>
      <w:r>
        <w:t>2.3 Private litigation and the statutory tort</w:t>
      </w:r>
    </w:p>
    <w:p w14:paraId="745501E3" w14:textId="77777777" w:rsidR="005C5208" w:rsidRDefault="008E342E">
      <w:r>
        <w:t>Regulatory penalties are only one exposure. Representative proceedings have been commenced against both Optus and Medibank pleading breach of contract, contraventions of the Australian Consumer Law and negligence, and a separate shareholder class action has been filed against Medibank. Interlocutory litigation over whether a post-incident consultant's report is protected by legal professional privilege has featured heavily, with reporting in March 2026 indicating Medibank was refused leave to appeal a rulin</w:t>
      </w:r>
      <w:r>
        <w:t>g on that question.</w:t>
      </w:r>
    </w:p>
    <w:p w14:paraId="745501E4" w14:textId="77777777" w:rsidR="005C5208" w:rsidRDefault="008E342E">
      <w:r>
        <w:t xml:space="preserve">That dispute </w:t>
      </w:r>
      <w:proofErr w:type="gramStart"/>
      <w:r>
        <w:t>carries</w:t>
      </w:r>
      <w:proofErr w:type="gramEnd"/>
      <w:r>
        <w:t xml:space="preserve"> a lesson easily missed. </w:t>
      </w:r>
      <w:proofErr w:type="spellStart"/>
      <w:r>
        <w:t>Organisations</w:t>
      </w:r>
      <w:proofErr w:type="spellEnd"/>
      <w:r>
        <w:t xml:space="preserve"> routinely commission forensic reviews immediately after an incident. Whether those reports are later discoverable depends on how the engagement is structured, who instructs the consultant and the dominant purpose of the report. A business commissioning a review without legal advice on structure may find its own candid assessment of its failings used against it in penalty proceedings and class actions.</w:t>
      </w:r>
    </w:p>
    <w:p w14:paraId="745501E5" w14:textId="77777777" w:rsidR="005C5208" w:rsidRDefault="008E342E">
      <w:r>
        <w:t xml:space="preserve">The statutory tort adds a further avenue. Being actionable without proof of damage and applying to entities outside the Privacy Act, it widens the pool of defendants considerably. The intention or recklessness requirement is a meaningful filter, and a business attacked despite reasonable efforts is unlikely to be liable. However, an </w:t>
      </w:r>
      <w:proofErr w:type="spellStart"/>
      <w:r>
        <w:t>organisation</w:t>
      </w:r>
      <w:proofErr w:type="spellEnd"/>
      <w:r>
        <w:t xml:space="preserve"> </w:t>
      </w:r>
      <w:proofErr w:type="gramStart"/>
      <w:r>
        <w:t>told</w:t>
      </w:r>
      <w:proofErr w:type="gramEnd"/>
      <w:r>
        <w:t xml:space="preserve"> about a vulnerability that consciously chose not to remediate may find recklessness easier to allege than expected. Board minutes, risk registers and ignored penetration test findings become significant evidence.</w:t>
      </w:r>
    </w:p>
    <w:p w14:paraId="745501E6" w14:textId="77777777" w:rsidR="005C5208" w:rsidRDefault="008E342E">
      <w:pPr>
        <w:pStyle w:val="Heading2"/>
      </w:pPr>
      <w:r>
        <w:t>2.4 The reporting maze</w:t>
      </w:r>
    </w:p>
    <w:p w14:paraId="745501E7" w14:textId="77777777" w:rsidR="005C5208" w:rsidRDefault="008E342E">
      <w:r>
        <w:t>The most underestimated compliance challenge is the number of overlapping notification duties one incident triggers. A ransomware attack on a mid-sized health provider operating a regulated data storage system could require notification to the Australian Signals Directorate within twelve or seventy-two hours under the SOCI Act, a ransomware payment report within seventy-two hours if payment is made, an assessment within thirty days and notification as soon as practicable under the Notifiable Data Breaches s</w:t>
      </w:r>
      <w:r>
        <w:t>cheme, prudential notification if APRA-regulated, market disclosure if listed, contractual notification to enterprise customers often within twenty-four hours, and overseas notification where affected individuals reside abroad.</w:t>
      </w:r>
    </w:p>
    <w:p w14:paraId="745501E8" w14:textId="77777777" w:rsidR="005C5208" w:rsidRDefault="008E342E">
      <w:r>
        <w:t xml:space="preserve">These duties have different triggers, clocks and recipients, and they start at different moments. The SOCI clock runs from awareness of the incident, the ransomware clock from the payment, and the privacy clock from awareness of facts grounding a suspicion. An </w:t>
      </w:r>
      <w:proofErr w:type="spellStart"/>
      <w:r>
        <w:t>organisation</w:t>
      </w:r>
      <w:proofErr w:type="spellEnd"/>
      <w:r>
        <w:t xml:space="preserve"> working </w:t>
      </w:r>
      <w:r>
        <w:lastRenderedPageBreak/>
        <w:t>this out for the first time during a live incident, with systems encrypted and executives unavailable, will almost certainly miss something. The only realistic mitigation is a documented response plan mapping each obligation to a named owner and a pre-drafted template, rehearsed through tabletop exercises.</w:t>
      </w:r>
    </w:p>
    <w:p w14:paraId="745501E9" w14:textId="77777777" w:rsidR="005C5208" w:rsidRDefault="008E342E">
      <w:r>
        <w:t xml:space="preserve">Resourcing compounds the difficulty. A large bank maintains a dedicated security operations </w:t>
      </w:r>
      <w:proofErr w:type="spellStart"/>
      <w:r>
        <w:t>centre</w:t>
      </w:r>
      <w:proofErr w:type="spellEnd"/>
      <w:r>
        <w:t xml:space="preserve"> and </w:t>
      </w:r>
      <w:proofErr w:type="gramStart"/>
      <w:r>
        <w:t>standing</w:t>
      </w:r>
      <w:proofErr w:type="gramEnd"/>
      <w:r>
        <w:t xml:space="preserve"> external counsel. A mid-sized manufacturer subject to the same </w:t>
      </w:r>
      <w:proofErr w:type="gramStart"/>
      <w:r>
        <w:t>seventy-two hour</w:t>
      </w:r>
      <w:proofErr w:type="gramEnd"/>
      <w:r>
        <w:t xml:space="preserve"> ransomware reporting clock may have one internal technology manager and no retained lawyer. The law makes limited allowance for this: what is reasonable under Australian Privacy Principle 11 varies with resources, but the fixed statutory deadlines under the Cyber Security Act and the SOCI Act do not. The result is a compliance burden that is proportionately heaviest on </w:t>
      </w:r>
      <w:proofErr w:type="spellStart"/>
      <w:r>
        <w:t>organisations</w:t>
      </w:r>
      <w:proofErr w:type="spellEnd"/>
      <w:r>
        <w:t xml:space="preserve"> least equipped to carry it</w:t>
      </w:r>
      <w:r>
        <w:t>, which is precisely why pre-incident preparation matters more for them, not less.</w:t>
      </w:r>
    </w:p>
    <w:p w14:paraId="745501EA" w14:textId="77777777" w:rsidR="005C5208" w:rsidRDefault="008E342E">
      <w:r>
        <w:t xml:space="preserve">The limited use provision reduces this chilling effect by shielding information voluntarily shared with the National Cyber Security Coordinator from most regulatory use. It is a genuine protection but a narrow one. It does not extend to other regulators and does not prevent the same facts being discovered independently, so it should not be treated as </w:t>
      </w:r>
      <w:proofErr w:type="gramStart"/>
      <w:r>
        <w:t>an amnesty</w:t>
      </w:r>
      <w:proofErr w:type="gramEnd"/>
      <w:r>
        <w:t>.</w:t>
      </w:r>
    </w:p>
    <w:p w14:paraId="745501EB" w14:textId="77777777" w:rsidR="005C5208" w:rsidRDefault="008E342E">
      <w:pPr>
        <w:pStyle w:val="Heading2"/>
      </w:pPr>
      <w:r>
        <w:t>2.5 Small business, supply chains and third parties</w:t>
      </w:r>
    </w:p>
    <w:p w14:paraId="745501EC" w14:textId="77777777" w:rsidR="005C5208" w:rsidRDefault="008E342E">
      <w:r>
        <w:t xml:space="preserve">The small business exemption, excluding most </w:t>
      </w:r>
      <w:proofErr w:type="spellStart"/>
      <w:r>
        <w:t>organisations</w:t>
      </w:r>
      <w:proofErr w:type="spellEnd"/>
      <w:r>
        <w:t xml:space="preserve"> with turnover of three million dollars or less, is often called Australia's most significant privacy gap, and Australia is unusual among comparable jurisdictions in retaining it. The Government has agreed in principle to remove it in second tranche reform, but as at mid-2026 no bill had passed, no commencement date was fixed, and genuine uncertainty remains about the final shape.</w:t>
      </w:r>
    </w:p>
    <w:p w14:paraId="745501ED" w14:textId="77777777" w:rsidR="005C5208" w:rsidRDefault="008E342E">
      <w:r>
        <w:t>The exemption is nevertheless eroding. It never applied to health service providers, credit reporting bodies, businesses trading in personal information, Commonwealth contractors or entities that opt in. From 1 July 2026 the second tranche of anti-money laundering reform brought newly designated service providers, including real estate agents, lawyers, accountants and conveyancers, within the Privacy Act for their regulated data handling, affecting an estimated 100,000 small businesses. Any small business r</w:t>
      </w:r>
      <w:r>
        <w:t>elying on the exemption should verify whether an exception already captures it.</w:t>
      </w:r>
    </w:p>
    <w:p w14:paraId="745501EE" w14:textId="77777777" w:rsidR="005C5208" w:rsidRDefault="008E342E">
      <w:r>
        <w:t xml:space="preserve">Even where it applies, the exemption offers little comfort. The statutory tort applies regardless of turnover, as does the Australian Consumer Law, and so do supply chain contracts. Larger </w:t>
      </w:r>
      <w:proofErr w:type="spellStart"/>
      <w:r>
        <w:t>organisations</w:t>
      </w:r>
      <w:proofErr w:type="spellEnd"/>
      <w:r>
        <w:t>, told by regulators that they remain responsible for information handled on their behalf, push detailed security obligations down to suppliers. A vendor with two million dollars of turnover may be contractually bound to controls stricter than the Privacy Act would impose. Supply chain compromise has become a leading breach vector precisely because attackers target the least defended link.</w:t>
      </w:r>
    </w:p>
    <w:p w14:paraId="745501EF" w14:textId="77777777" w:rsidR="005C5208" w:rsidRDefault="008E342E">
      <w:pPr>
        <w:pStyle w:val="Heading2"/>
      </w:pPr>
      <w:r>
        <w:t>2.6 Emerging pressures</w:t>
      </w:r>
    </w:p>
    <w:p w14:paraId="745501F0" w14:textId="77777777" w:rsidR="005C5208" w:rsidRDefault="008E342E">
      <w:r>
        <w:t xml:space="preserve">Three developments are reshaping the landscape. The first is artificial intelligence. Generative tools lower the cost and raise the quality of phishing and business email compromise, among the costliest cybercrime types for Australian business. Adoption also creates privacy exposure where staff paste personal information into external tools, and the automated decision-making </w:t>
      </w:r>
      <w:r>
        <w:lastRenderedPageBreak/>
        <w:t>transparency requirements commencing 10 December 2026 will require disclosure of programs that substantially assist decisions affecting individuals.</w:t>
      </w:r>
    </w:p>
    <w:p w14:paraId="745501F1" w14:textId="77777777" w:rsidR="005C5208" w:rsidRDefault="008E342E">
      <w:r>
        <w:t xml:space="preserve">The second is legacy technology and </w:t>
      </w:r>
      <w:proofErr w:type="gramStart"/>
      <w:r>
        <w:t>the cloud</w:t>
      </w:r>
      <w:proofErr w:type="gramEnd"/>
      <w:r>
        <w:t xml:space="preserve">. The Australian Signals Directorate repeatedly identifies unpatched and end-of-life systems as a primary entry point, and urges </w:t>
      </w:r>
      <w:proofErr w:type="spellStart"/>
      <w:r>
        <w:t>organisations</w:t>
      </w:r>
      <w:proofErr w:type="spellEnd"/>
      <w:r>
        <w:t xml:space="preserve"> to replace legacy technology, implement best-practice event logging, choose secure-by-design products and plan for post-quantum cryptography. Logging deserves attention: in the proceedings discussed above, inability to determine what an attacker accessed materially worsened the defendant's position.</w:t>
      </w:r>
    </w:p>
    <w:p w14:paraId="745501F2" w14:textId="77777777" w:rsidR="005C5208" w:rsidRDefault="008E342E">
      <w:r>
        <w:t xml:space="preserve">The third is the </w:t>
      </w:r>
      <w:proofErr w:type="spellStart"/>
      <w:r>
        <w:t>professionalisation</w:t>
      </w:r>
      <w:proofErr w:type="spellEnd"/>
      <w:r>
        <w:t xml:space="preserve"> of the criminal market. Ransomware is sold as a service, and extortion increasingly relies on data theft and publication rather than encryption. That matters legally because a pure exfiltration attack, causing no operational disruption at all, still constitutes </w:t>
      </w:r>
      <w:proofErr w:type="spellStart"/>
      <w:r>
        <w:t>unauthorised</w:t>
      </w:r>
      <w:proofErr w:type="spellEnd"/>
      <w:r>
        <w:t xml:space="preserve"> access to personal information and still triggers the full notification cascade.</w:t>
      </w:r>
    </w:p>
    <w:p w14:paraId="745501F3" w14:textId="77777777" w:rsidR="005C5208" w:rsidRDefault="008E342E">
      <w:r>
        <w:t>A fourth pressure sits alongside these: the cyber insurance market. Insurers now underwrite on the strength of specific controls, commonly requiring multi-factor authentication, tested offline backups and endpoint detection before offering cover at a workable premium. Insurance has therefore become an informal private regulator, driving security uplift among businesses that regulators do not reach. Businesses should note, however, that Australian public policy generally prevents insurance against civil pena</w:t>
      </w:r>
      <w:r>
        <w:t>lties, so cover typically responds to response costs, business interruption and third-party claims rather than to a regulatory penalty itself.</w:t>
      </w:r>
    </w:p>
    <w:p w14:paraId="745501F4" w14:textId="77777777" w:rsidR="005C5208" w:rsidRDefault="008E342E">
      <w:pPr>
        <w:pStyle w:val="Heading2"/>
      </w:pPr>
      <w:r>
        <w:t>2.7 Practical compliance recommendations</w:t>
      </w:r>
    </w:p>
    <w:p w14:paraId="745501F5" w14:textId="77777777" w:rsidR="005C5208" w:rsidRDefault="008E342E">
      <w:r>
        <w:t xml:space="preserve">The following measures respond directly to the risks identified. First, build and maintain a data inventory, because an </w:t>
      </w:r>
      <w:proofErr w:type="spellStart"/>
      <w:r>
        <w:t>organisation</w:t>
      </w:r>
      <w:proofErr w:type="spellEnd"/>
      <w:r>
        <w:t xml:space="preserve"> cannot protect information it cannot locate or notify individuals whose data it did not know it held. Second, adopt a genuine retention and destruction schedule, since Australian Privacy Principle 11.2 requires destruction of information no longer needed and retained historical data has aggravated every major Australian breach.</w:t>
      </w:r>
    </w:p>
    <w:p w14:paraId="745501F6" w14:textId="77777777" w:rsidR="005C5208" w:rsidRDefault="008E342E">
      <w:r>
        <w:t>Third, implement the Essential Eight mitigation strategies and record the maturity level achieved. The Essential Eight is not itself a legal standard, but it is the benchmark a court or regulator is most likely to reference when asking what reasonable steps looked like. Fourth, prepare and test an incident response plan mapping every notification obligation to a named owner, with regulator contact details and pre-drafted templates, rehearsed annually with board involvement.</w:t>
      </w:r>
    </w:p>
    <w:p w14:paraId="745501F7" w14:textId="77777777" w:rsidR="005C5208" w:rsidRDefault="008E342E">
      <w:r>
        <w:t>Fifth, address the human layer, since human error caused thirty-seven per cent of notifiable breaches in early 2025; phishing simulation, multi-factor authentication and clear handling procedures deliver high returns for modest cost. Sixth, manage third parties through due diligence, contractual security and notification terms, and periodic assurance rather than a one-off questionnaire. Seventh, take legal advice before commissioning post-incident forensic reviews so privilege is considered at the outset. E</w:t>
      </w:r>
      <w:r>
        <w:t xml:space="preserve">ighth, ensure the board receives regular, intelligible and </w:t>
      </w:r>
      <w:proofErr w:type="spellStart"/>
      <w:r>
        <w:t>minuted</w:t>
      </w:r>
      <w:proofErr w:type="spellEnd"/>
      <w:r>
        <w:t xml:space="preserve"> cyber risk reporting, because the governance record is what a stepping-stone action examines. Finally, review cyber insurance, noting regulatory penalties are generally not insurable in Australia on public policy grounds.</w:t>
      </w:r>
    </w:p>
    <w:p w14:paraId="745501F8" w14:textId="77777777" w:rsidR="005C5208" w:rsidRDefault="008E342E">
      <w:pPr>
        <w:pStyle w:val="Heading2"/>
      </w:pPr>
      <w:r>
        <w:t>2.8 Chapter summary</w:t>
      </w:r>
    </w:p>
    <w:p w14:paraId="745501F9" w14:textId="77777777" w:rsidR="005C5208" w:rsidRDefault="008E342E">
      <w:r>
        <w:lastRenderedPageBreak/>
        <w:t>Australian cyber security law has entered its enforcement phase. Two of the largest privacy penalty proceedings in the country's history are before the Federal Court</w:t>
      </w:r>
      <w:proofErr w:type="gramStart"/>
      <w:r>
        <w:t>, class</w:t>
      </w:r>
      <w:proofErr w:type="gramEnd"/>
      <w:r>
        <w:t xml:space="preserve"> actions and </w:t>
      </w:r>
      <w:proofErr w:type="gramStart"/>
      <w:r>
        <w:t>a shareholder</w:t>
      </w:r>
      <w:proofErr w:type="gramEnd"/>
      <w:r>
        <w:t xml:space="preserve"> action proceed in parallel</w:t>
      </w:r>
      <w:proofErr w:type="gramStart"/>
      <w:r>
        <w:t>, a</w:t>
      </w:r>
      <w:proofErr w:type="gramEnd"/>
      <w:r>
        <w:t xml:space="preserve"> statutory tort gives individuals a direct cause of action, and ransomware payment reporting has operated without a grace period since May 2025. The practical challenges are overlapping reporting clocks, the erosion of the small business exemption through contractual and sector-specific routes, the difficulty of proving reasonable steps were taken before an incident, and the risk that an internal review becomes evidence. None of these is solved </w:t>
      </w:r>
      <w:r>
        <w:t>by technology alone. They are solved by governance.</w:t>
      </w:r>
    </w:p>
    <w:p w14:paraId="745501FA" w14:textId="77777777" w:rsidR="005C5208" w:rsidRDefault="008E342E">
      <w:r>
        <w:br w:type="page"/>
      </w:r>
    </w:p>
    <w:p w14:paraId="745501FB" w14:textId="77777777" w:rsidR="005C5208" w:rsidRDefault="008E342E">
      <w:pPr>
        <w:pStyle w:val="Heading1"/>
        <w:spacing w:line="320" w:lineRule="auto"/>
      </w:pPr>
      <w:r>
        <w:lastRenderedPageBreak/>
        <w:t>Conclusion</w:t>
      </w:r>
    </w:p>
    <w:p w14:paraId="745501FC" w14:textId="77777777" w:rsidR="005C5208" w:rsidRDefault="008E342E">
      <w:r>
        <w:t xml:space="preserve">This report set out to show that Australian cyber security law has shifted from a light-touch model to an enforcement-driven regime, and that the heaviest burden falls on </w:t>
      </w:r>
      <w:proofErr w:type="spellStart"/>
      <w:r>
        <w:t>organisations</w:t>
      </w:r>
      <w:proofErr w:type="spellEnd"/>
      <w:r>
        <w:t xml:space="preserve"> treating compliance as paperwork. Chapter 1 mapped the framework. Chapter 2 showed it in operation: record notifiable breaches, two landmark penalty proceedings, parallel class actions, and deadlines measured in hours.</w:t>
      </w:r>
    </w:p>
    <w:p w14:paraId="745501FD" w14:textId="77777777" w:rsidR="005C5208" w:rsidRDefault="008E342E">
      <w:r>
        <w:t xml:space="preserve">The conclusion for Australian business is straightforward. The law does not require perfect security, because perfect security does not exist. It requires reasonable, documented, tested and governed security proportionate to the sensitivity and volume of information held. </w:t>
      </w:r>
      <w:proofErr w:type="spellStart"/>
      <w:r>
        <w:t>Organisations</w:t>
      </w:r>
      <w:proofErr w:type="spellEnd"/>
      <w:r>
        <w:t xml:space="preserve"> that build that discipline before an incident will be judged on their preparation. Those that do not will be judged on their improvisation.</w:t>
      </w:r>
    </w:p>
    <w:p w14:paraId="745501FE" w14:textId="77777777" w:rsidR="005C5208" w:rsidRDefault="008E342E">
      <w:r>
        <w:br w:type="page"/>
      </w:r>
    </w:p>
    <w:p w14:paraId="745501FF" w14:textId="77777777" w:rsidR="005C5208" w:rsidRDefault="008E342E">
      <w:pPr>
        <w:pStyle w:val="Heading1"/>
        <w:spacing w:line="320" w:lineRule="auto"/>
      </w:pPr>
      <w:r>
        <w:lastRenderedPageBreak/>
        <w:t>Bibliography</w:t>
      </w:r>
    </w:p>
    <w:p w14:paraId="74550200" w14:textId="77777777" w:rsidR="005C5208" w:rsidRDefault="008E342E">
      <w:pPr>
        <w:pStyle w:val="Heading2"/>
      </w:pPr>
      <w:r>
        <w:t>Legislation and Cases</w:t>
      </w:r>
    </w:p>
    <w:p w14:paraId="74550201" w14:textId="77777777" w:rsidR="005C5208" w:rsidRDefault="008E342E">
      <w:pPr>
        <w:ind w:left="720" w:hanging="720"/>
      </w:pPr>
      <w:r>
        <w:t>Australian Securities and Investments Commission v RI Advice Group Pty Ltd [2022] FCA 496.</w:t>
      </w:r>
    </w:p>
    <w:p w14:paraId="74550202" w14:textId="77777777" w:rsidR="005C5208" w:rsidRDefault="008E342E">
      <w:pPr>
        <w:ind w:left="720" w:hanging="720"/>
      </w:pPr>
      <w:r>
        <w:t>Competition and Consumer Act 2010 (</w:t>
      </w:r>
      <w:proofErr w:type="spellStart"/>
      <w:r>
        <w:t>Cth</w:t>
      </w:r>
      <w:proofErr w:type="spellEnd"/>
      <w:r>
        <w:t xml:space="preserve">), viewed 16 August 2026, </w:t>
      </w:r>
      <w:hyperlink r:id="rId8" w:history="1">
        <w:r>
          <w:rPr>
            <w:rStyle w:val="Hyperlink"/>
          </w:rPr>
          <w:t>https://www.legislation.gov.au/series/C2004A00109</w:t>
        </w:r>
      </w:hyperlink>
    </w:p>
    <w:p w14:paraId="74550203" w14:textId="77777777" w:rsidR="005C5208" w:rsidRDefault="008E342E">
      <w:pPr>
        <w:ind w:left="720" w:hanging="720"/>
      </w:pPr>
      <w:r>
        <w:t>Cyber Security Act 2024 (</w:t>
      </w:r>
      <w:proofErr w:type="spellStart"/>
      <w:r>
        <w:t>Cth</w:t>
      </w:r>
      <w:proofErr w:type="spellEnd"/>
      <w:r>
        <w:t xml:space="preserve">), viewed 16 August 2026, </w:t>
      </w:r>
      <w:hyperlink r:id="rId9" w:history="1">
        <w:r>
          <w:rPr>
            <w:rStyle w:val="Hyperlink"/>
          </w:rPr>
          <w:t>https://www.legislation.gov.au/C2024A00098/asmade</w:t>
        </w:r>
      </w:hyperlink>
    </w:p>
    <w:p w14:paraId="74550204" w14:textId="77777777" w:rsidR="005C5208" w:rsidRDefault="008E342E">
      <w:pPr>
        <w:ind w:left="720" w:hanging="720"/>
      </w:pPr>
      <w:r>
        <w:t>Privacy Act 1988 (</w:t>
      </w:r>
      <w:proofErr w:type="spellStart"/>
      <w:r>
        <w:t>Cth</w:t>
      </w:r>
      <w:proofErr w:type="spellEnd"/>
      <w:r>
        <w:t xml:space="preserve">), viewed 16 August 2026, </w:t>
      </w:r>
      <w:hyperlink r:id="rId10" w:history="1">
        <w:r>
          <w:rPr>
            <w:rStyle w:val="Hyperlink"/>
          </w:rPr>
          <w:t>https://www.legislation.gov.au/series/C2004A03712</w:t>
        </w:r>
      </w:hyperlink>
    </w:p>
    <w:p w14:paraId="74550205" w14:textId="77777777" w:rsidR="005C5208" w:rsidRDefault="008E342E">
      <w:pPr>
        <w:ind w:left="720" w:hanging="720"/>
      </w:pPr>
      <w:r>
        <w:t>Security of Critical Infrastructure Act 2018 (</w:t>
      </w:r>
      <w:proofErr w:type="spellStart"/>
      <w:r>
        <w:t>Cth</w:t>
      </w:r>
      <w:proofErr w:type="spellEnd"/>
      <w:r>
        <w:t xml:space="preserve">), viewed 16 August 2026, </w:t>
      </w:r>
      <w:hyperlink r:id="rId11" w:history="1">
        <w:r>
          <w:rPr>
            <w:rStyle w:val="Hyperlink"/>
          </w:rPr>
          <w:t>https://www.legislation.gov.au/Series/C2018A00029</w:t>
        </w:r>
      </w:hyperlink>
    </w:p>
    <w:p w14:paraId="74550206" w14:textId="77777777" w:rsidR="005C5208" w:rsidRDefault="008E342E">
      <w:pPr>
        <w:pStyle w:val="Heading2"/>
      </w:pPr>
      <w:r>
        <w:t>Secondary Sources</w:t>
      </w:r>
    </w:p>
    <w:p w14:paraId="74550207" w14:textId="77777777" w:rsidR="005C5208" w:rsidRDefault="008E342E">
      <w:pPr>
        <w:ind w:left="720" w:hanging="720"/>
      </w:pPr>
      <w:r>
        <w:t xml:space="preserve">Australian Signals Directorate 2025, Annual Cyber Threat Report 2024-25, Australian Signals Directorate, Canberra, viewed 16 August 2026, </w:t>
      </w:r>
      <w:hyperlink r:id="rId12" w:history="1">
        <w:r>
          <w:rPr>
            <w:rStyle w:val="Hyperlink"/>
          </w:rPr>
          <w:t>https://www.cyber.gov.au/about-us/view-all-content/reports-and-statistics/annual-cyber-threat-report-2024-2025</w:t>
        </w:r>
      </w:hyperlink>
    </w:p>
    <w:p w14:paraId="74550208" w14:textId="77777777" w:rsidR="005C5208" w:rsidRDefault="008E342E">
      <w:pPr>
        <w:ind w:left="720" w:hanging="720"/>
      </w:pPr>
      <w:r>
        <w:t xml:space="preserve">Bird and Bird 2024, Australia's first standalone cyber security law - the Cyber Security Act 2024, Bird and Bird, viewed 16 August 2026, </w:t>
      </w:r>
      <w:hyperlink r:id="rId13" w:history="1">
        <w:r>
          <w:rPr>
            <w:rStyle w:val="Hyperlink"/>
          </w:rPr>
          <w:t>https://www.twobirds.com/en/insights/2024/australia/australias-first-standalone-cyber-security-law-the-cyber-security-act-2024</w:t>
        </w:r>
      </w:hyperlink>
    </w:p>
    <w:p w14:paraId="74550209" w14:textId="77777777" w:rsidR="005C5208" w:rsidRDefault="008E342E">
      <w:pPr>
        <w:ind w:left="720" w:hanging="720"/>
      </w:pPr>
      <w:r>
        <w:t xml:space="preserve">Clayton Utz 2025, Enhancing response and prevention powers in relation to critical infrastructure assets, Clayton Utz, viewed 16 August 2026, </w:t>
      </w:r>
      <w:hyperlink r:id="rId14" w:history="1">
        <w:r>
          <w:rPr>
            <w:rStyle w:val="Hyperlink"/>
          </w:rPr>
          <w:t>https://www.claytonutz.com/insights/2025/april/enhancing-response-and-prevention-powers-in-relation-to-critical-infrastructure-assets</w:t>
        </w:r>
      </w:hyperlink>
    </w:p>
    <w:p w14:paraId="7455020A" w14:textId="77777777" w:rsidR="005C5208" w:rsidRDefault="008E342E">
      <w:pPr>
        <w:ind w:left="720" w:hanging="720"/>
      </w:pPr>
      <w:r>
        <w:t xml:space="preserve">Cyber and Infrastructure Security Centre 2024, Factsheet: Schedule 1 - Data storage systems that hold business critical data, Department of Home Affairs, Canberra, viewed 16 August 2026, </w:t>
      </w:r>
      <w:hyperlink r:id="rId15" w:history="1">
        <w:r>
          <w:rPr>
            <w:rStyle w:val="Hyperlink"/>
          </w:rPr>
          <w:t>https://www.cisc.gov.au/resources-subsite/Documents/data-storage-systems-factsheet.pdf</w:t>
        </w:r>
      </w:hyperlink>
    </w:p>
    <w:p w14:paraId="7455020B" w14:textId="77777777" w:rsidR="005C5208" w:rsidRDefault="008E342E">
      <w:pPr>
        <w:ind w:left="720" w:hanging="720"/>
      </w:pPr>
      <w:r>
        <w:t xml:space="preserve">Cyber Daily 2025, Annual Cyber Threat Report 2024-25 - by the numbers, Cyber Daily, viewed 16 August 2026, </w:t>
      </w:r>
      <w:hyperlink r:id="rId16" w:history="1">
        <w:r>
          <w:rPr>
            <w:rStyle w:val="Hyperlink"/>
          </w:rPr>
          <w:t>https://www.cyberdaily.au/security/12768-annual-cyber-threat-report-2024-2025-by-the-numbers</w:t>
        </w:r>
      </w:hyperlink>
    </w:p>
    <w:p w14:paraId="7455020C" w14:textId="77777777" w:rsidR="005C5208" w:rsidRDefault="008E342E">
      <w:pPr>
        <w:ind w:left="720" w:hanging="720"/>
      </w:pPr>
      <w:r>
        <w:t xml:space="preserve">Department of Home Affairs 2025, Cyber Security Act, Department of Home Affairs, Canberra, viewed 16 August 2026, </w:t>
      </w:r>
      <w:hyperlink r:id="rId17" w:history="1">
        <w:r>
          <w:rPr>
            <w:rStyle w:val="Hyperlink"/>
          </w:rPr>
          <w:t>https://www.homeaffairs.gov.au/cyber-security-subsite/Pages/cyber-security-act.aspx</w:t>
        </w:r>
      </w:hyperlink>
    </w:p>
    <w:p w14:paraId="7455020D" w14:textId="77777777" w:rsidR="005C5208" w:rsidRDefault="008E342E">
      <w:pPr>
        <w:ind w:left="720" w:hanging="720"/>
      </w:pPr>
      <w:proofErr w:type="spellStart"/>
      <w:r>
        <w:t>Gadens</w:t>
      </w:r>
      <w:proofErr w:type="spellEnd"/>
      <w:r>
        <w:t xml:space="preserve"> 2025, New mandatory ransomware payment reporting obligations now in force, </w:t>
      </w:r>
      <w:proofErr w:type="spellStart"/>
      <w:r>
        <w:t>Gadens</w:t>
      </w:r>
      <w:proofErr w:type="spellEnd"/>
      <w:r>
        <w:t xml:space="preserve">, viewed 16 August 2026, </w:t>
      </w:r>
      <w:hyperlink r:id="rId18" w:history="1">
        <w:r>
          <w:rPr>
            <w:rStyle w:val="Hyperlink"/>
          </w:rPr>
          <w:t>https://www.gadens.com/legal-insights/new-mandatory-ransomware-payment-reporting-obligations-now-in-force/</w:t>
        </w:r>
      </w:hyperlink>
    </w:p>
    <w:p w14:paraId="7455020E" w14:textId="77777777" w:rsidR="005C5208" w:rsidRDefault="008E342E">
      <w:pPr>
        <w:ind w:left="720" w:hanging="720"/>
      </w:pPr>
      <w:r>
        <w:lastRenderedPageBreak/>
        <w:t xml:space="preserve">Johnson Winter Slattery 2024, AIC v Medibank - Concise Statement released by OAIC, Johnson Winter Slattery, viewed 16 August 2026, </w:t>
      </w:r>
      <w:hyperlink r:id="rId19" w:history="1">
        <w:r>
          <w:rPr>
            <w:rStyle w:val="Hyperlink"/>
          </w:rPr>
          <w:t>https://jws.com.au/what-we-think/aic-v-medibank-concise-statement-released-oaic/</w:t>
        </w:r>
      </w:hyperlink>
    </w:p>
    <w:p w14:paraId="7455020F" w14:textId="77777777" w:rsidR="005C5208" w:rsidRDefault="008E342E">
      <w:pPr>
        <w:ind w:left="720" w:hanging="720"/>
      </w:pPr>
      <w:r>
        <w:t xml:space="preserve">Kennedys 2025, Australia introduces statutory tort of serious invasion of privacy, Kennedys Law, viewed 16 August 2026, </w:t>
      </w:r>
      <w:hyperlink r:id="rId20" w:history="1">
        <w:r>
          <w:rPr>
            <w:rStyle w:val="Hyperlink"/>
          </w:rPr>
          <w:t>https://www.kennedyslaw.com/en/thought-leadership/article/2025/australia-introduces-statutory-tort-of-serious-invasion-of-privacy-apac/</w:t>
        </w:r>
      </w:hyperlink>
    </w:p>
    <w:p w14:paraId="74550210" w14:textId="77777777" w:rsidR="005C5208" w:rsidRDefault="008E342E">
      <w:pPr>
        <w:ind w:left="720" w:hanging="720"/>
      </w:pPr>
      <w:r>
        <w:t xml:space="preserve">King and Wood Mallesons 2022, Cybersecurity obligations arising out of ASIC v RI Advice Group Pty Ltd [2022] FCA 496, King and Wood Mallesons, viewed 16 August 2026, </w:t>
      </w:r>
      <w:hyperlink r:id="rId21" w:history="1">
        <w:r>
          <w:rPr>
            <w:rStyle w:val="Hyperlink"/>
          </w:rPr>
          <w:t>https://www.kwm.com/au/en/insights/latest-thinking/cybersecurity-obligations-arising-out-of-asic-v-ri-advice-group.html</w:t>
        </w:r>
      </w:hyperlink>
    </w:p>
    <w:p w14:paraId="74550211" w14:textId="77777777" w:rsidR="005C5208" w:rsidRDefault="008E342E">
      <w:pPr>
        <w:ind w:left="720" w:hanging="720"/>
      </w:pPr>
      <w:r>
        <w:t xml:space="preserve">LK 2025, New SOCI Rules go live - changes for data storage systems and telco assets, LK Law, viewed 16 August 2026, </w:t>
      </w:r>
      <w:hyperlink r:id="rId22" w:history="1">
        <w:r>
          <w:rPr>
            <w:rStyle w:val="Hyperlink"/>
          </w:rPr>
          <w:t>https://www.lk.law/2025/04/new-soci-rules-go-live-changes-for-data-storage-systems-and-telco-assets/</w:t>
        </w:r>
      </w:hyperlink>
    </w:p>
    <w:p w14:paraId="74550212" w14:textId="77777777" w:rsidR="005C5208" w:rsidRDefault="008E342E">
      <w:pPr>
        <w:ind w:left="720" w:hanging="720"/>
      </w:pPr>
      <w:proofErr w:type="spellStart"/>
      <w:r>
        <w:t>MinterEllison</w:t>
      </w:r>
      <w:proofErr w:type="spellEnd"/>
      <w:r>
        <w:t xml:space="preserve"> 2025, Mandatory ransomware payment reporting obligations in force, </w:t>
      </w:r>
      <w:proofErr w:type="spellStart"/>
      <w:r>
        <w:t>MinterEllison</w:t>
      </w:r>
      <w:proofErr w:type="spellEnd"/>
      <w:r>
        <w:t xml:space="preserve">, viewed 16 August 2026, </w:t>
      </w:r>
      <w:hyperlink r:id="rId23" w:history="1">
        <w:r>
          <w:rPr>
            <w:rStyle w:val="Hyperlink"/>
          </w:rPr>
          <w:t>https://www.minterellison.com/articles/mandatory-ransomware-payment-reporting-obligations-in-force</w:t>
        </w:r>
      </w:hyperlink>
    </w:p>
    <w:p w14:paraId="74550213" w14:textId="77777777" w:rsidR="005C5208" w:rsidRDefault="008E342E">
      <w:pPr>
        <w:ind w:left="720" w:hanging="720"/>
      </w:pPr>
      <w:r>
        <w:t xml:space="preserve">Norton Rose Fulbright 2024, Australian privacy alert: Parliament passes major and meaningful privacy law reform, Norton Rose Fulbright, viewed 16 August 2026, </w:t>
      </w:r>
      <w:hyperlink r:id="rId24" w:history="1">
        <w:r>
          <w:rPr>
            <w:rStyle w:val="Hyperlink"/>
          </w:rPr>
          <w:t>https://www.nortonrosefulbright.com/en/knowledge/publications/be98b0ff/australian-privacy-alert-parliament-passes-major-and-meaningful-privacy-law-reform</w:t>
        </w:r>
      </w:hyperlink>
    </w:p>
    <w:p w14:paraId="74550214" w14:textId="77777777" w:rsidR="005C5208" w:rsidRDefault="008E342E">
      <w:pPr>
        <w:ind w:left="720" w:hanging="720"/>
      </w:pPr>
      <w:r>
        <w:t xml:space="preserve">Office of the Australian Information Commissioner 2024, OAIC takes civil penalty action against Medibank, OAIC, Sydney, viewed 16 August 2026, </w:t>
      </w:r>
      <w:hyperlink r:id="rId25" w:history="1">
        <w:r>
          <w:rPr>
            <w:rStyle w:val="Hyperlink"/>
          </w:rPr>
          <w:t>https://www.oaic.gov.au/news/media-centre/oaic-takes-civil-penalty-action-against-medibank</w:t>
        </w:r>
      </w:hyperlink>
    </w:p>
    <w:p w14:paraId="74550215" w14:textId="77777777" w:rsidR="005C5208" w:rsidRDefault="008E342E">
      <w:pPr>
        <w:ind w:left="720" w:hanging="720"/>
      </w:pPr>
      <w:r>
        <w:t xml:space="preserve">Office of the Australian Information Commissioner 2025a, Latest Notifiable Data Breach statistics for January to June 2025, OAIC, Sydney, viewed 16 August 2026, </w:t>
      </w:r>
      <w:hyperlink r:id="rId26" w:history="1">
        <w:r>
          <w:rPr>
            <w:rStyle w:val="Hyperlink"/>
          </w:rPr>
          <w:t>https://www.oaic.gov.au/news/blog/latest-notifiable-data-breach-statistics-for-january-to-june-2025</w:t>
        </w:r>
      </w:hyperlink>
    </w:p>
    <w:p w14:paraId="74550216" w14:textId="77777777" w:rsidR="005C5208" w:rsidRDefault="008E342E">
      <w:pPr>
        <w:ind w:left="720" w:hanging="720"/>
      </w:pPr>
      <w:r>
        <w:t xml:space="preserve">Office of the Australian Information Commissioner 2025b, Statutory tort for serious invasions of privacy, OAIC, Sydney, viewed 16 August 2026, </w:t>
      </w:r>
      <w:hyperlink r:id="rId27" w:history="1">
        <w:r>
          <w:rPr>
            <w:rStyle w:val="Hyperlink"/>
          </w:rPr>
          <w:t>https://www.oaic.gov.au/privacy/your-privacy-rights/more-privacy-rights/statutory-tort-for-serious-invasions-of-privacy</w:t>
        </w:r>
      </w:hyperlink>
    </w:p>
    <w:p w14:paraId="74550217" w14:textId="77777777" w:rsidR="005C5208" w:rsidRDefault="008E342E">
      <w:pPr>
        <w:ind w:left="720" w:hanging="720"/>
      </w:pPr>
      <w:r>
        <w:t xml:space="preserve">Office of the Australian Information Commissioner 2025c, Australian Information Commissioner takes civil penalty action against Optus, OAIC, Sydney, viewed 16 August 2026, </w:t>
      </w:r>
      <w:hyperlink r:id="rId28" w:history="1">
        <w:r>
          <w:rPr>
            <w:rStyle w:val="Hyperlink"/>
          </w:rPr>
          <w:t>https://www.oaic.gov.au/news/media-centre/australian-information-commissioner-takes-civil-penalty-action-against-optus</w:t>
        </w:r>
      </w:hyperlink>
    </w:p>
    <w:p w14:paraId="74550218" w14:textId="77777777" w:rsidR="005C5208" w:rsidRDefault="008E342E">
      <w:pPr>
        <w:ind w:left="720" w:hanging="720"/>
      </w:pPr>
      <w:r>
        <w:t xml:space="preserve">Office of the Australian Information Commissioner 2026a, Data breach notifications increase to all-time high in 2025, new NDB stats show, OAIC, Sydney, viewed 16 August 2026, </w:t>
      </w:r>
      <w:hyperlink r:id="rId29" w:history="1">
        <w:r>
          <w:rPr>
            <w:rStyle w:val="Hyperlink"/>
          </w:rPr>
          <w:t>https://www.oaic.gov.au/news/media-centre/data-breach-notifications-increase-to-all-time-high-in-2025,-new-ndb-stats-show</w:t>
        </w:r>
      </w:hyperlink>
    </w:p>
    <w:p w14:paraId="74550219" w14:textId="77777777" w:rsidR="005C5208" w:rsidRDefault="008E342E">
      <w:pPr>
        <w:ind w:left="720" w:hanging="720"/>
      </w:pPr>
      <w:r>
        <w:t xml:space="preserve">Office of the Australian Information Commissioner 2026b, Handling privacy complaints - a new approach for a new era, OAIC, Sydney, viewed 16 August 2026, </w:t>
      </w:r>
      <w:hyperlink r:id="rId30" w:history="1">
        <w:r>
          <w:rPr>
            <w:rStyle w:val="Hyperlink"/>
          </w:rPr>
          <w:t>https://www.oaic.gov.au/news/blog/handling-privacy-complaints-a-new-approach-for-a-new-era</w:t>
        </w:r>
      </w:hyperlink>
    </w:p>
    <w:p w14:paraId="7455021A" w14:textId="77777777" w:rsidR="005C5208" w:rsidRDefault="008E342E">
      <w:pPr>
        <w:ind w:left="720" w:hanging="720"/>
      </w:pPr>
      <w:r>
        <w:t xml:space="preserve">Resolve Litigation Lawyers 2022, Cybersecurity risk management obligations for Australian Financial Services Licensees: Australian Securities and Investments Commission v RI Advice Group Pty Ltd [2022] FCA 496, Resolve Litigation Lawyers, viewed 16 August 2026, </w:t>
      </w:r>
      <w:hyperlink r:id="rId31" w:history="1">
        <w:r>
          <w:rPr>
            <w:rStyle w:val="Hyperlink"/>
          </w:rPr>
          <w:t>https://www.rllawyers.com.au/cybersecurity-risk-management-obligations-for-australian-financial-services-licensees-australian-securities-and-investments-commission-v-ri-advice-group-pty-ltd-2022-fca-496/</w:t>
        </w:r>
      </w:hyperlink>
    </w:p>
    <w:p w14:paraId="7455021B" w14:textId="77777777" w:rsidR="005C5208" w:rsidRDefault="008E342E">
      <w:pPr>
        <w:ind w:left="720" w:hanging="720"/>
      </w:pPr>
      <w:r>
        <w:t xml:space="preserve">Rigby Cooke Lawyers 2025, Tort for serious invasions of privacy is now in effect, Rigby Cooke Lawyers, viewed 16 August 2026, </w:t>
      </w:r>
      <w:hyperlink r:id="rId32" w:history="1">
        <w:r>
          <w:rPr>
            <w:rStyle w:val="Hyperlink"/>
          </w:rPr>
          <w:t>https://www.rigbycooke.com.au/tort-for-serious-invasion-of-privacy-is-now-in-effect/</w:t>
        </w:r>
      </w:hyperlink>
    </w:p>
    <w:sectPr w:rsidR="005C520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0AE4" w14:textId="77777777" w:rsidR="008E342E" w:rsidRDefault="008E342E" w:rsidP="00E7612A">
      <w:pPr>
        <w:spacing w:after="0" w:line="240" w:lineRule="auto"/>
      </w:pPr>
      <w:r>
        <w:separator/>
      </w:r>
    </w:p>
  </w:endnote>
  <w:endnote w:type="continuationSeparator" w:id="0">
    <w:p w14:paraId="593AF9C9" w14:textId="77777777" w:rsidR="008E342E" w:rsidRDefault="008E342E" w:rsidP="00E76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2A12" w14:textId="77777777" w:rsidR="008E342E" w:rsidRDefault="008E342E" w:rsidP="00E7612A">
      <w:pPr>
        <w:spacing w:after="0" w:line="240" w:lineRule="auto"/>
      </w:pPr>
      <w:r>
        <w:separator/>
      </w:r>
    </w:p>
  </w:footnote>
  <w:footnote w:type="continuationSeparator" w:id="0">
    <w:p w14:paraId="7B2AF2C6" w14:textId="77777777" w:rsidR="008E342E" w:rsidRDefault="008E342E" w:rsidP="00E761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A3A35"/>
    <w:multiLevelType w:val="hybridMultilevel"/>
    <w:tmpl w:val="98268A16"/>
    <w:lvl w:ilvl="0" w:tplc="DCA4FF94">
      <w:start w:val="1"/>
      <w:numFmt w:val="bullet"/>
      <w:lvlText w:val="●"/>
      <w:lvlJc w:val="left"/>
      <w:pPr>
        <w:ind w:left="720" w:hanging="360"/>
      </w:pPr>
    </w:lvl>
    <w:lvl w:ilvl="1" w:tplc="9C2CE882">
      <w:start w:val="1"/>
      <w:numFmt w:val="bullet"/>
      <w:lvlText w:val="○"/>
      <w:lvlJc w:val="left"/>
      <w:pPr>
        <w:ind w:left="1440" w:hanging="360"/>
      </w:pPr>
    </w:lvl>
    <w:lvl w:ilvl="2" w:tplc="5038CC3A">
      <w:start w:val="1"/>
      <w:numFmt w:val="bullet"/>
      <w:lvlText w:val="■"/>
      <w:lvlJc w:val="left"/>
      <w:pPr>
        <w:ind w:left="2160" w:hanging="360"/>
      </w:pPr>
    </w:lvl>
    <w:lvl w:ilvl="3" w:tplc="4CB42BC4">
      <w:start w:val="1"/>
      <w:numFmt w:val="bullet"/>
      <w:lvlText w:val="●"/>
      <w:lvlJc w:val="left"/>
      <w:pPr>
        <w:ind w:left="2880" w:hanging="360"/>
      </w:pPr>
    </w:lvl>
    <w:lvl w:ilvl="4" w:tplc="5AFCD606">
      <w:start w:val="1"/>
      <w:numFmt w:val="bullet"/>
      <w:lvlText w:val="○"/>
      <w:lvlJc w:val="left"/>
      <w:pPr>
        <w:ind w:left="3600" w:hanging="360"/>
      </w:pPr>
    </w:lvl>
    <w:lvl w:ilvl="5" w:tplc="311A2A9C">
      <w:start w:val="1"/>
      <w:numFmt w:val="bullet"/>
      <w:lvlText w:val="■"/>
      <w:lvlJc w:val="left"/>
      <w:pPr>
        <w:ind w:left="4320" w:hanging="360"/>
      </w:pPr>
    </w:lvl>
    <w:lvl w:ilvl="6" w:tplc="1390ECC8">
      <w:start w:val="1"/>
      <w:numFmt w:val="bullet"/>
      <w:lvlText w:val="●"/>
      <w:lvlJc w:val="left"/>
      <w:pPr>
        <w:ind w:left="5040" w:hanging="360"/>
      </w:pPr>
    </w:lvl>
    <w:lvl w:ilvl="7" w:tplc="4D88CE10">
      <w:start w:val="1"/>
      <w:numFmt w:val="bullet"/>
      <w:lvlText w:val="●"/>
      <w:lvlJc w:val="left"/>
      <w:pPr>
        <w:ind w:left="5760" w:hanging="360"/>
      </w:pPr>
    </w:lvl>
    <w:lvl w:ilvl="8" w:tplc="D90AE4F0">
      <w:start w:val="1"/>
      <w:numFmt w:val="bullet"/>
      <w:lvlText w:val="●"/>
      <w:lvlJc w:val="left"/>
      <w:pPr>
        <w:ind w:left="6480" w:hanging="360"/>
      </w:pPr>
    </w:lvl>
  </w:abstractNum>
  <w:num w:numId="1" w16cid:durableId="120611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208"/>
    <w:rsid w:val="005C5208"/>
    <w:rsid w:val="008E342E"/>
    <w:rsid w:val="00973F82"/>
    <w:rsid w:val="00DC714B"/>
    <w:rsid w:val="00E76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019D"/>
  <w15:docId w15:val="{2FA6981E-1AD6-4CC8-80B4-7D7335F95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line="300" w:lineRule="auto"/>
      <w:outlineLvl w:val="0"/>
    </w:pPr>
    <w:rPr>
      <w:rFonts w:ascii="Aptos Display" w:eastAsia="Aptos Display" w:hAnsi="Aptos Display" w:cs="Aptos Display"/>
      <w:color w:val="0F4761"/>
      <w:sz w:val="40"/>
      <w:szCs w:val="40"/>
    </w:rPr>
  </w:style>
  <w:style w:type="paragraph" w:styleId="Heading2">
    <w:name w:val="heading 2"/>
    <w:uiPriority w:val="9"/>
    <w:unhideWhenUsed/>
    <w:qFormat/>
    <w:pPr>
      <w:spacing w:before="240" w:after="100" w:line="300" w:lineRule="auto"/>
      <w:outlineLvl w:val="1"/>
    </w:pPr>
    <w:rPr>
      <w:rFonts w:ascii="Aptos Display" w:eastAsia="Aptos Display" w:hAnsi="Aptos Display" w:cs="Aptos Display"/>
      <w:color w:val="0F4761"/>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line="300" w:lineRule="auto"/>
      <w:jc w:val="center"/>
    </w:pPr>
    <w:rPr>
      <w:rFonts w:ascii="Aptos Display" w:eastAsia="Aptos Display" w:hAnsi="Aptos Display" w:cs="Aptos Display"/>
      <w:color w:val="0F4761"/>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jc w:val="center"/>
    </w:pPr>
    <w:rPr>
      <w:color w:val="595959"/>
      <w:sz w:val="28"/>
      <w:szCs w:val="28"/>
    </w:rPr>
  </w:style>
  <w:style w:type="character" w:styleId="UnresolvedMention">
    <w:name w:val="Unresolved Mention"/>
    <w:basedOn w:val="DefaultParagraphFont"/>
    <w:uiPriority w:val="99"/>
    <w:semiHidden/>
    <w:unhideWhenUsed/>
    <w:rsid w:val="00E76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wobirds.com/en/insights/2024/australia/australias-first-standalone-cyber-security-law-the-cyber-security-act-2024" TargetMode="External"/><Relationship Id="rId18" Type="http://schemas.openxmlformats.org/officeDocument/2006/relationships/hyperlink" Target="https://www.gadens.com/legal-insights/new-mandatory-ransomware-payment-reporting-obligations-now-in-force/" TargetMode="External"/><Relationship Id="rId26" Type="http://schemas.openxmlformats.org/officeDocument/2006/relationships/hyperlink" Target="https://www.oaic.gov.au/news/blog/latest-notifiable-data-breach-statistics-for-january-to-june-2025" TargetMode="External"/><Relationship Id="rId3" Type="http://schemas.openxmlformats.org/officeDocument/2006/relationships/styles" Target="styles.xml"/><Relationship Id="rId21" Type="http://schemas.openxmlformats.org/officeDocument/2006/relationships/hyperlink" Target="https://www.kwm.com/au/en/insights/latest-thinking/cybersecurity-obligations-arising-out-of-asic-v-ri-advice-group.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yber.gov.au/about-us/view-all-content/reports-and-statistics/annual-cyber-threat-report-2024-2025" TargetMode="External"/><Relationship Id="rId17" Type="http://schemas.openxmlformats.org/officeDocument/2006/relationships/hyperlink" Target="https://www.homeaffairs.gov.au/cyber-security-subsite/Pages/cyber-security-act.aspx" TargetMode="External"/><Relationship Id="rId25" Type="http://schemas.openxmlformats.org/officeDocument/2006/relationships/hyperlink" Target="https://www.oaic.gov.au/news/media-centre/oaic-takes-civil-penalty-action-against-medibank"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yberdaily.au/security/12768-annual-cyber-threat-report-2024-2025-by-the-numbers" TargetMode="External"/><Relationship Id="rId20" Type="http://schemas.openxmlformats.org/officeDocument/2006/relationships/hyperlink" Target="https://www.kennedyslaw.com/en/thought-leadership/article/2025/australia-introduces-statutory-tort-of-serious-invasion-of-privacy-apac/" TargetMode="External"/><Relationship Id="rId29" Type="http://schemas.openxmlformats.org/officeDocument/2006/relationships/hyperlink" Target="https://www.oaic.gov.au/news/media-centre/data-breach-notifications-increase-to-all-time-high-in-2025,-new-ndb-stats-sh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tion.gov.au/Series/C2018A00029" TargetMode="External"/><Relationship Id="rId24" Type="http://schemas.openxmlformats.org/officeDocument/2006/relationships/hyperlink" Target="https://www.nortonrosefulbright.com/en/knowledge/publications/be98b0ff/australian-privacy-alert-parliament-passes-major-and-meaningful-privacy-law-reform" TargetMode="External"/><Relationship Id="rId32" Type="http://schemas.openxmlformats.org/officeDocument/2006/relationships/hyperlink" Target="https://www.rigbycooke.com.au/tort-for-serious-invasion-of-privacy-is-now-in-effect/" TargetMode="External"/><Relationship Id="rId5" Type="http://schemas.openxmlformats.org/officeDocument/2006/relationships/webSettings" Target="webSettings.xml"/><Relationship Id="rId15" Type="http://schemas.openxmlformats.org/officeDocument/2006/relationships/hyperlink" Target="https://www.cisc.gov.au/resources-subsite/Documents/data-storage-systems-factsheet.pdf" TargetMode="External"/><Relationship Id="rId23" Type="http://schemas.openxmlformats.org/officeDocument/2006/relationships/hyperlink" Target="https://www.minterellison.com/articles/mandatory-ransomware-payment-reporting-obligations-in-force" TargetMode="External"/><Relationship Id="rId28" Type="http://schemas.openxmlformats.org/officeDocument/2006/relationships/hyperlink" Target="https://www.oaic.gov.au/news/media-centre/australian-information-commissioner-takes-civil-penalty-action-against-optus" TargetMode="External"/><Relationship Id="rId10" Type="http://schemas.openxmlformats.org/officeDocument/2006/relationships/hyperlink" Target="https://www.legislation.gov.au/series/C2004A03712" TargetMode="External"/><Relationship Id="rId19" Type="http://schemas.openxmlformats.org/officeDocument/2006/relationships/hyperlink" Target="https://jws.com.au/what-we-think/aic-v-medibank-concise-statement-released-oaic/" TargetMode="External"/><Relationship Id="rId31" Type="http://schemas.openxmlformats.org/officeDocument/2006/relationships/hyperlink" Target="https://www.rllawyers.com.au/cybersecurity-risk-management-obligations-for-australian-financial-services-licensees-australian-securities-and-investments-commission-v-ri-advice-group-pty-ltd-2022-fca-496/" TargetMode="External"/><Relationship Id="rId4" Type="http://schemas.openxmlformats.org/officeDocument/2006/relationships/settings" Target="settings.xml"/><Relationship Id="rId9" Type="http://schemas.openxmlformats.org/officeDocument/2006/relationships/hyperlink" Target="https://www.legislation.gov.au/C2024A00098/asmade" TargetMode="External"/><Relationship Id="rId14" Type="http://schemas.openxmlformats.org/officeDocument/2006/relationships/hyperlink" Target="https://www.claytonutz.com/insights/2025/april/enhancing-response-and-prevention-powers-in-relation-to-critical-infrastructure-assets" TargetMode="External"/><Relationship Id="rId22" Type="http://schemas.openxmlformats.org/officeDocument/2006/relationships/hyperlink" Target="https://www.lk.law/2025/04/new-soci-rules-go-live-changes-for-data-storage-systems-and-telco-assets/" TargetMode="External"/><Relationship Id="rId27" Type="http://schemas.openxmlformats.org/officeDocument/2006/relationships/hyperlink" Target="https://www.oaic.gov.au/privacy/your-privacy-rights/more-privacy-rights/statutory-tort-for-serious-invasions-of-privacy" TargetMode="External"/><Relationship Id="rId30" Type="http://schemas.openxmlformats.org/officeDocument/2006/relationships/hyperlink" Target="https://www.oaic.gov.au/news/blog/handling-privacy-complaints-a-new-approach-for-a-new-era" TargetMode="External"/><Relationship Id="rId8" Type="http://schemas.openxmlformats.org/officeDocument/2006/relationships/hyperlink" Target="https://www.legislation.gov.au/series/C2004A00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C5FFF-6D12-4CFE-B3F8-C76F969BC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5807</Words>
  <Characters>33100</Characters>
  <Application>Microsoft Office Word</Application>
  <DocSecurity>0</DocSecurity>
  <Lines>275</Lines>
  <Paragraphs>77</Paragraphs>
  <ScaleCrop>false</ScaleCrop>
  <Company/>
  <LinksUpToDate>false</LinksUpToDate>
  <CharactersWithSpaces>38830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Challenges for Australian Business</dc:title>
  <dc:creator>BUS702 Group</dc:creator>
  <dc:description>BUS702 Business Law Assessment 2 report</dc:description>
  <cp:lastModifiedBy>Manish Majhi</cp:lastModifiedBy>
  <cp:revision>3</cp:revision>
  <dcterms:created xsi:type="dcterms:W3CDTF">2026-08-16T02:02:00Z</dcterms:created>
  <dcterms:modified xsi:type="dcterms:W3CDTF">2026-08-16T02:55:00Z</dcterms:modified>
</cp:coreProperties>
</file>