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A98B4E"/>
          <w:sz w:val="22"/>
          <w:szCs w:val="22"/>
        </w:rPr>
        <w:t xml:space="preserve">M&amp;A LEADERSHIP INSTITUTE</w:t>
      </w:r>
    </w:p>
    <w:p>
      <w:pPr>
        <w:spacing w:after="60" w:before="200"/>
        <w:jc w:val="center"/>
      </w:pPr>
      <w:r>
        <w:rPr>
          <w:b/>
          <w:bCs/>
          <w:color w:val="1B2A4A"/>
          <w:sz w:val="56"/>
          <w:szCs w:val="56"/>
        </w:rPr>
        <w:t xml:space="preserve">M&amp;A as Capability</w:t>
      </w:r>
    </w:p>
    <w:p>
      <w:pPr>
        <w:spacing w:after="40"/>
        <w:jc w:val="center"/>
      </w:pPr>
      <w:r>
        <w:rPr>
          <w:color w:val="5A6473"/>
          <w:sz w:val="28"/>
          <w:szCs w:val="28"/>
        </w:rPr>
        <w:t xml:space="preserve">A Leadership Journey from Invention to Integration</w:t>
      </w:r>
    </w:p>
    <w:p>
      <w:pPr>
        <w:spacing w:after="220"/>
        <w:jc w:val="center"/>
      </w:pPr>
      <w:r>
        <w:rPr>
          <w:color w:val="5A6473"/>
          <w:sz w:val="22"/>
          <w:szCs w:val="22"/>
        </w:rPr>
        <w:t xml:space="preserve">Programme Blueprint &amp; Signature Design</w:t>
      </w:r>
    </w:p>
    <w:p>
      <w:pPr>
        <w:pBdr>
          <w:top w:val="single" w:color="A98B4E" w:sz="12" w:space="8"/>
          <w:bottom w:val="single" w:color="A98B4E" w:sz="12" w:space="8"/>
        </w:pBdr>
        <w:spacing w:after="200" w:before="200"/>
        <w:ind w:left="1400" w:right="1400"/>
        <w:jc w:val="center"/>
      </w:pPr>
      <w:r>
        <w:rPr>
          <w:i/>
          <w:iCs/>
          <w:color w:val="1B2A4A"/>
          <w:sz w:val="24"/>
          <w:szCs w:val="24"/>
        </w:rPr>
        <w:t xml:space="preserve">Acquire with conviction. Integrate with discipline. Scale into an institution.</w:t>
      </w:r>
    </w:p>
    <w:p>
      <w:pPr>
        <w:spacing w:after="0" w:before="1600"/>
        <w:jc w:val="center"/>
      </w:pPr>
      <w:r>
        <w:rPr>
          <w:color w:val="5A6473"/>
          <w:sz w:val="20"/>
          <w:szCs w:val="20"/>
        </w:rPr>
        <w:t xml:space="preserve">Confidential working document for partner discussion</w:t>
      </w:r>
    </w:p>
    <w:p>
      <w:pPr>
        <w:spacing w:after="0"/>
        <w:jc w:val="center"/>
      </w:pPr>
      <w:r>
        <w:rPr>
          <w:color w:val="5A6473"/>
          <w:sz w:val="20"/>
          <w:szCs w:val="20"/>
        </w:rPr>
        <w:t xml:space="preserve">Pre-read for the next session with Prof.</w:t>
      </w:r>
    </w:p>
    <w:p>
      <w:pPr>
        <w:pStyle w:val="Heading1"/>
        <w:pageBreakBefore/>
        <w:pBdr>
          <w:bottom w:val="single" w:color="A98B4E" w:sz="14" w:space="4"/>
        </w:pBdr>
        <w:spacing w:after="200" w:before="320"/>
      </w:pPr>
      <w:r>
        <w:t xml:space="preserve">1.  The Spine of the Programme</w:t>
      </w:r>
    </w:p>
    <w:p>
      <w:pPr>
        <w:spacing w:after="140" w:before="0" w:line="276"/>
      </w:pPr>
      <w:r>
        <w:t xml:space="preserve">The programme is not framed as M&amp;A training. It is framed as a leadership journey that begins with invention and ends with institutional renewal. M&amp;A is one move inside that journey — the one a firm makes when the capability it needs already lives inside another company. The whole architecture follows a single progression:</w:t>
      </w:r>
    </w:p>
    <w:p>
      <w:pPr>
        <w:pBdr>
          <w:left w:val="single" w:color="A98B4E" w:sz="18" w:space="14"/>
        </w:pBdr>
        <w:spacing w:after="140" w:before="60" w:line="288"/>
        <w:ind w:left="360"/>
      </w:pPr>
      <w:r>
        <w:rPr>
          <w:b/>
          <w:bCs/>
          <w:color w:val="1B2A4A"/>
          <w:sz w:val="22"/>
          <w:szCs w:val="22"/>
        </w:rPr>
        <w:t xml:space="preserve">Invention  →  Innovation  →  Capability  →  Capital Allocation  →  Build / Buy / Partner / Acquire  →  Integration  →  Institutional Renewal</w:t>
      </w:r>
    </w:p>
    <w:p>
      <w:pPr>
        <w:spacing w:after="140" w:before="0" w:line="276"/>
      </w:pPr>
      <w:r>
        <w:rPr>
          <w:b/>
          <w:bCs/>
        </w:rPr>
        <w:t xml:space="preserve">The message to every leader:  </w:t>
      </w:r>
      <w:r>
        <w:rPr>
          <w:i/>
          <w:iCs/>
        </w:rPr>
        <w:t xml:space="preserve">“M&amp;A is not the starting point. Strategic ambition is the starting point. M&amp;A becomes relevant only when the firm lacks the capability, technology, talent, IP, access or speed required to achieve that ambition.”</w:t>
      </w:r>
    </w:p>
    <w:p>
      <w:pPr>
        <w:pStyle w:val="Heading2"/>
        <w:spacing w:after="120" w:before="240"/>
      </w:pPr>
      <w:r>
        <w:t xml:space="preserve">The three layers and the shift each one makes</w:t>
      </w:r>
    </w:p>
    <w:p>
      <w:pPr>
        <w:spacing w:after="140" w:before="0" w:line="276"/>
      </w:pPr>
      <w:r>
        <w:t xml:space="preserve">The same firm sends people to all three layers, three times a year, for several years. A promoter, a senior leader and a functional manager from one company travel the same journey at their own altitude — which is what makes this a whole-firm capability build, not a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2810"/>
        <w:gridCol w:w="1550"/>
      </w:tblGrid>
      <w:tr>
        <w:trPr>
          <w:tblHeader/>
        </w:trPr>
        <w:tc>
          <w:tcPr>
            <w:tcW w:type="dxa" w:w="20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Layer</w:t>
            </w:r>
          </w:p>
        </w:tc>
        <w:tc>
          <w:tcPr>
            <w:tcW w:type="dxa" w:w="29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Audience</w:t>
            </w:r>
          </w:p>
        </w:tc>
        <w:tc>
          <w:tcPr>
            <w:tcW w:type="dxa" w:w="281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Development shift</w:t>
            </w:r>
          </w:p>
        </w:tc>
        <w:tc>
          <w:tcPr>
            <w:tcW w:type="dxa" w:w="15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Cadence</w:t>
            </w:r>
          </w:p>
        </w:tc>
      </w:tr>
      <w:tr>
        <w:tc>
          <w:tcPr>
            <w:tcW w:type="dxa" w:w="20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The Council  (L1)</w:t>
            </w:r>
          </w:p>
        </w:tc>
        <w:tc>
          <w:tcPr>
            <w:tcW w:type="dxa" w:w="29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CEOs, promoters, board, group heads</w:t>
            </w:r>
          </w:p>
        </w:tc>
        <w:tc>
          <w:tcPr>
            <w:tcW w:type="dxa" w:w="2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Decision-maker → invention-agenda owner and institutional-renewal sponsor</w:t>
            </w:r>
          </w:p>
        </w:tc>
        <w:tc>
          <w:tcPr>
            <w:tcW w:type="dxa" w:w="15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40" w:line="264"/>
            </w:pPr>
            <w:r>
              <w:rPr>
                <w:b w:val="false"/>
                <w:bCs w:val="false"/>
                <w:sz w:val="20"/>
                <w:szCs w:val="20"/>
              </w:rPr>
              <w:t xml:space="preserve">2.5 days × 3 / year</w:t>
            </w:r>
          </w:p>
          <w:p>
            <w:pPr>
              <w:spacing w:after="0" w:line="264"/>
            </w:pPr>
            <w:r>
              <w:rPr>
                <w:b w:val="false"/>
                <w:bCs w:val="false"/>
                <w:sz w:val="20"/>
                <w:szCs w:val="20"/>
              </w:rPr>
              <w:t xml:space="preserve">(7.5 days / year)</w:t>
            </w:r>
          </w:p>
        </w:tc>
      </w:tr>
      <w:tr>
        <w:tc>
          <w:tcPr>
            <w:tcW w:type="dxa" w:w="20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The Watch  (L2)</w:t>
            </w:r>
          </w:p>
        </w:tc>
        <w:tc>
          <w:tcPr>
            <w:tcW w:type="dxa" w:w="29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 heads, VPs, senior &amp; integration leaders (20–30 yrs)</w:t>
            </w:r>
          </w:p>
        </w:tc>
        <w:tc>
          <w:tcPr>
            <w:tcW w:type="dxa" w:w="2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Senior leader → growth architect and capability builder</w:t>
            </w:r>
          </w:p>
        </w:tc>
        <w:tc>
          <w:tcPr>
            <w:tcW w:type="dxa" w:w="15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40" w:line="264"/>
            </w:pPr>
            <w:r>
              <w:rPr>
                <w:b w:val="false"/>
                <w:bCs w:val="false"/>
                <w:sz w:val="20"/>
                <w:szCs w:val="20"/>
              </w:rPr>
              <w:t xml:space="preserve">4.5 days × 3 / year</w:t>
            </w:r>
          </w:p>
          <w:p>
            <w:pPr>
              <w:spacing w:after="0" w:line="264"/>
            </w:pPr>
            <w:r>
              <w:rPr>
                <w:b w:val="false"/>
                <w:bCs w:val="false"/>
                <w:sz w:val="20"/>
                <w:szCs w:val="20"/>
              </w:rPr>
              <w:t xml:space="preserve">(13.5 days / year)</w:t>
            </w:r>
          </w:p>
        </w:tc>
      </w:tr>
      <w:tr>
        <w:tc>
          <w:tcPr>
            <w:tcW w:type="dxa" w:w="20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The Pride  (L3)</w:t>
            </w:r>
          </w:p>
        </w:tc>
        <w:tc>
          <w:tcPr>
            <w:tcW w:type="dxa" w:w="29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 &amp; high-potential leaders (8–15 yrs)</w:t>
            </w:r>
          </w:p>
        </w:tc>
        <w:tc>
          <w:tcPr>
            <w:tcW w:type="dxa" w:w="2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 manager → enterprise-aware innovation contributor</w:t>
            </w:r>
          </w:p>
        </w:tc>
        <w:tc>
          <w:tcPr>
            <w:tcW w:type="dxa" w:w="15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40" w:line="264"/>
            </w:pPr>
            <w:r>
              <w:rPr>
                <w:b w:val="false"/>
                <w:bCs w:val="false"/>
                <w:sz w:val="20"/>
                <w:szCs w:val="20"/>
              </w:rPr>
              <w:t xml:space="preserve">4.5 days × 3 / year</w:t>
            </w:r>
          </w:p>
          <w:p>
            <w:pPr>
              <w:spacing w:after="0" w:line="264"/>
            </w:pPr>
            <w:r>
              <w:rPr>
                <w:b w:val="false"/>
                <w:bCs w:val="false"/>
                <w:sz w:val="20"/>
                <w:szCs w:val="20"/>
              </w:rPr>
              <w:t xml:space="preserve">(13.5 days / year)</w:t>
            </w:r>
          </w:p>
        </w:tc>
      </w:tr>
    </w:tbl>
    <w:p>
      <w:pPr>
        <w:spacing w:after="160" w:before="0" w:line="276"/>
      </w:pPr>
      <w:r>
        <w:rPr>
          <w:i/>
          <w:iCs/>
          <w:color w:val="5A6473"/>
          <w:sz w:val="20"/>
          <w:szCs w:val="20"/>
        </w:rPr>
        <w:t xml:space="preserve">Naming follows the Asiatic Lion “Pride” system, with plain-English descriptors throughout so the evocative names never obscure what each programme actually does.</w:t>
      </w:r>
    </w:p>
    <w:p>
      <w:pPr>
        <w:pStyle w:val="Heading1"/>
        <w:pageBreakBefore/>
        <w:pBdr>
          <w:bottom w:val="single" w:color="A98B4E" w:sz="14" w:space="4"/>
        </w:pBdr>
        <w:spacing w:after="200" w:before="320"/>
      </w:pPr>
      <w:r>
        <w:t xml:space="preserve">2.  The Opener  —  “The Engine We Couldn’t Build, and the Rail We Did”</w:t>
      </w:r>
    </w:p>
    <w:p>
      <w:pPr>
        <w:spacing w:after="160" w:before="0" w:line="276"/>
      </w:pPr>
      <w:r>
        <w:rPr>
          <w:i/>
          <w:iCs/>
          <w:color w:val="5A6473"/>
          <w:sz w:val="20"/>
          <w:szCs w:val="20"/>
        </w:rPr>
        <w:t xml:space="preserve">The intellectual and emotional provocation that opens The Council and The Watch. Told version runs 6–7 minutes. Wright-brothers history sets perspective; aircraft engines, pharma and semiconductors widen the lens; the two Indian engines are the emotional core; UPI is the hopeful close.</w:t>
      </w:r>
    </w:p>
    <w:p>
      <w:pPr>
        <w:pBdr>
          <w:left w:val="single" w:color="A98B4E" w:sz="18" w:space="14"/>
        </w:pBdr>
        <w:spacing w:after="140" w:before="60" w:line="288"/>
        <w:ind w:left="360"/>
      </w:pPr>
      <w:r>
        <w:rPr>
          <w:sz w:val="22"/>
          <w:szCs w:val="22"/>
        </w:rPr>
        <w:t xml:space="preserve">Begin a century back. In 1903, two brothers who ran a bicycle shop in Dayton decided to fly. They had the wings. They had the controls. What they didn’t have was an engine light enough to leave the ground — and when they wrote to manufacturer after manufacturer, every one said no. So they turned to the mechanic in their shop, Charlie Taylor, and he built the engine by hand. On 17 December, the machine flew — 120 feet, twelve seconds. Twelve seconds that opened a 120-year journey.</w:t>
      </w:r>
    </w:p>
    <w:p>
      <w:pPr>
        <w:pBdr>
          <w:left w:val="single" w:color="A98B4E" w:sz="18" w:space="14"/>
        </w:pBdr>
        <w:spacing w:after="140" w:before="60" w:line="288"/>
        <w:ind w:left="360"/>
      </w:pPr>
      <w:r>
        <w:rPr>
          <w:sz w:val="22"/>
          <w:szCs w:val="22"/>
        </w:rPr>
        <w:t xml:space="preserve">I start there for one reason. The brothers didn’t buy flight. They built the capability for it, piece by piece — including the one piece nobody would sell them: the engine.</w:t>
      </w:r>
    </w:p>
    <w:p>
      <w:pPr>
        <w:pBdr>
          <w:left w:val="single" w:color="A98B4E" w:sz="18" w:space="14"/>
        </w:pBdr>
        <w:spacing w:after="140" w:before="60" w:line="288"/>
        <w:ind w:left="360"/>
      </w:pPr>
      <w:r>
        <w:rPr>
          <w:sz w:val="22"/>
          <w:szCs w:val="22"/>
        </w:rPr>
        <w:t xml:space="preserve">Now run the clock forward. That same component became the single hardest thing in all of industry to make. Today the world has two serious commercial planemakers — and effectively four companies that build the engines. The airframe opened up; the engine stayed closed. A bicycle mechanic built the first one in six weeks; no startup on earth can build a modern one. That gap is the entire story of deep capability.</w:t>
      </w:r>
    </w:p>
    <w:p>
      <w:pPr>
        <w:pBdr>
          <w:left w:val="single" w:color="A98B4E" w:sz="18" w:space="14"/>
        </w:pBdr>
        <w:spacing w:after="140" w:before="60" w:line="288"/>
        <w:ind w:left="360"/>
      </w:pPr>
      <w:r>
        <w:rPr>
          <w:sz w:val="22"/>
          <w:szCs w:val="22"/>
        </w:rPr>
        <w:t xml:space="preserve">And India has lived both sides of that gap. In the last forty years, we built two engines. One flew. One still hasn’t.</w:t>
      </w:r>
    </w:p>
    <w:p>
      <w:pPr>
        <w:pBdr>
          <w:left w:val="single" w:color="A98B4E" w:sz="18" w:space="14"/>
        </w:pBdr>
        <w:spacing w:after="140" w:before="60" w:line="288"/>
        <w:ind w:left="360"/>
      </w:pPr>
      <w:r>
        <w:rPr>
          <w:sz w:val="22"/>
          <w:szCs w:val="22"/>
        </w:rPr>
        <w:t xml:space="preserve">The one that flew: in 1992, when we tried to buy cryogenic rocket-engine technology, the United States leaned on Russia and the deal was killed. We were denied. Here is the detail that matters most — Russia still handed us a few finished engines, and we still couldn’t build our own. We had the object in our hands, the patents in our libraries, the physics in our textbooks — and it wasn’t enough. It took us twenty-two years of failing forward to fly an indigenous cryogenic engine, in 2014. Today we launch our own heavy satellites and we reached Mars on our first attempt, at a fraction of anyone else’s cost.</w:t>
      </w:r>
    </w:p>
    <w:p>
      <w:pPr>
        <w:pBdr>
          <w:left w:val="single" w:color="A98B4E" w:sz="18" w:space="14"/>
        </w:pBdr>
        <w:spacing w:after="140" w:before="60" w:line="288"/>
        <w:ind w:left="360"/>
      </w:pPr>
      <w:r>
        <w:rPr>
          <w:sz w:val="22"/>
          <w:szCs w:val="22"/>
        </w:rPr>
        <w:t xml:space="preserve">The one that hasn’t: the Kaveri jet engine. We started it in 1986 — six years before the cryogenic denial. Forty years and thousands of crores later, it still can’t reliably push a fighter into the sky, and the Tejas flies on an American engine.</w:t>
      </w:r>
    </w:p>
    <w:p>
      <w:pPr>
        <w:pBdr>
          <w:left w:val="single" w:color="A98B4E" w:sz="18" w:space="14"/>
        </w:pBdr>
        <w:spacing w:after="140" w:before="60" w:line="288"/>
        <w:ind w:left="360"/>
      </w:pPr>
      <w:r>
        <w:rPr>
          <w:sz w:val="22"/>
          <w:szCs w:val="22"/>
        </w:rPr>
        <w:t xml:space="preserve">Same country. Same talent. Why did one fly and not the other? Two reasons — both leadership, not technology. First, the fallback. After the denial, ISRO had no Plan B; build it or fail. The Kaveri team always had an open door — if the engine slipped, buy the GE. And that open door quietly killed the urgency. When buying is always available, the will to build never fully ignites. Second, how leaders held failure. In 1979, a young director named Abdul Kalam watched his first rocket crash into the sea — and his chairman, Satish Dhawan, stood at the press conference and took the blame himself. The next year they succeeded, and Dhawan put Kalam in front to take the credit. A team protected when it fails will keep trying until it flies. That is the culture that builds an engine over twenty-two years.</w:t>
      </w:r>
    </w:p>
    <w:p>
      <w:pPr>
        <w:pBdr>
          <w:left w:val="single" w:color="A98B4E" w:sz="18" w:space="14"/>
        </w:pBdr>
        <w:spacing w:after="140" w:before="60" w:line="288"/>
        <w:ind w:left="360"/>
      </w:pPr>
      <w:r>
        <w:rPr>
          <w:sz w:val="22"/>
          <w:szCs w:val="22"/>
        </w:rPr>
        <w:t xml:space="preserve">And the deepest point, the one for this room: the artifact is not the capability. The patent is not the capability. Capability has to be incubated, nurtured, failed-at, and scaled — and it cannot be imported.</w:t>
      </w:r>
    </w:p>
    <w:p>
      <w:pPr>
        <w:pBdr>
          <w:left w:val="single" w:color="A98B4E" w:sz="18" w:space="14"/>
        </w:pBdr>
        <w:spacing w:after="140" w:before="60" w:line="288"/>
        <w:ind w:left="360"/>
      </w:pPr>
      <w:r>
        <w:rPr>
          <w:sz w:val="22"/>
          <w:szCs w:val="22"/>
        </w:rPr>
        <w:t xml:space="preserve">Once you see it, you see it everywhere. We are the pharmacy of the world — and we import most of the molecules that go into the medicine. We assemble the planet’s electronics — and import nearly every chip inside them. We operate more aircraft every year — and build none of the engines. It is the same sentence each time: we run the machine; someone else owns the engine.</w:t>
      </w:r>
    </w:p>
    <w:p>
      <w:pPr>
        <w:pBdr>
          <w:left w:val="single" w:color="A98B4E" w:sz="18" w:space="14"/>
        </w:pBdr>
        <w:spacing w:after="140" w:before="60" w:line="288"/>
        <w:ind w:left="360"/>
      </w:pPr>
      <w:r>
        <w:rPr>
          <w:sz w:val="22"/>
          <w:szCs w:val="22"/>
        </w:rPr>
        <w:t xml:space="preserve">So here is what this programme asks every leader to answer honestly: What is your engine? The one deep capability you have never built because buying it was always easier — and is your easy supplier quietly making sure you never own it?</w:t>
      </w:r>
    </w:p>
    <w:p>
      <w:pPr>
        <w:pBdr>
          <w:left w:val="single" w:color="A98B4E" w:sz="18" w:space="14"/>
        </w:pBdr>
        <w:spacing w:after="140" w:before="60" w:line="288"/>
        <w:ind w:left="360"/>
      </w:pPr>
      <w:r>
        <w:rPr>
          <w:sz w:val="22"/>
          <w:szCs w:val="22"/>
        </w:rPr>
        <w:t xml:space="preserve">Let me end where India got it right. When we built UPI, we didn’t copy Visa or Mastercard — we built a public rail and gave it to everyone. In May 2026 alone it carried 23.2 billion transactions worth nearly ₹30 trillion in a single month. Close to half of all the world’s real-time digital payments now happen in India, and the rail is already live in seven countries, including France. We went from “we couldn’t build the engine” to “the world now runs on the rail we built.” Same country. The difference, every single time, was a decision to build — and leaders patient enough to see it through.</w:t>
      </w:r>
    </w:p>
    <w:p>
      <w:pPr>
        <w:pBdr>
          <w:left w:val="single" w:color="A98B4E" w:sz="18" w:space="14"/>
        </w:pBdr>
        <w:spacing w:after="140" w:before="60" w:line="288"/>
        <w:ind w:left="360"/>
      </w:pPr>
      <w:r>
        <w:rPr>
          <w:sz w:val="22"/>
          <w:szCs w:val="22"/>
        </w:rPr>
        <w:t xml:space="preserve">That is why strategy never begins with a deal. It begins with the engine question. M&amp;A is one answer — the fastest one — when the capability already lives inside someone else’s company. But remember ISRO holding those Russian engines: buying the company is not the same as absorbing the capability. Do the deal and fail to absorb, and you are the airline again — owning the machine, unable to build it. Absorbing it is a three-to-five-year act of leadership. That is integration. That is what we are here to build.</w:t>
      </w:r>
    </w:p>
    <w:p>
      <w:pPr>
        <w:pStyle w:val="Heading2"/>
        <w:spacing w:after="120" w:before="240"/>
      </w:pPr>
      <w:r>
        <w:t xml:space="preserve">The leadership contrast — run this as the discussion frame</w:t>
      </w:r>
    </w:p>
    <w:p>
      <w:pPr>
        <w:spacing w:after="140" w:before="0" w:line="276"/>
      </w:pPr>
      <w:r>
        <w:t xml:space="preserve">Put the two engines side by side and let the room draw the lessons out. Every row is a choice a leader makes, not a technology they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Dimension</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ISRO / cryogenic  (it flew)</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Kaveri / GTRE  (it hasn’t)</w:t>
            </w:r>
          </w:p>
        </w:tc>
        <w:tc>
          <w:tcPr>
            <w:tcW w:type="dxa" w:w="262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Lesson for leaders</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Fallback option</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None after denial — build or fail</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GE engine always available to import</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An easy “buy” hollows out the will to build</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Accountability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Single mission owner; chairman absorbs failure</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Diffuse across GTRE, DRDO, IAF and MoD</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One throat to choke; protect the team</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Failure culture</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Fly, fail, learn, re-fly</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Failure treated as embarrassment; scope kept shifting</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Psychological safety is an engineering input</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Mission clarity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Binary and measurable: reach orbit</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Target moved as the aircraft evolved</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A fixed north star beats a moving one</w:t>
            </w:r>
          </w:p>
        </w:tc>
      </w:tr>
      <w:tr>
        <w:tc>
          <w:tcPr>
            <w:tcW w:type="dxa" w:w="15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Continuity</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Sarabhai → Dhawan → Kalam lineage</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Frequent churn, no sustained owner</w:t>
            </w:r>
          </w:p>
        </w:tc>
        <w:tc>
          <w:tcPr>
            <w:tcW w:type="dxa" w:w="262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Deep capability needs patient leaders</w:t>
            </w:r>
          </w:p>
        </w:tc>
      </w:tr>
      <w:tr>
        <w:tc>
          <w:tcPr>
            <w:tcW w:type="dxa" w:w="15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Talent ownership</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Real authority handed to young leaders</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Less ownership, more procurement bureaucracy</w:t>
            </w:r>
          </w:p>
        </w:tc>
        <w:tc>
          <w:tcPr>
            <w:tcW w:type="dxa" w:w="262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Give builders the stakes and the credit</w:t>
            </w:r>
          </w:p>
        </w:tc>
      </w:tr>
    </w:tbl>
    <w:p>
      <w:pPr>
        <w:spacing w:after="140" w:before="100" w:line="276"/>
      </w:pPr>
      <w:r>
        <w:rPr>
          <w:b/>
          <w:bCs/>
        </w:rPr>
        <w:t xml:space="preserve">Facilitator note: </w:t>
      </w:r>
      <w:r>
        <w:t xml:space="preserve">close on hope, not deflation. The capability is finally being built — Indian private firms are now manufacturing engine modules for the first time. The moral is not “we failed.” It is “deep capability takes decades and conviction — and the firms that start now own the next forty years.”</w:t>
      </w:r>
    </w:p>
    <w:p>
      <w:pPr>
        <w:pStyle w:val="Heading1"/>
        <w:pageBreakBefore/>
        <w:pBdr>
          <w:bottom w:val="single" w:color="A98B4E" w:sz="14" w:space="4"/>
        </w:pBdr>
        <w:spacing w:after="200" w:before="320"/>
      </w:pPr>
      <w:r>
        <w:t xml:space="preserve">3.  The Core Exercise  —  “Where Does Power Sit?”</w:t>
      </w:r>
    </w:p>
    <w:p>
      <w:pPr>
        <w:spacing w:after="140" w:before="0" w:line="276"/>
      </w:pPr>
      <w:r>
        <w:t xml:space="preserve">Immediately after the opener, the rhetorical question “what is your engine?” becomes a worked map. Each leader fills it for their own industry, which forces them past surface operations into the capability stack. It is the hinge between the story and the rest of the programme — and the bridge into the Patent-to-Enterprise Exchange and build-vs-buy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Capability layer</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Who owns it today?</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Where are we today?</w:t>
            </w:r>
          </w:p>
        </w:tc>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Where must we be in 10 years?</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Customer access</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Brand &amp; trust</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Distribution</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Manufacturing</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Process know-how</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Data</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Software / platform</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Design / IP</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Materials / core science</w:t>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Standards / ecosystem control</w:t>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
            </w:r>
          </w:p>
        </w:tc>
      </w:tr>
    </w:tbl>
    <w:p>
      <w:pPr>
        <w:pBdr>
          <w:left w:val="single" w:color="A98B4E" w:sz="18" w:space="14"/>
        </w:pBdr>
        <w:spacing w:after="140" w:before="60" w:line="288"/>
        <w:ind w:left="360"/>
      </w:pPr>
      <w:r>
        <w:rPr>
          <w:b/>
          <w:bCs/>
          <w:color w:val="1B2A4A"/>
        </w:rPr>
        <w:t xml:space="preserve">The hinge question:  </w:t>
      </w:r>
      <w:r>
        <w:rPr>
          <w:i/>
          <w:iCs/>
        </w:rPr>
        <w:t xml:space="preserve">Which layer must we climb into over the next decade — and is that a build, a buy, a partner, a license, or an acquire?</w:t>
      </w:r>
    </w:p>
    <w:p>
      <w:pPr>
        <w:pStyle w:val="Heading1"/>
        <w:pageBreakBefore/>
        <w:pBdr>
          <w:bottom w:val="single" w:color="A98B4E" w:sz="14" w:space="4"/>
        </w:pBdr>
        <w:spacing w:after="200" w:before="320"/>
      </w:pPr>
      <w:r>
        <w:t xml:space="preserve">4.  The Three Programmes</w:t>
      </w:r>
    </w:p>
    <w:p>
      <w:pPr>
        <w:spacing w:after="140" w:before="0" w:line="276"/>
      </w:pPr>
      <w:r>
        <w:rPr>
          <w:b/>
          <w:bCs/>
        </w:rPr>
        <w:t xml:space="preserve">Naming system:  </w:t>
      </w:r>
      <w:r>
        <w:t xml:space="preserve">The Pride (Asiatic Lion). The Council decides (the composed few); The Watch surveys and chooses the moment (the lion at rest, watching); The Pride is the many who build and sustain. Apex to base. Each module carries a plain-English descriptor so the brand names never obscure the content.</w:t>
      </w:r>
    </w:p>
    <w:p>
      <w:pPr>
        <w:pStyle w:val="Heading2"/>
        <w:spacing w:after="120" w:before="240"/>
      </w:pPr>
      <w:r>
        <w:t xml:space="preserve">The Council  (L1)  —  Board, CEOs, Promoters  ·  2.5 days × 3 / year</w:t>
      </w:r>
    </w:p>
    <w:p>
      <w:pPr>
        <w:spacing w:after="120" w:before="0" w:line="276"/>
      </w:pPr>
      <w:r>
        <w:rPr>
          <w:b/>
          <w:bCs/>
        </w:rPr>
        <w:t xml:space="preserve">Shift: </w:t>
      </w:r>
      <w:r>
        <w:rPr>
          <w:i/>
          <w:iCs/>
        </w:rPr>
        <w:t xml:space="preserve">decision-maker → invention-agenda owner and institutional-renewal sponsor. This is not training. It is a confidential strategic room — a forum of peers trading hard-won judgment.</w:t>
      </w:r>
    </w:p>
    <w:p>
      <w:pPr>
        <w:pStyle w:val="Heading3"/>
        <w:spacing w:after="90" w:before="200"/>
      </w:pPr>
      <w:r>
        <w:t xml:space="preserve">The Stillness  ·  Philosophy, Reflection &amp; the Invention Agenda</w:t>
      </w:r>
    </w:p>
    <w:p>
      <w:pPr>
        <w:spacing w:after="110" w:before="0" w:line="276"/>
      </w:pPr>
      <w:r>
        <w:rPr>
          <w:i/>
          <w:iCs/>
          <w:color w:val="5A6473"/>
          <w:sz w:val="21"/>
          <w:szCs w:val="21"/>
        </w:rPr>
        <w:t xml:space="preserve">The silence before the move. Reflection before commitment — surfacing how each leader thinks before deciding what the firm must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Driver ritual (how they think, not what they’ve done); enterprise ambition and legacy; the engine question applied to their firm.</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strategic invention agenda; capability gaps; “Where Does Power Sit?” at enterprise level; build / buy / partner / acquire framing.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Boardroom reflection: what must we build, buy, or partner for?</w:t>
            </w:r>
          </w:p>
        </w:tc>
      </w:tr>
    </w:tbl>
    <w:p>
      <w:pPr>
        <w:spacing w:after="200" w:before="90" w:line="276"/>
      </w:pPr>
      <w:r>
        <w:rPr>
          <w:b/>
          <w:bCs/>
          <w:color w:val="1B2A4A"/>
          <w:sz w:val="20"/>
          <w:szCs w:val="20"/>
        </w:rPr>
        <w:t xml:space="preserve">Output:  </w:t>
      </w:r>
      <w:r>
        <w:rPr>
          <w:sz w:val="20"/>
          <w:szCs w:val="20"/>
        </w:rPr>
        <w:t xml:space="preserve">Enterprise Invention Agenda + a personal Driver Statement.</w:t>
      </w:r>
    </w:p>
    <w:p>
      <w:pPr>
        <w:pStyle w:val="Heading3"/>
        <w:spacing w:after="90" w:before="200"/>
      </w:pPr>
      <w:r>
        <w:t xml:space="preserve">The Reckoning  ·  Capital Allocation, Valuation &amp; Capability Ownership</w:t>
      </w:r>
    </w:p>
    <w:p>
      <w:pPr>
        <w:spacing w:after="110" w:before="0" w:line="276"/>
      </w:pPr>
      <w:r>
        <w:rPr>
          <w:i/>
          <w:iCs/>
          <w:color w:val="5A6473"/>
          <w:sz w:val="21"/>
          <w:szCs w:val="21"/>
        </w:rPr>
        <w:t xml:space="preserve">Surveying the territory and deciding where to commit. Capital allocation as the central act of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Capital allocation and valuation as judgment, not spreadsheet output; strategic bets; why good companies make bad acquisitions.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Patent-to-Enterprise Exchange (board-level): accessing university and lab capability; the Capability Ownership Ladder and the Learning Curve (imitate → assimilate → innovate).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Mapping where the firm must own, influence, integrate or access each capability.</w:t>
            </w:r>
          </w:p>
        </w:tc>
      </w:tr>
    </w:tbl>
    <w:p>
      <w:pPr>
        <w:spacing w:after="200" w:before="90" w:line="276"/>
      </w:pPr>
      <w:r>
        <w:rPr>
          <w:b/>
          <w:bCs/>
          <w:color w:val="1B2A4A"/>
          <w:sz w:val="20"/>
          <w:szCs w:val="20"/>
        </w:rPr>
        <w:t xml:space="preserve">Output:  </w:t>
      </w:r>
      <w:r>
        <w:rPr>
          <w:sz w:val="20"/>
          <w:szCs w:val="20"/>
        </w:rPr>
        <w:t xml:space="preserve">Strategic Capability Ownership Map.</w:t>
      </w:r>
    </w:p>
    <w:p>
      <w:pPr>
        <w:pStyle w:val="Heading3"/>
        <w:spacing w:after="90" w:before="200"/>
      </w:pPr>
      <w:r>
        <w:t xml:space="preserve">The Move  ·  M&amp;A Judgment, Integration &amp; Institutional Renewal</w:t>
      </w:r>
    </w:p>
    <w:p>
      <w:pPr>
        <w:spacing w:after="110" w:before="0" w:line="276"/>
      </w:pPr>
      <w:r>
        <w:rPr>
          <w:i/>
          <w:iCs/>
          <w:color w:val="5A6473"/>
          <w:sz w:val="21"/>
          <w:szCs w:val="21"/>
        </w:rPr>
        <w:t xml:space="preserve">The decisive move — and what endures after it. Integration framed as a 3–5 year act of renewal, not a 100-day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M&amp;A judgment, deal discipline, and governance across the 3–5 year integration arc; stakeholder conviction and narrative.</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Integration as enterprise renewal; the Integration Leadership Room capstone; envisioning each firm’s longitudinal progression.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Legacy, succession and institutional capability.</w:t>
            </w:r>
          </w:p>
        </w:tc>
      </w:tr>
    </w:tbl>
    <w:p>
      <w:pPr>
        <w:spacing w:after="200" w:before="90" w:line="276"/>
      </w:pPr>
      <w:r>
        <w:rPr>
          <w:b/>
          <w:bCs/>
          <w:color w:val="1B2A4A"/>
          <w:sz w:val="20"/>
          <w:szCs w:val="20"/>
        </w:rPr>
        <w:t xml:space="preserve">Output:  </w:t>
      </w:r>
      <w:r>
        <w:rPr>
          <w:sz w:val="20"/>
          <w:szCs w:val="20"/>
        </w:rPr>
        <w:t xml:space="preserve">Enterprise Renewal Charter.</w:t>
      </w:r>
    </w:p>
    <w:p>
      <w:pPr>
        <w:pStyle w:val="Heading2"/>
        <w:pageBreakBefore/>
        <w:spacing w:after="120" w:before="240"/>
      </w:pPr>
      <w:r>
        <w:t xml:space="preserve">The Watch  (L2)  —  Senior &amp; Execution Leaders, 20–30 yrs  ·  4.5 days × 3 / year</w:t>
      </w:r>
    </w:p>
    <w:p>
      <w:pPr>
        <w:spacing w:after="120" w:before="0" w:line="276"/>
      </w:pPr>
      <w:r>
        <w:rPr>
          <w:b/>
          <w:bCs/>
        </w:rPr>
        <w:t xml:space="preserve">Shift: </w:t>
      </w:r>
      <w:r>
        <w:rPr>
          <w:i/>
          <w:iCs/>
        </w:rPr>
        <w:t xml:space="preserve">senior leader → growth architect and capability builder. The lion at rest, watching — survey the field, choose the moment, hold the ground.</w:t>
      </w:r>
    </w:p>
    <w:p>
      <w:pPr>
        <w:pStyle w:val="Heading3"/>
        <w:spacing w:after="90" w:before="200"/>
      </w:pPr>
      <w:r>
        <w:t xml:space="preserve">Reading the Field  ·  Growth Diagnosis &amp; Capability Gaps</w:t>
      </w:r>
    </w:p>
    <w:p>
      <w:pPr>
        <w:spacing w:after="110" w:before="0" w:line="276"/>
      </w:pPr>
      <w:r>
        <w:rPr>
          <w:i/>
          <w:iCs/>
          <w:color w:val="5A6473"/>
          <w:sz w:val="21"/>
          <w:szCs w:val="21"/>
        </w:rPr>
        <w:t xml:space="preserve">Where growth stops, and why. An honest diagnosis of the firm’s capability gaps before any talk of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Industry shifts, the growth ceiling, strategic ambition.</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Go-to-market diagnosis and customer-opportunity mapping.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“Where Does Power Sit?” — enterprise capability-gap mapping.</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Build / buy / partner / acquire logic introduced.</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Growth-thesis articulation.</w:t>
            </w:r>
          </w:p>
        </w:tc>
      </w:tr>
    </w:tbl>
    <w:p>
      <w:pPr>
        <w:spacing w:after="200" w:before="90" w:line="276"/>
      </w:pPr>
      <w:r>
        <w:rPr>
          <w:b/>
          <w:bCs/>
          <w:color w:val="1B2A4A"/>
          <w:sz w:val="20"/>
          <w:szCs w:val="20"/>
        </w:rPr>
        <w:t xml:space="preserve">Output:  </w:t>
      </w:r>
      <w:r>
        <w:rPr>
          <w:sz w:val="20"/>
          <w:szCs w:val="20"/>
        </w:rPr>
        <w:t xml:space="preserve">Enterprise Growth Diagnosis.</w:t>
      </w:r>
    </w:p>
    <w:p>
      <w:pPr>
        <w:pStyle w:val="Heading3"/>
        <w:spacing w:after="90" w:before="200"/>
      </w:pPr>
      <w:r>
        <w:t xml:space="preserve">The Approach  ·  Invention, Patents &amp; Strategic Options</w:t>
      </w:r>
    </w:p>
    <w:p>
      <w:pPr>
        <w:spacing w:after="110" w:before="0" w:line="276"/>
      </w:pPr>
      <w:r>
        <w:rPr>
          <w:i/>
          <w:iCs/>
          <w:color w:val="5A6473"/>
          <w:sz w:val="21"/>
          <w:szCs w:val="21"/>
        </w:rPr>
        <w:t xml:space="preserve">Choosing the path to the capability. Strategic invention and long-horizon capability building, grounded in real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Strategic invention and long-horizon capability building — the engine lesson, plus the Learning Curve (imitate → assimilate → innovate) and lawful reverse engineering as the on-ramp.</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Patent-to-Enterprise Exchange at full depth (Gallery, Walkthrough, Canvas).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Design thinking and business-model development.</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Organisation restructuring for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Strategic-option review.</w:t>
            </w:r>
          </w:p>
        </w:tc>
      </w:tr>
    </w:tbl>
    <w:p>
      <w:pPr>
        <w:spacing w:after="200" w:before="90" w:line="276"/>
      </w:pPr>
      <w:r>
        <w:rPr>
          <w:b/>
          <w:bCs/>
          <w:color w:val="1B2A4A"/>
          <w:sz w:val="20"/>
          <w:szCs w:val="20"/>
        </w:rPr>
        <w:t xml:space="preserve">Output:  </w:t>
      </w:r>
      <w:r>
        <w:rPr>
          <w:sz w:val="20"/>
          <w:szCs w:val="20"/>
        </w:rPr>
        <w:t xml:space="preserve">Build-Buy-Partner-License-Acquire Map.</w:t>
      </w:r>
    </w:p>
    <w:p>
      <w:pPr>
        <w:pStyle w:val="Heading3"/>
        <w:spacing w:after="90" w:before="200"/>
      </w:pPr>
      <w:r>
        <w:t xml:space="preserve">Holding the Ground  ·  M&amp;A, Integration &amp; Scaling</w:t>
      </w:r>
    </w:p>
    <w:p>
      <w:pPr>
        <w:spacing w:after="110" w:before="0" w:line="276"/>
      </w:pPr>
      <w:r>
        <w:rPr>
          <w:i/>
          <w:iCs/>
          <w:color w:val="5A6473"/>
          <w:sz w:val="21"/>
          <w:szCs w:val="21"/>
        </w:rPr>
        <w:t xml:space="preserve">Securing and holding the gain. M&amp;A as capability acquisition, then the long absorption that actually creates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M&amp;A as capability acquisition; diligence and valuation logic.</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Integration leadership and operating-model design across the 3–5 year arc (the 100-day plan as the opening phase, not the whole).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Synergy realisation without value leakage; workstream governance and decision rights.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Innovation-portfolio governance and scaling.</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Enterprise Growth &amp; Integration Charter presentation.</w:t>
            </w:r>
          </w:p>
        </w:tc>
      </w:tr>
    </w:tbl>
    <w:p>
      <w:pPr>
        <w:spacing w:after="200" w:before="90" w:line="276"/>
      </w:pPr>
      <w:r>
        <w:rPr>
          <w:b/>
          <w:bCs/>
          <w:color w:val="1B2A4A"/>
          <w:sz w:val="20"/>
          <w:szCs w:val="20"/>
        </w:rPr>
        <w:t xml:space="preserve">Output:  </w:t>
      </w:r>
      <w:r>
        <w:rPr>
          <w:sz w:val="20"/>
          <w:szCs w:val="20"/>
        </w:rPr>
        <w:t xml:space="preserve">Enterprise Growth &amp; Integration Charter.</w:t>
      </w:r>
    </w:p>
    <w:p>
      <w:pPr>
        <w:pStyle w:val="Heading2"/>
        <w:pageBreakBefore/>
        <w:spacing w:after="120" w:before="240"/>
      </w:pPr>
      <w:r>
        <w:t xml:space="preserve">The Pride  (L3)  —  Functional &amp; High-Potential Leaders, 8–15 yrs  ·  4.5 days × 3 / year</w:t>
      </w:r>
    </w:p>
    <w:p>
      <w:pPr>
        <w:spacing w:after="120" w:before="0" w:line="276"/>
      </w:pPr>
      <w:r>
        <w:rPr>
          <w:b/>
          <w:bCs/>
        </w:rPr>
        <w:t xml:space="preserve">Shift: </w:t>
      </w:r>
      <w:r>
        <w:rPr>
          <w:i/>
          <w:iCs/>
        </w:rPr>
        <w:t xml:space="preserve">functional manager → enterprise-aware innovation contributor. The many who build and sustain — learning to see beyond their function.</w:t>
      </w:r>
    </w:p>
    <w:p>
      <w:pPr>
        <w:pStyle w:val="Heading3"/>
        <w:spacing w:after="90" w:before="200"/>
      </w:pPr>
      <w:r>
        <w:t xml:space="preserve">The Wider Territory  ·  From Function to Market</w:t>
      </w:r>
    </w:p>
    <w:p>
      <w:pPr>
        <w:spacing w:after="110" w:before="0" w:line="276"/>
      </w:pPr>
      <w:r>
        <w:rPr>
          <w:i/>
          <w:iCs/>
          <w:color w:val="5A6473"/>
          <w:sz w:val="21"/>
          <w:szCs w:val="21"/>
        </w:rPr>
        <w:t xml:space="preserve">Moving from “does my function work?” to “does the combined enterprise win?” — the decisional dilemmas of cross-functional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Market shifts, customer value, competitive pressure.</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Functional capability mapping; the dilemmas of cross-functional decisions.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Invention vs innovation vs improvement.</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Cross-functional collaboration and integration (function + environment).</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Functional-innovation project selection.</w:t>
            </w:r>
          </w:p>
        </w:tc>
      </w:tr>
    </w:tbl>
    <w:p>
      <w:pPr>
        <w:spacing w:after="200" w:before="90" w:line="276"/>
      </w:pPr>
      <w:r>
        <w:rPr>
          <w:b/>
          <w:bCs/>
          <w:color w:val="1B2A4A"/>
          <w:sz w:val="20"/>
          <w:szCs w:val="20"/>
        </w:rPr>
        <w:t xml:space="preserve">Output:  </w:t>
      </w:r>
      <w:r>
        <w:rPr>
          <w:sz w:val="20"/>
          <w:szCs w:val="20"/>
        </w:rPr>
        <w:t xml:space="preserve">Functional Innovation Project.</w:t>
      </w:r>
    </w:p>
    <w:p>
      <w:pPr>
        <w:pStyle w:val="Heading3"/>
        <w:spacing w:after="90" w:before="200"/>
      </w:pPr>
      <w:r>
        <w:t xml:space="preserve">The Build  ·  From Idea to Cross-Functional Execution</w:t>
      </w:r>
    </w:p>
    <w:p>
      <w:pPr>
        <w:spacing w:after="110" w:before="0" w:line="276"/>
      </w:pPr>
      <w:r>
        <w:rPr>
          <w:i/>
          <w:iCs/>
          <w:color w:val="5A6473"/>
          <w:sz w:val="21"/>
          <w:szCs w:val="21"/>
        </w:rPr>
        <w:t xml:space="preserve">Turning ideas into working capability across functions — and a first, light exposure to live research and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Design thinking for functional problems.</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Process, service and digital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Collaboration with finance, sales, operations, technology.</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Resource mapping and execution barriers; intro to latest research and patents (light Exchange exposure).</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Progress review and peer critique.</w:t>
            </w:r>
          </w:p>
        </w:tc>
      </w:tr>
    </w:tbl>
    <w:p>
      <w:pPr>
        <w:spacing w:after="200" w:before="90" w:line="276"/>
      </w:pPr>
      <w:r>
        <w:rPr>
          <w:b/>
          <w:bCs/>
          <w:color w:val="1B2A4A"/>
          <w:sz w:val="20"/>
          <w:szCs w:val="20"/>
        </w:rPr>
        <w:t xml:space="preserve">Output:  </w:t>
      </w:r>
      <w:r>
        <w:rPr>
          <w:sz w:val="20"/>
          <w:szCs w:val="20"/>
        </w:rPr>
        <w:t xml:space="preserve">Cross-Functional Execution Plan.</w:t>
      </w:r>
    </w:p>
    <w:p>
      <w:pPr>
        <w:pStyle w:val="Heading3"/>
        <w:spacing w:after="90" w:before="200"/>
      </w:pPr>
      <w:r>
        <w:t xml:space="preserve">What Endures  ·  From Project to Capability</w:t>
      </w:r>
    </w:p>
    <w:p>
      <w:pPr>
        <w:spacing w:after="110" w:before="0" w:line="276"/>
      </w:pPr>
      <w:r>
        <w:rPr>
          <w:i/>
          <w:iCs/>
          <w:color w:val="5A6473"/>
          <w:sz w:val="21"/>
          <w:szCs w:val="21"/>
        </w:rPr>
        <w:t xml:space="preserve">What holds weight after the project ends. Turning a one-off win into durable, institutionalised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
            </w:r>
          </w:p>
        </w:tc>
        <w:tc>
          <w:tcPr>
            <w:tcW w:type="dxa" w:w="7660"/>
            <w:tcBorders>
              <w:top w:val="single" w:color="CDD2DA" w:sz="2"/>
              <w:left w:val="single" w:color="CDD2DA" w:sz="2"/>
              <w:bottom w:val="single" w:color="CDD2DA" w:sz="2"/>
              <w:right w:val="single" w:color="CDD2DA" w:sz="2"/>
            </w:tcBorders>
            <w:shd w:fill="F1EDE3" w:val="clear"/>
            <w:tcMar>
              <w:top w:type="dxa" w:w="70"/>
              <w:left w:type="dxa" w:w="110"/>
              <w:bottom w:type="dxa" w:w="70"/>
              <w:right w:type="dxa" w:w="110"/>
            </w:tcMar>
            <w:vAlign w:val="center"/>
          </w:tcPr>
          <w:p>
            <w:pPr>
              <w:spacing w:after="0" w:line="264"/>
            </w:pPr>
            <w:r>
              <w:rPr>
                <w:b/>
                <w:bCs/>
                <w:color w:val="1B2A4A"/>
                <w:sz w:val="20"/>
                <w:szCs w:val="20"/>
              </w:rPr>
              <w:t xml:space="preserve">Focus</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1</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What worked, what failed, what changed.</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2</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Scaling functional innovation.</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Day 3</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integration mindset in acquisitions and partnerships — what L3 owns in a 3–5 year integration.</w:t>
            </w:r>
          </w:p>
        </w:tc>
      </w:tr>
      <w:tr>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Day 4</w:t>
            </w:r>
          </w:p>
        </w:tc>
        <w:tc>
          <w:tcPr>
            <w:tcW w:type="dxa" w:w="7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Capability institutionalisation; identity and branding in a combined entity.</w:t>
            </w:r>
          </w:p>
        </w:tc>
      </w:tr>
      <w:tr>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½ Day</w:t>
            </w:r>
          </w:p>
        </w:tc>
        <w:tc>
          <w:tcPr>
            <w:tcW w:type="dxa" w:w="7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Final showcase.</w:t>
            </w:r>
          </w:p>
        </w:tc>
      </w:tr>
    </w:tbl>
    <w:p>
      <w:pPr>
        <w:spacing w:after="200" w:before="90" w:line="276"/>
      </w:pPr>
      <w:r>
        <w:rPr>
          <w:b/>
          <w:bCs/>
          <w:color w:val="1B2A4A"/>
          <w:sz w:val="20"/>
          <w:szCs w:val="20"/>
        </w:rPr>
        <w:t xml:space="preserve">Output:  </w:t>
      </w:r>
      <w:r>
        <w:rPr>
          <w:sz w:val="20"/>
          <w:szCs w:val="20"/>
        </w:rPr>
        <w:t xml:space="preserve">Functional Capability Renewal Report.</w:t>
      </w:r>
    </w:p>
    <w:p>
      <w:pPr>
        <w:pStyle w:val="Heading1"/>
        <w:pageBreakBefore/>
        <w:pBdr>
          <w:bottom w:val="single" w:color="A98B4E" w:sz="14" w:space="4"/>
        </w:pBdr>
        <w:spacing w:after="200" w:before="320"/>
      </w:pPr>
      <w:r>
        <w:t xml:space="preserve">5.  Signature Rituals &amp; Tools</w:t>
      </w:r>
    </w:p>
    <w:p>
      <w:pPr>
        <w:spacing w:after="140" w:before="0" w:line="276"/>
      </w:pPr>
      <w:r>
        <w:t xml:space="preserve">Proprietary instruments that recur across the programme. They are what make the institute feel serious and ownable rather than generic.</w:t>
      </w:r>
    </w:p>
    <w:p>
      <w:pPr>
        <w:pStyle w:val="Heading2"/>
        <w:spacing w:after="120" w:before="240"/>
      </w:pPr>
      <w:r>
        <w:t xml:space="preserve">The Driver  —  the philosophy ritual (opens The Council)</w:t>
      </w:r>
    </w:p>
    <w:p>
      <w:pPr>
        <w:spacing w:after="140" w:before="0" w:line="276"/>
      </w:pPr>
      <w:r>
        <w:t xml:space="preserve">Not an icebreaker and never a recital of achievements. The point is to surface how a leader thinks — because their mental models, not their CV, shape the firm’s next decade, its capability bets, and its legacy.</w:t>
      </w:r>
    </w:p>
    <w:p>
      <w:pPr>
        <w:pBdr>
          <w:left w:val="single" w:color="A98B4E" w:sz="18" w:space="14"/>
        </w:pBdr>
        <w:spacing w:after="140" w:before="60" w:line="288"/>
        <w:ind w:left="360"/>
      </w:pPr>
      <w:r>
        <w:rPr>
          <w:b/>
          <w:bCs/>
          <w:color w:val="1B2A4A"/>
        </w:rPr>
        <w:t xml:space="preserve">Said aloud at the start:  </w:t>
      </w:r>
      <w:r>
        <w:rPr>
          <w:i/>
          <w:iCs/>
        </w:rPr>
        <w:t xml:space="preserve">“We don’t want your résumé. We’ve read it. We want the operating system underneath it — the beliefs that make you decide differently from the person who runs your competitor.”</w:t>
      </w:r>
    </w:p>
    <w:p>
      <w:pPr>
        <w:spacing w:after="140" w:before="0" w:line="276"/>
      </w:pPr>
      <w:r>
        <w:t xml:space="preserve">Each leader picks three or four prompts, reflects privately for 20 minutes, then speaks for 6–8 minutes to the peer circle — no slides, no numbers:</w:t>
      </w:r>
    </w:p>
    <w:p>
      <w:pPr>
        <w:pStyle w:val="ListParagraph"/>
        <w:numPr>
          <w:ilvl w:val="0"/>
          <w:numId w:val="2"/>
        </w:numPr>
        <w:spacing w:after="80" w:line="272"/>
      </w:pPr>
      <w:r>
        <w:t xml:space="preserve">What do you believe about your business that most of your peers would disagree with?</w:t>
      </w:r>
    </w:p>
    <w:p>
      <w:pPr>
        <w:pStyle w:val="ListParagraph"/>
        <w:numPr>
          <w:ilvl w:val="0"/>
          <w:numId w:val="2"/>
        </w:numPr>
        <w:spacing w:after="80" w:line="272"/>
      </w:pPr>
      <w:r>
        <w:t xml:space="preserve">When you’ve made your hardest call, what were you actually optimising for — underneath the spreadsheet?</w:t>
      </w:r>
    </w:p>
    <w:p>
      <w:pPr>
        <w:pStyle w:val="ListParagraph"/>
        <w:numPr>
          <w:ilvl w:val="0"/>
          <w:numId w:val="2"/>
        </w:numPr>
        <w:spacing w:after="80" w:line="272"/>
      </w:pPr>
      <w:r>
        <w:t xml:space="preserve">What have you unlearned in the last ten years? What did you once believe that you no longer do?</w:t>
      </w:r>
    </w:p>
    <w:p>
      <w:pPr>
        <w:pStyle w:val="ListParagraph"/>
        <w:numPr>
          <w:ilvl w:val="0"/>
          <w:numId w:val="2"/>
        </w:numPr>
        <w:spacing w:after="80" w:line="272"/>
      </w:pPr>
      <w:r>
        <w:t xml:space="preserve">What is the engine of your ambition — the thing that would still drive you if the money were already solved?</w:t>
      </w:r>
    </w:p>
    <w:p>
      <w:pPr>
        <w:pStyle w:val="ListParagraph"/>
        <w:numPr>
          <w:ilvl w:val="0"/>
          <w:numId w:val="2"/>
        </w:numPr>
        <w:spacing w:after="80" w:line="272"/>
      </w:pPr>
      <w:r>
        <w:t xml:space="preserve">What do you want to still be true about your company in twenty years, when you’re not in the room?</w:t>
      </w:r>
    </w:p>
    <w:p>
      <w:pPr>
        <w:pStyle w:val="ListParagraph"/>
        <w:numPr>
          <w:ilvl w:val="0"/>
          <w:numId w:val="2"/>
        </w:numPr>
        <w:spacing w:after="80" w:line="272"/>
      </w:pPr>
      <w:r>
        <w:t xml:space="preserve">Where do you knowingly trade short-term performance for long-term capability — and where do you refuse to?</w:t>
      </w:r>
    </w:p>
    <w:p>
      <w:pPr>
        <w:pStyle w:val="ListParagraph"/>
        <w:numPr>
          <w:ilvl w:val="0"/>
          <w:numId w:val="2"/>
        </w:numPr>
        <w:spacing w:after="80" w:line="272"/>
      </w:pPr>
      <w:r>
        <w:t xml:space="preserve">What kind of risk lets you sleep, and what kind keeps you awake?</w:t>
      </w:r>
    </w:p>
    <w:p>
      <w:pPr>
        <w:spacing w:after="140" w:before="80" w:line="276"/>
      </w:pPr>
      <w:r>
        <w:rPr>
          <w:b/>
          <w:bCs/>
        </w:rPr>
        <w:t xml:space="preserve">The forward link: </w:t>
      </w:r>
      <w:r>
        <w:t xml:space="preserve">each reflection is captured as a one-page Driver Statement that becomes the lens for every later decision. In Modules 2 and 3 the leader’s capital allocation and integration choices are held up against it — did you allocate capital like the person you said you were? That is the longitudinal payoff.</w:t>
      </w:r>
    </w:p>
    <w:p>
      <w:pPr>
        <w:pStyle w:val="Heading2"/>
        <w:spacing w:after="120" w:before="240"/>
      </w:pPr>
      <w:r>
        <w:t xml:space="preserve">The Learning Curve  —  Imitate → Assimilate → Innovate</w:t>
      </w:r>
    </w:p>
    <w:p>
      <w:pPr>
        <w:spacing w:after="140" w:before="0" w:line="276"/>
      </w:pPr>
      <w:r>
        <w:t xml:space="preserve">Invention rarely begins with a blank sheet. Almost every economy that built deep capability climbed the same three rungs — and lawful reverse engineering is the disciplined technique that powers the first two. It is the bridge between the patent and the capability: the patent tells you what was done; reverse engineering is the work of figuring out how — and even then you must still incubate the deep know-how the patent never contained. Use it to make invention feel achievable, while keeping the destination clear — the third rung: genuine invention and owned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4060"/>
        <w:gridCol w:w="3660"/>
      </w:tblGrid>
      <w:tr>
        <w:trPr>
          <w:tblHeader/>
        </w:trPr>
        <w:tc>
          <w:tcPr>
            <w:tcW w:type="dxa" w:w="164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Rung</w:t>
            </w:r>
          </w:p>
        </w:tc>
        <w:tc>
          <w:tcPr>
            <w:tcW w:type="dxa" w:w="40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happens</w:t>
            </w:r>
          </w:p>
        </w:tc>
        <w:tc>
          <w:tcPr>
            <w:tcW w:type="dxa" w:w="36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it builds</w:t>
            </w:r>
          </w:p>
        </w:tc>
      </w:tr>
      <w:tr>
        <w:tc>
          <w:tcPr>
            <w:tcW w:type="dxa" w:w="16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Imitate</w:t>
            </w:r>
          </w:p>
        </w:tc>
        <w:tc>
          <w:tcPr>
            <w:tcW w:type="dxa" w:w="4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Study what already exists — expired patents, lawfully obtained products, published research — and rebuild it.</w:t>
            </w:r>
          </w:p>
        </w:tc>
        <w:tc>
          <w:tcPr>
            <w:tcW w:type="dxa" w:w="3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Working knowledge of the artifact; a faster, cheaper path to a known capability.</w:t>
            </w:r>
          </w:p>
        </w:tc>
      </w:tr>
      <w:tr>
        <w:tc>
          <w:tcPr>
            <w:tcW w:type="dxa" w:w="164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Assimilate</w:t>
            </w:r>
          </w:p>
        </w:tc>
        <w:tc>
          <w:tcPr>
            <w:tcW w:type="dxa" w:w="40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Make it your own: improve it, adapt it, train your people on it, absorb the tacit know-how.</w:t>
            </w:r>
          </w:p>
        </w:tc>
        <w:tc>
          <w:tcPr>
            <w:tcW w:type="dxa" w:w="36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Genuine organisational capability and a trained talent base — not just a copy.</w:t>
            </w:r>
          </w:p>
        </w:tc>
      </w:tr>
      <w:tr>
        <w:tc>
          <w:tcPr>
            <w:tcW w:type="dxa" w:w="164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Innovate</w:t>
            </w:r>
          </w:p>
        </w:tc>
        <w:tc>
          <w:tcPr>
            <w:tcW w:type="dxa" w:w="40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Invest in your own R&amp;D; build on the absorbed capability to create something new and protectable.</w:t>
            </w:r>
          </w:p>
        </w:tc>
        <w:tc>
          <w:tcPr>
            <w:tcW w:type="dxa" w:w="36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Owned IP, frontier capability, and the standing to set standards.</w:t>
            </w:r>
          </w:p>
        </w:tc>
      </w:tr>
    </w:tbl>
    <w:p>
      <w:pPr>
        <w:pStyle w:val="Heading3"/>
        <w:spacing w:after="90" w:before="200"/>
      </w:pPr>
      <w:r>
        <w:t xml:space="preserve">Motivation stories</w:t>
      </w:r>
    </w:p>
    <w:p>
      <w:pPr>
        <w:pStyle w:val="ListParagraph"/>
        <w:numPr>
          <w:ilvl w:val="0"/>
          <w:numId w:val="2"/>
        </w:numPr>
        <w:spacing w:after="80" w:line="272"/>
      </w:pPr>
      <w:r>
        <w:rPr>
          <w:b/>
          <w:bCs/>
          <w:sz w:val="20"/>
          <w:szCs w:val="20"/>
        </w:rPr>
        <w:t xml:space="preserve">India’s own pharmacy.  </w:t>
      </w:r>
      <w:r>
        <w:rPr>
          <w:sz w:val="20"/>
          <w:szCs w:val="20"/>
        </w:rPr>
        <w:t xml:space="preserve">Under the Patents Act of 1970, India recognised only process patents for medicines — which gave Indian firms the legal room to reverse-engineer patented molecules and sell them at a small fraction of the branded price. That built the “pharmacy of the world.” And in making those generics, firms accumulated deep process know-how and trained a generation of scientists. When India adopted product patents in 2005 under TRIPS, the copying door closed — and the industry was pushed up to the third rung, toward genuine innovation. The whole ladder, in one Indian story.</w:t>
      </w:r>
    </w:p>
    <w:p>
      <w:pPr>
        <w:pStyle w:val="ListParagraph"/>
        <w:numPr>
          <w:ilvl w:val="0"/>
          <w:numId w:val="2"/>
        </w:numPr>
        <w:spacing w:after="80" w:line="272"/>
      </w:pPr>
      <w:r>
        <w:rPr>
          <w:b/>
          <w:bCs/>
          <w:sz w:val="20"/>
          <w:szCs w:val="20"/>
        </w:rPr>
        <w:t xml:space="preserve">Korea’s leap.  </w:t>
      </w:r>
      <w:r>
        <w:rPr>
          <w:sz w:val="20"/>
          <w:szCs w:val="20"/>
        </w:rPr>
        <w:t xml:space="preserve">In the classic study Imitation to Innovation (1997), Linsu Kim shows Korean firms acquiring foreign technology, assimilating and improving it, and only then investing in their own R&amp;D — moving, in electronics, from reverse engineering to strategic alliance, and in semiconductors, leapfrogging to the world frontier. A useful reference for the Prof, and for the research angle.</w:t>
      </w:r>
    </w:p>
    <w:p>
      <w:pPr>
        <w:pStyle w:val="ListParagraph"/>
        <w:numPr>
          <w:ilvl w:val="0"/>
          <w:numId w:val="2"/>
        </w:numPr>
        <w:spacing w:after="80" w:line="272"/>
      </w:pPr>
      <w:r>
        <w:rPr>
          <w:b/>
          <w:bCs/>
          <w:sz w:val="20"/>
          <w:szCs w:val="20"/>
        </w:rPr>
        <w:t xml:space="preserve">ISRO, re-read.  </w:t>
      </w:r>
      <w:r>
        <w:rPr>
          <w:sz w:val="20"/>
          <w:szCs w:val="20"/>
        </w:rPr>
        <w:t xml:space="preserve">The cryogenic story is itself a reverse-engineering-into-invention story: India studied and absorbed the denied and supplied technology, then built the indigenous capability the suppliers never handed over.</w:t>
      </w:r>
    </w:p>
    <w:p>
      <w:pPr>
        <w:pStyle w:val="ListParagraph"/>
        <w:numPr>
          <w:ilvl w:val="0"/>
          <w:numId w:val="2"/>
        </w:numPr>
        <w:spacing w:after="80" w:line="272"/>
      </w:pPr>
      <w:r>
        <w:rPr>
          <w:b/>
          <w:bCs/>
          <w:sz w:val="20"/>
          <w:szCs w:val="20"/>
        </w:rPr>
        <w:t xml:space="preserve">The cautionary rung.  </w:t>
      </w:r>
      <w:r>
        <w:rPr>
          <w:sz w:val="20"/>
          <w:szCs w:val="20"/>
        </w:rPr>
        <w:t xml:space="preserve">The danger is stopping at imitation — copying without ever climbing to assimilation and invention, and staying a permanent imitator. The rung you skip is the one that mattered.</w:t>
      </w:r>
    </w:p>
    <w:p>
      <w:pPr>
        <w:pBdr>
          <w:left w:val="single" w:color="A98B4E" w:sz="18" w:space="14"/>
        </w:pBdr>
        <w:spacing w:after="140" w:before="60" w:line="288"/>
        <w:ind w:left="360"/>
      </w:pPr>
      <w:r>
        <w:rPr>
          <w:b/>
          <w:bCs/>
          <w:color w:val="1B2A4A"/>
        </w:rPr>
        <w:t xml:space="preserve">The line that is not negotiable:  </w:t>
      </w:r>
      <w:r>
        <w:rPr>
          <w:i/>
          <w:iCs/>
        </w:rPr>
        <w:t xml:space="preserve">this is lawful reverse engineering only — expired patents, clean-room methods, and products you own and have the right to study. Never trade-secret theft or infringement of a live patent. The institute builds capability within the law.</w:t>
      </w:r>
    </w:p>
    <w:p>
      <w:pPr>
        <w:spacing w:after="140" w:before="0" w:line="276"/>
      </w:pPr>
      <w:r>
        <w:rPr>
          <w:b/>
          <w:bCs/>
        </w:rPr>
        <w:t xml:space="preserve">The M&amp;A connection:  </w:t>
      </w:r>
      <w:r>
        <w:t xml:space="preserve">two ways this lands in a deal. First, reverse engineering is a build accelerator — it can make “build” faster and cheaper than it first appears, which can shift a Build / Buy / Partner / Acquire decision away from “buy.” Second, when you do acquire, the absorption phase of integration is itself a kind of reverse engineering — decoding the target’s know-how into your own organisation. The capacity to absorb is the same muscle whether you are learning from a patent or from a company you bought; it is the difference between owning the engine and merely owning the machine.</w:t>
      </w:r>
    </w:p>
    <w:p>
      <w:pPr>
        <w:pStyle w:val="Heading2"/>
        <w:spacing w:after="120" w:before="240"/>
      </w:pPr>
      <w:r>
        <w:t xml:space="preserve">Capability Ownership Ladder</w:t>
      </w:r>
    </w:p>
    <w:p>
      <w:pPr>
        <w:spacing w:after="140" w:before="0" w:line="276"/>
      </w:pPr>
      <w:r>
        <w:t xml:space="preserve">Used to locate a firm honestly. Ask: where are we today, and where must we be in ten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Rung</w:t>
            </w:r>
          </w:p>
        </w:tc>
        <w:tc>
          <w:tcPr>
            <w:tcW w:type="dxa" w:w="66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Meaning</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User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consume the capability</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Distributor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sell or distribute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Operator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operate it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Maintainer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maintain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Integrator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combine it with other systems</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Manufacturer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produce it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Designer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design it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Patent owner</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We own protectable IP</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Standard setter</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We shape industry direction</w:t>
            </w:r>
          </w:p>
        </w:tc>
      </w:tr>
    </w:tbl>
    <w:p>
      <w:pPr>
        <w:pStyle w:val="Heading2"/>
        <w:spacing w:after="120" w:before="240"/>
      </w:pPr>
      <w:r>
        <w:t xml:space="preserve">Build – Buy – Partner – License – Acquire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Route</w:t>
            </w:r>
          </w:p>
        </w:tc>
        <w:tc>
          <w:tcPr>
            <w:tcW w:type="dxa" w:w="71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When to use it</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Build</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is core and time is available</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Buy</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Capability exists outside and speed matters</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Partner</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is complementary or still uncertain</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License</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The IP exists; commercialisation capability is internal</w:t>
            </w:r>
          </w:p>
        </w:tc>
      </w:tr>
      <w:tr>
        <w:tc>
          <w:tcPr>
            <w:tcW w:type="dxa" w:w="22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Acquire</w:t>
            </w:r>
          </w:p>
        </w:tc>
        <w:tc>
          <w:tcPr>
            <w:tcW w:type="dxa" w:w="71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Capability, team, market or technology must be controlled</w:t>
            </w:r>
          </w:p>
        </w:tc>
      </w:tr>
      <w:tr>
        <w:tc>
          <w:tcPr>
            <w:tcW w:type="dxa" w:w="22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Invest</w:t>
            </w:r>
          </w:p>
        </w:tc>
        <w:tc>
          <w:tcPr>
            <w:tcW w:type="dxa" w:w="71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Option value is needed without full ownership</w:t>
            </w:r>
          </w:p>
        </w:tc>
      </w:tr>
    </w:tbl>
    <w:p>
      <w:pPr>
        <w:pStyle w:val="Heading2"/>
        <w:spacing w:after="120" w:before="240"/>
      </w:pPr>
      <w:r>
        <w:t xml:space="preserve">Patent-to-Enterprise Canvas</w:t>
      </w:r>
    </w:p>
    <w:p>
      <w:pPr>
        <w:spacing w:after="140" w:before="0" w:line="276"/>
      </w:pPr>
      <w:r>
        <w:t xml:space="preserve">Each group takes one patent and answers, in business language:</w:t>
      </w:r>
    </w:p>
    <w:p>
      <w:pPr>
        <w:pStyle w:val="ListParagraph"/>
        <w:numPr>
          <w:ilvl w:val="0"/>
          <w:numId w:val="2"/>
        </w:numPr>
        <w:spacing w:after="80" w:line="272"/>
      </w:pPr>
      <w:r>
        <w:t xml:space="preserve">What industry problem does this solve, and who would pay for it?</w:t>
      </w:r>
    </w:p>
    <w:p>
      <w:pPr>
        <w:pStyle w:val="ListParagraph"/>
        <w:numPr>
          <w:ilvl w:val="0"/>
          <w:numId w:val="2"/>
        </w:numPr>
        <w:spacing w:after="80" w:line="272"/>
      </w:pPr>
      <w:r>
        <w:t xml:space="preserve">What capability does it create for us — a product, process, platform, component or enabling technology?</w:t>
      </w:r>
    </w:p>
    <w:p>
      <w:pPr>
        <w:pStyle w:val="ListParagraph"/>
        <w:numPr>
          <w:ilvl w:val="0"/>
          <w:numId w:val="2"/>
        </w:numPr>
        <w:spacing w:after="80" w:line="272"/>
      </w:pPr>
      <w:r>
        <w:t xml:space="preserve">What would commercialisation actually take?</w:t>
      </w:r>
    </w:p>
    <w:p>
      <w:pPr>
        <w:pStyle w:val="ListParagraph"/>
        <w:numPr>
          <w:ilvl w:val="0"/>
          <w:numId w:val="2"/>
        </w:numPr>
        <w:spacing w:after="80" w:line="272"/>
      </w:pPr>
      <w:r>
        <w:t xml:space="preserve">Should we license, pilot, co-develop, invest, acquire, or sponsor research?</w:t>
      </w:r>
    </w:p>
    <w:p>
      <w:pPr>
        <w:pStyle w:val="ListParagraph"/>
        <w:numPr>
          <w:ilvl w:val="0"/>
          <w:numId w:val="2"/>
        </w:numPr>
        <w:spacing w:after="80" w:line="272"/>
      </w:pPr>
      <w:r>
        <w:t xml:space="preserve">What is the first 90-day experiment?</w:t>
      </w:r>
    </w:p>
    <w:p>
      <w:pPr>
        <w:pStyle w:val="Heading1"/>
        <w:pageBreakBefore/>
        <w:pBdr>
          <w:bottom w:val="single" w:color="A98B4E" w:sz="14" w:space="4"/>
        </w:pBdr>
        <w:spacing w:after="200" w:before="320"/>
      </w:pPr>
      <w:r>
        <w:t xml:space="preserve">6.  The Patent-to-Enterprise Exchange</w:t>
      </w:r>
    </w:p>
    <w:p>
      <w:pPr>
        <w:spacing w:after="140" w:before="0" w:line="276"/>
      </w:pPr>
      <w:r>
        <w:t xml:space="preserve">A curated industry–university translation room where senior leaders explore patents, prototypes and research capabilities and convert selected inventions into licensing, pilot, joint-development, investment, acquisition or venture pathways. It is positioned as an industry strategy exercise, not an academic exhibition.</w:t>
      </w:r>
    </w:p>
    <w:p>
      <w:pPr>
        <w:spacing w:after="140" w:before="0" w:line="276"/>
      </w:pPr>
      <w:r>
        <w:rPr>
          <w:b/>
          <w:bCs/>
        </w:rPr>
        <w:t xml:space="preserve">Coverage: </w:t>
      </w:r>
      <w:r>
        <w:t xml:space="preserve">anchored by IIT Roorkee, and built to add other institutes and labs (Kanpur, Kharagpur, Delhi, Bombay, IISc, CSIR and others) as the network grows. That breadth is the point — a cohort spanning pharma, manufacturing and electronics each finds patents in its own domain rather than everyone staring at the same ten.</w:t>
      </w:r>
    </w:p>
    <w:p>
      <w:pPr>
        <w:pBdr>
          <w:left w:val="single" w:color="A98B4E" w:sz="18" w:space="14"/>
        </w:pBdr>
        <w:spacing w:after="140" w:before="60" w:line="288"/>
        <w:ind w:left="360"/>
      </w:pPr>
      <w:r>
        <w:rPr>
          <w:b/>
          <w:bCs/>
          <w:color w:val="1B2A4A"/>
        </w:rPr>
        <w:t xml:space="preserve">Positioning line:  </w:t>
      </w:r>
      <w:r>
        <w:rPr>
          <w:i/>
          <w:iCs/>
        </w:rPr>
        <w:t xml:space="preserve">“We don’t showcase patents. We run a translation room where industry leaders learn to turn research into enterprise capability.”</w:t>
      </w:r>
    </w:p>
    <w:p>
      <w:pPr>
        <w:pStyle w:val="Heading2"/>
        <w:spacing w:after="120" w:before="240"/>
      </w:pPr>
      <w:r>
        <w:t xml:space="preserve">Four layers, light to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Layer</w:t>
            </w:r>
          </w:p>
        </w:tc>
        <w:tc>
          <w:tcPr>
            <w:tcW w:type="dxa" w:w="63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What happens</w:t>
            </w:r>
          </w:p>
        </w:tc>
      </w:tr>
      <w:tr>
        <w:tc>
          <w:tcPr>
            <w:tcW w:type="dxa" w:w="30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1. Patent Gallery  (breaks / lunch)</w:t>
            </w:r>
          </w:p>
        </w:tc>
        <w:tc>
          <w:tcPr>
            <w:tcW w:type="dxa" w:w="63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8–12 curated patents on display; inventor present; one-page business-language brief; QR to technical detail; the industry problem stated plainly.</w:t>
            </w:r>
          </w:p>
        </w:tc>
      </w:tr>
      <w:tr>
        <w:tc>
          <w:tcPr>
            <w:tcW w:type="dxa" w:w="30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2. Patent Walkthrough  (60–90 min)</w:t>
            </w:r>
          </w:p>
        </w:tc>
        <w:tc>
          <w:tcPr>
            <w:tcW w:type="dxa" w:w="63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IPR-cell overview; short inventor pitches; then a moderated industry-translation discussion — not an academic Q&amp;A.</w:t>
            </w:r>
          </w:p>
        </w:tc>
      </w:tr>
      <w:tr>
        <w:tc>
          <w:tcPr>
            <w:tcW w:type="dxa" w:w="30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3. Patent-to-Enterprise Canvas</w:t>
            </w:r>
          </w:p>
        </w:tc>
        <w:tc>
          <w:tcPr>
            <w:tcW w:type="dxa" w:w="63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Each group takes one patent and works the canvas (problem, who pays, capability created, route, first 90-day step).</w:t>
            </w:r>
          </w:p>
        </w:tc>
      </w:tr>
      <w:tr>
        <w:tc>
          <w:tcPr>
            <w:tcW w:type="dxa" w:w="30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4. Deal &amp; Collaboration Funnel</w:t>
            </w:r>
          </w:p>
        </w:tc>
        <w:tc>
          <w:tcPr>
            <w:tcW w:type="dxa" w:w="63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Structured follow-up after the session — the platform’s flywheel (see below).</w:t>
            </w:r>
          </w:p>
        </w:tc>
      </w:tr>
    </w:tbl>
    <w:p>
      <w:pPr>
        <w:pStyle w:val="Heading2"/>
        <w:spacing w:after="120" w:before="240"/>
      </w:pPr>
      <w:r>
        <w:t xml:space="preserve">The Deal &amp; Collaboration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Stage</w:t>
            </w:r>
          </w:p>
        </w:tc>
        <w:tc>
          <w:tcPr>
            <w:tcW w:type="dxa" w:w="66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Output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Expression of interest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Company signals intent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Technical deep dive</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Inventor + company team discussion</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Commercial assessment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Business case / pilot use case</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IP discussion</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License / sponsored research / joint development</w:t>
            </w:r>
          </w:p>
        </w:tc>
      </w:tr>
      <w:tr>
        <w:tc>
          <w:tcPr>
            <w:tcW w:type="dxa" w:w="276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Pilot</w:t>
            </w:r>
          </w:p>
        </w:tc>
        <w:tc>
          <w:tcPr>
            <w:tcW w:type="dxa" w:w="66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60–180 day experiment</w:t>
            </w:r>
          </w:p>
        </w:tc>
      </w:tr>
      <w:tr>
        <w:tc>
          <w:tcPr>
            <w:tcW w:type="dxa" w:w="276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Commercial path</w:t>
            </w:r>
          </w:p>
        </w:tc>
        <w:tc>
          <w:tcPr>
            <w:tcW w:type="dxa" w:w="66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License, JV, startup, strategic investment, acquisition or procurement</w:t>
            </w:r>
          </w:p>
        </w:tc>
      </w:tr>
    </w:tbl>
    <w:p>
      <w:pPr>
        <w:pStyle w:val="Heading2"/>
        <w:spacing w:after="120" w:before="240"/>
      </w:pPr>
      <w:r>
        <w:t xml:space="preserve">Where it sits in each module</w:t>
      </w:r>
    </w:p>
    <w:p>
      <w:pPr>
        <w:spacing w:after="140" w:before="0" w:line="276"/>
      </w:pPr>
      <w:r>
        <w:t xml:space="preserve">The Exchange is integral, not decorative. Inside every module that uses it, the flow is the same:</w:t>
      </w:r>
    </w:p>
    <w:p>
      <w:pPr>
        <w:pBdr>
          <w:left w:val="single" w:color="A98B4E" w:sz="18" w:space="14"/>
        </w:pBdr>
        <w:spacing w:after="140" w:before="60" w:line="288"/>
        <w:ind w:left="360"/>
      </w:pPr>
      <w:r>
        <w:rPr>
          <w:b/>
          <w:bCs/>
          <w:color w:val="1B2A4A"/>
          <w:sz w:val="21"/>
          <w:szCs w:val="21"/>
        </w:rPr>
        <w:t xml:space="preserve">Story  →  “Where Does Power Sit?” map  →  build / buy / partner / license / acquire logic  →  the Exchange  →  Commercialisation Canvas  →  a written leadership commitment.</w:t>
      </w:r>
    </w:p>
    <w:p>
      <w:pPr>
        <w:spacing w:after="140" w:before="0" w:line="276"/>
      </w:pPr>
      <w:r>
        <w:t xml:space="preserve">Leaders hear “build the engine” in the morning and hold a real, licensable one in the afternoon.</w:t>
      </w:r>
    </w:p>
    <w:p>
      <w:pPr>
        <w:spacing w:after="140" w:before="0" w:line="276"/>
      </w:pPr>
      <w:r>
        <w:rPr>
          <w:b/>
          <w:bCs/>
        </w:rPr>
        <w:t xml:space="preserve">The Learning Curve makes the route concrete: </w:t>
      </w:r>
      <w:r>
        <w:t xml:space="preserve">study an expired patent or a lab prototype, rebuild it, improve it — and patent the improvement. Imitate, assimilate, innovate, inside one programme.</w:t>
      </w:r>
    </w:p>
    <w:p>
      <w:pPr>
        <w:pStyle w:val="Heading1"/>
        <w:pageBreakBefore/>
        <w:pBdr>
          <w:bottom w:val="single" w:color="A98B4E" w:sz="14" w:space="4"/>
        </w:pBdr>
        <w:spacing w:after="200" w:before="320"/>
      </w:pPr>
      <w:r>
        <w:t xml:space="preserve">7.  Facilitator Fact Sheet</w:t>
      </w:r>
    </w:p>
    <w:p>
      <w:pPr>
        <w:spacing w:after="160" w:before="0" w:line="276"/>
      </w:pPr>
      <w:r>
        <w:rPr>
          <w:i/>
          <w:iCs/>
          <w:color w:val="5A6473"/>
          <w:sz w:val="20"/>
          <w:szCs w:val="20"/>
        </w:rPr>
        <w:t xml:space="preserve">Keep these correct in the room without relying on memory. Sources noted for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5810"/>
        <w:gridCol w:w="1700"/>
      </w:tblGrid>
      <w:tr>
        <w:trPr>
          <w:tblHeader/>
        </w:trPr>
        <w:tc>
          <w:tcPr>
            <w:tcW w:type="dxa" w:w="185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Claim</w:t>
            </w:r>
          </w:p>
        </w:tc>
        <w:tc>
          <w:tcPr>
            <w:tcW w:type="dxa" w:w="581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The facts</w:t>
            </w:r>
          </w:p>
        </w:tc>
        <w:tc>
          <w:tcPr>
            <w:tcW w:type="dxa" w:w="1700"/>
            <w:tcBorders>
              <w:top w:val="single" w:color="CDD2DA" w:sz="2"/>
              <w:left w:val="single" w:color="CDD2DA" w:sz="2"/>
              <w:bottom w:val="single" w:color="CDD2DA" w:sz="2"/>
              <w:right w:val="single" w:color="CDD2DA" w:sz="2"/>
            </w:tcBorders>
            <w:shd w:fill="1B2A4A" w:val="clear"/>
            <w:tcMar>
              <w:top w:type="dxa" w:w="70"/>
              <w:left w:type="dxa" w:w="110"/>
              <w:bottom w:type="dxa" w:w="70"/>
              <w:right w:type="dxa" w:w="110"/>
            </w:tcMar>
            <w:vAlign w:val="center"/>
          </w:tcPr>
          <w:p>
            <w:pPr>
              <w:spacing w:after="0" w:line="264"/>
            </w:pPr>
            <w:r>
              <w:rPr>
                <w:b/>
                <w:bCs/>
                <w:color w:val="FFFFFF"/>
                <w:sz w:val="20"/>
                <w:szCs w:val="20"/>
              </w:rPr>
              <w:t xml:space="preserve">Source</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Boeing &amp; Airbus do not build engines</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Two serious commercial planemakers; engines come from effectively four firms — GE Aerospace, Rolls-Royce, Pratt &amp; Whitney and CFM (a GE–Safran JV) — which together hold ~99% of the market. GE, including CFM, leads with ~55%.</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AeroTime; SimpleFlying</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Wright brothers, 1903</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No manufacturer would supply a light-enough engine; mechanic Charlie Taylor built one by hand (~12 hp, under 180 lb). First flight 17 Dec 1903 — 120 ft, 12 sec.</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McCullough, The Wright Brothers; NPS</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ISRO cryogenic engine</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US invoked the MTCR in 1992 and pressured Russia to cancel the tech transfer. India received a few finished engines but not the know-how to build its own. ~22 years to the first indigenous success (GSLV-D5, 2014). Mars orbit on first attempt, at a fraction of others’ cost.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ISRO; The Wire; The Week</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Kaveri jet engine</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Indigenous jet-engine effort begun 1986; delinked from Tejas in 2008; ~40 years on, ~72 kN vs the 83–85 kN the aircraft needs. Tejas flies on the GE F404.</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Wikipedia (GTRE Kaveri); The Week (DRDO chief, 2026)</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Dhawan–Kalam, 1979–1980</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SLV-3 failed in Aug 1979; chairman Satish Dhawan took public responsibility though Kalam was mission director. Success in 1980; Dhawan then had Kalam lead the press conference. Owns failure, gives away credit.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Knowledge@Wharton; President of India archive</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UPI</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Built by NPCI (public rail), launched 2016 — not a copy of Visa/Mastercard. May 2026: 23.2 billion transactions worth ~₹29.9 trillion in one month. ~half of the world’s real-time digital payments are in India; live in ~7 countries incl. France.</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NPCI / ANI (May 2026); industry trackers</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India’s generics ladder</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The Patents Act of 1970 allowed only process patents for medicines, giving firms legal room to reverse-engineer molecules and sell them at ~8–15% of the branded price — building the “pharmacy of the world.” In making generics, firms accumulated know-how and trained technical staff. The 2005 Patents (Amendment) Act introduced product patents (TRIPS), pushing the industry toward genuine innovation.</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Patents Act 1970 / 2005; Springer; UNCTAD</w:t>
            </w:r>
          </w:p>
        </w:tc>
      </w:tr>
      <w:tr>
        <w:tc>
          <w:tcPr>
            <w:tcW w:type="dxa" w:w="185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bCs/>
                <w:sz w:val="20"/>
                <w:szCs w:val="20"/>
              </w:rPr>
              <w:t xml:space="preserve">Korea: imitation to innovation</w:t>
            </w:r>
          </w:p>
        </w:tc>
        <w:tc>
          <w:tcPr>
            <w:tcW w:type="dxa" w:w="581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Linsu Kim’s study (1997) documents Korean firms acquiring foreign technology, assimilating and improving it, then investing in their own R&amp;D — electronics moving “from reverse engineering to strategic alliance,” semiconductors leapfrogging to the frontier. Turning point: late 1970s–early 1980s.</w:t>
            </w:r>
          </w:p>
        </w:tc>
        <w:tc>
          <w:tcPr>
            <w:tcW w:type="dxa" w:w="1700"/>
            <w:tcBorders>
              <w:top w:val="single" w:color="CDD2DA" w:sz="2"/>
              <w:left w:val="single" w:color="CDD2DA" w:sz="2"/>
              <w:bottom w:val="single" w:color="CDD2DA" w:sz="2"/>
              <w:right w:val="single" w:color="CDD2DA" w:sz="2"/>
            </w:tcBorders>
            <w:shd w:fill="FAF9F6" w:val="clear"/>
            <w:tcMar>
              <w:top w:type="dxa" w:w="60"/>
              <w:left w:type="dxa" w:w="110"/>
              <w:bottom w:type="dxa" w:w="60"/>
              <w:right w:type="dxa" w:w="110"/>
            </w:tcMar>
            <w:vAlign w:val="center"/>
          </w:tcPr>
          <w:p>
            <w:pPr>
              <w:spacing w:after="0" w:line="264"/>
            </w:pPr>
            <w:r>
              <w:rPr>
                <w:b w:val="false"/>
                <w:bCs w:val="false"/>
                <w:sz w:val="20"/>
                <w:szCs w:val="20"/>
              </w:rPr>
              <w:t xml:space="preserve">Kim, Imitation to Innovation (HBS Press, 1997)</w:t>
            </w:r>
          </w:p>
        </w:tc>
      </w:tr>
      <w:tr>
        <w:tc>
          <w:tcPr>
            <w:tcW w:type="dxa" w:w="185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bCs/>
                <w:sz w:val="20"/>
                <w:szCs w:val="20"/>
              </w:rPr>
              <w:t xml:space="preserve">Reading for the room</w:t>
            </w:r>
          </w:p>
        </w:tc>
        <w:tc>
          <w:tcPr>
            <w:tcW w:type="dxa" w:w="581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David McCullough, The Wright Brothers (2015) — the definitive popular account of capability built through patience and systematic experiment.</w:t>
            </w:r>
          </w:p>
        </w:tc>
        <w:tc>
          <w:tcPr>
            <w:tcW w:type="dxa" w:w="1700"/>
            <w:tcBorders>
              <w:top w:val="single" w:color="CDD2DA" w:sz="2"/>
              <w:left w:val="single" w:color="CDD2DA" w:sz="2"/>
              <w:bottom w:val="single" w:color="CDD2DA" w:sz="2"/>
              <w:right w:val="single" w:color="CDD2DA" w:sz="2"/>
            </w:tcBorders>
            <w:tcMar>
              <w:top w:type="dxa" w:w="60"/>
              <w:left w:type="dxa" w:w="110"/>
              <w:bottom w:type="dxa" w:w="60"/>
              <w:right w:type="dxa" w:w="110"/>
            </w:tcMar>
            <w:vAlign w:val="center"/>
          </w:tcPr>
          <w:p>
            <w:pPr>
              <w:spacing w:after="0" w:line="264"/>
            </w:pPr>
            <w:r>
              <w:rPr>
                <w:b w:val="false"/>
                <w:bCs w:val="false"/>
                <w:sz w:val="20"/>
                <w:szCs w:val="20"/>
              </w:rPr>
              <w:t xml:space="preserve">Simon &amp; Schuster</w:t>
            </w:r>
          </w:p>
        </w:tc>
      </w:tr>
    </w:tbl>
    <w:p>
      <w:pPr>
        <w:spacing w:after="140" w:before="160" w:line="276"/>
      </w:pPr>
      <w:r>
        <w:rPr>
          <w:b/>
          <w:bCs/>
        </w:rPr>
        <w:t xml:space="preserve">Note: </w:t>
      </w:r>
      <w:r>
        <w:rPr>
          <w:i/>
          <w:iCs/>
          <w:color w:val="5A6473"/>
          <w:sz w:val="20"/>
          <w:szCs w:val="20"/>
        </w:rPr>
        <w:t xml:space="preserve">the 100-day plan appears throughout as the opening phase of integration — never as the whole. The canonical integration horizon across all materials is 3–5 years; compressing it destroys value. The L1 capstone is the Integration Leadership Room (not a “war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98B4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20"/>
      <w:outlineLvl w:val="0"/>
    </w:pPr>
    <w:rPr>
      <w:rFonts w:ascii="Calibri" w:cs="Calibri" w:eastAsia="Calibri" w:hAnsi="Calibri"/>
      <w:b/>
      <w:bCs/>
      <w:color w:val="1B2A4A"/>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B2A4A"/>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A98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as Capability — Programme Blueprint</dc:title>
  <dc:creator>M&amp;A Leadership Institute</dc:creator>
  <cp:lastModifiedBy>Un-named</cp:lastModifiedBy>
  <cp:revision>1</cp:revision>
  <dcterms:created xsi:type="dcterms:W3CDTF">2026-06-27T17:08:32.707Z</dcterms:created>
  <dcterms:modified xsi:type="dcterms:W3CDTF">2026-06-27T17:08:32.707Z</dcterms:modified>
</cp:coreProperties>
</file>

<file path=docProps/custom.xml><?xml version="1.0" encoding="utf-8"?>
<Properties xmlns="http://schemas.openxmlformats.org/officeDocument/2006/custom-properties" xmlns:vt="http://schemas.openxmlformats.org/officeDocument/2006/docPropsVTypes"/>
</file>