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D7CA6" w14:textId="77777777" w:rsidR="00FA337D" w:rsidRDefault="00FA337D" w:rsidP="00FA337D">
      <w:pPr>
        <w:spacing w:line="480" w:lineRule="auto"/>
        <w:jc w:val="center"/>
        <w:rPr>
          <w:rFonts w:asciiTheme="majorBidi" w:eastAsia="SimSun" w:hAnsiTheme="majorBidi"/>
          <w:b/>
          <w:bCs/>
          <w:noProof/>
          <w:sz w:val="24"/>
          <w:szCs w:val="24"/>
          <w:u w:val="single"/>
        </w:rPr>
      </w:pPr>
      <w:bookmarkStart w:id="0" w:name="_GoBack"/>
    </w:p>
    <w:p w14:paraId="79D3DEF1" w14:textId="77777777" w:rsidR="00683ED9" w:rsidRDefault="00683ED9"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7A0A5ACE" w14:textId="77777777" w:rsidTr="009A0EC1">
        <w:trPr>
          <w:trHeight w:val="1268"/>
        </w:trPr>
        <w:tc>
          <w:tcPr>
            <w:tcW w:w="9900" w:type="dxa"/>
            <w:gridSpan w:val="3"/>
            <w:tcBorders>
              <w:top w:val="nil"/>
              <w:left w:val="nil"/>
              <w:bottom w:val="nil"/>
              <w:right w:val="nil"/>
            </w:tcBorders>
          </w:tcPr>
          <w:p w14:paraId="501CC04E" w14:textId="77777777" w:rsidR="001B666C" w:rsidRPr="00E40EB6" w:rsidRDefault="001B666C" w:rsidP="009A0EC1">
            <w:pPr>
              <w:pStyle w:val="Header"/>
              <w:jc w:val="center"/>
              <w:rPr>
                <w:rFonts w:asciiTheme="majorBidi" w:hAnsiTheme="majorBidi" w:cstheme="majorBidi"/>
                <w:sz w:val="38"/>
                <w:szCs w:val="38"/>
              </w:rPr>
            </w:pPr>
            <w:bookmarkStart w:id="1" w:name="_Toc412208499"/>
            <w:r w:rsidRPr="001B666C">
              <w:rPr>
                <w:rFonts w:asciiTheme="majorBidi" w:hAnsiTheme="majorBidi" w:cstheme="majorBidi"/>
                <w:sz w:val="38"/>
                <w:szCs w:val="38"/>
              </w:rPr>
              <w:t>Phishing Websites Features</w:t>
            </w:r>
          </w:p>
        </w:tc>
      </w:tr>
      <w:tr w:rsidR="001B666C" w:rsidRPr="000D4963" w14:paraId="3FD49572" w14:textId="77777777" w:rsidTr="009A0EC1">
        <w:trPr>
          <w:trHeight w:val="1346"/>
        </w:trPr>
        <w:tc>
          <w:tcPr>
            <w:tcW w:w="3600" w:type="dxa"/>
            <w:tcBorders>
              <w:top w:val="nil"/>
              <w:left w:val="nil"/>
              <w:bottom w:val="nil"/>
              <w:right w:val="nil"/>
            </w:tcBorders>
          </w:tcPr>
          <w:p w14:paraId="7A4A954E"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1A4ED6F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5D98639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3A309C3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75E61BC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17C4C923"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7364F264"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02B3ECC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4B8E567E"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2E990A53"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402DE7DF" w14:textId="77777777" w:rsidR="001B666C" w:rsidRPr="000D4963" w:rsidRDefault="008D1EAB"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3C25280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787E9D5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2C660C6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61F6E5D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57DC772B" w14:textId="77777777" w:rsidR="001B666C" w:rsidRPr="000D4963" w:rsidRDefault="008D1EAB"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1"/>
    <w:p w14:paraId="597614AC"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2203F7A8"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0D40B476"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0657D0D6"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71F35D88"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205828A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711CB7C7"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75C34C1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604A354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19EA4CBE" w14:textId="77777777" w:rsidR="00FA337D" w:rsidRPr="00BF5FDD" w:rsidRDefault="008D1EAB"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4C8EE319"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w:t>
      </w:r>
      <w:r w:rsidRPr="00F21452">
        <w:rPr>
          <w:rFonts w:eastAsia="SimSun"/>
          <w:color w:val="auto"/>
          <w:sz w:val="22"/>
          <w:szCs w:val="22"/>
          <w:lang w:val="en-AU" w:eastAsia="zh-CN"/>
        </w:rPr>
        <w:lastRenderedPageBreak/>
        <w:t xml:space="preserve">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20AB1A43" w14:textId="77777777" w:rsidR="00F21452" w:rsidRPr="00AB7A10" w:rsidRDefault="00F21452" w:rsidP="00F21452">
      <w:pPr>
        <w:pStyle w:val="Default"/>
        <w:ind w:left="360"/>
        <w:jc w:val="both"/>
        <w:rPr>
          <w:rFonts w:eastAsia="SimSun"/>
          <w:color w:val="auto"/>
          <w:sz w:val="20"/>
          <w:lang w:val="en-AU" w:eastAsia="zh-CN"/>
        </w:rPr>
      </w:pPr>
    </w:p>
    <w:p w14:paraId="5F1B508F"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35EE5E15" w14:textId="77777777" w:rsidR="00F21452" w:rsidRDefault="00F21452" w:rsidP="00F21452">
      <w:pPr>
        <w:pStyle w:val="Default"/>
        <w:ind w:left="360"/>
        <w:jc w:val="both"/>
        <w:rPr>
          <w:rFonts w:eastAsia="SimSun"/>
          <w:color w:val="auto"/>
          <w:sz w:val="20"/>
          <w:lang w:val="en-AU" w:eastAsia="zh-CN"/>
        </w:rPr>
      </w:pPr>
    </w:p>
    <w:p w14:paraId="149C2732"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45985B4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00F3139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0842EB9C"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0A55872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0E2ED37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3572B0A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BF04FB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1D2E516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14F5D24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590E348"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126C13C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574086B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17D4C95"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1EEFE71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74822E7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413D2010"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6103CC7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69C7FC7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382C8DF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204FDDF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3302B89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A6FBE91" w14:textId="77777777" w:rsidR="00FA337D" w:rsidRPr="00FE356F" w:rsidRDefault="00FA337D" w:rsidP="00FA337D">
      <w:pPr>
        <w:pStyle w:val="Default"/>
        <w:spacing w:after="120"/>
        <w:jc w:val="both"/>
        <w:rPr>
          <w:rFonts w:eastAsia="SimSun"/>
          <w:color w:val="auto"/>
          <w:sz w:val="22"/>
          <w:szCs w:val="22"/>
          <w:lang w:val="en-AU" w:eastAsia="zh-CN"/>
        </w:rPr>
      </w:pPr>
    </w:p>
    <w:p w14:paraId="7BEE6803"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041922C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5358883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66E378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4D5489C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3F35CA4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D9D7709"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2B7C867B" w14:textId="77777777" w:rsidTr="00771369">
        <w:trPr>
          <w:jc w:val="center"/>
        </w:trPr>
        <w:tc>
          <w:tcPr>
            <w:tcW w:w="824" w:type="dxa"/>
            <w:shd w:val="clear" w:color="auto" w:fill="D9D9D9" w:themeFill="background1" w:themeFillShade="D9"/>
            <w:vAlign w:val="center"/>
            <w:hideMark/>
          </w:tcPr>
          <w:p w14:paraId="6CEC500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40C84DB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5F59CEC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135E80B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6AE91AB4" w14:textId="77777777" w:rsidTr="00771369">
        <w:trPr>
          <w:jc w:val="center"/>
        </w:trPr>
        <w:tc>
          <w:tcPr>
            <w:tcW w:w="824" w:type="dxa"/>
            <w:shd w:val="clear" w:color="auto" w:fill="FFFFFF" w:themeFill="background1"/>
            <w:vAlign w:val="center"/>
            <w:hideMark/>
          </w:tcPr>
          <w:p w14:paraId="633FF7A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280C626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E283E7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68F06F4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9DB228C" w14:textId="77777777" w:rsidTr="00771369">
        <w:trPr>
          <w:jc w:val="center"/>
        </w:trPr>
        <w:tc>
          <w:tcPr>
            <w:tcW w:w="824" w:type="dxa"/>
            <w:shd w:val="clear" w:color="auto" w:fill="FFFFFF" w:themeFill="background1"/>
            <w:vAlign w:val="center"/>
            <w:hideMark/>
          </w:tcPr>
          <w:p w14:paraId="0BB2628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557AA7B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D7FF23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107B00D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B7D43F7" w14:textId="77777777" w:rsidTr="00771369">
        <w:trPr>
          <w:jc w:val="center"/>
        </w:trPr>
        <w:tc>
          <w:tcPr>
            <w:tcW w:w="824" w:type="dxa"/>
            <w:shd w:val="clear" w:color="auto" w:fill="FFFFFF" w:themeFill="background1"/>
            <w:vAlign w:val="center"/>
            <w:hideMark/>
          </w:tcPr>
          <w:p w14:paraId="46C93FC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31A0BD3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7E87AD7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36176B5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4C7867A" w14:textId="77777777" w:rsidTr="00771369">
        <w:trPr>
          <w:jc w:val="center"/>
        </w:trPr>
        <w:tc>
          <w:tcPr>
            <w:tcW w:w="824" w:type="dxa"/>
            <w:shd w:val="clear" w:color="auto" w:fill="FFFFFF" w:themeFill="background1"/>
            <w:vAlign w:val="center"/>
            <w:hideMark/>
          </w:tcPr>
          <w:p w14:paraId="4FA53B6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10E42AF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1C50418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4DEFD4E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19E75F3B" w14:textId="77777777" w:rsidTr="00771369">
        <w:trPr>
          <w:jc w:val="center"/>
        </w:trPr>
        <w:tc>
          <w:tcPr>
            <w:tcW w:w="824" w:type="dxa"/>
            <w:shd w:val="clear" w:color="auto" w:fill="FFFFFF" w:themeFill="background1"/>
            <w:vAlign w:val="center"/>
            <w:hideMark/>
          </w:tcPr>
          <w:p w14:paraId="757EA0A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15E6189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3749036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0713B3D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3BCCEB49" w14:textId="77777777" w:rsidTr="00771369">
        <w:trPr>
          <w:jc w:val="center"/>
        </w:trPr>
        <w:tc>
          <w:tcPr>
            <w:tcW w:w="824" w:type="dxa"/>
            <w:shd w:val="clear" w:color="auto" w:fill="FFFFFF" w:themeFill="background1"/>
            <w:vAlign w:val="center"/>
            <w:hideMark/>
          </w:tcPr>
          <w:p w14:paraId="5C3D144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2E3FCA5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6041A68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519E2A6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48EE5BDB" w14:textId="77777777" w:rsidTr="00771369">
        <w:trPr>
          <w:jc w:val="center"/>
        </w:trPr>
        <w:tc>
          <w:tcPr>
            <w:tcW w:w="824" w:type="dxa"/>
            <w:shd w:val="clear" w:color="auto" w:fill="FFFFFF" w:themeFill="background1"/>
            <w:vAlign w:val="center"/>
            <w:hideMark/>
          </w:tcPr>
          <w:p w14:paraId="3F6B28C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0D07812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3F1A2F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180668C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D5C2CAF" w14:textId="77777777" w:rsidTr="00771369">
        <w:trPr>
          <w:jc w:val="center"/>
        </w:trPr>
        <w:tc>
          <w:tcPr>
            <w:tcW w:w="824" w:type="dxa"/>
            <w:shd w:val="clear" w:color="auto" w:fill="FFFFFF" w:themeFill="background1"/>
            <w:vAlign w:val="center"/>
            <w:hideMark/>
          </w:tcPr>
          <w:p w14:paraId="7B46B7E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630AD0F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31008EA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7D6D18C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1593F0F5" w14:textId="77777777" w:rsidTr="00771369">
        <w:trPr>
          <w:jc w:val="center"/>
        </w:trPr>
        <w:tc>
          <w:tcPr>
            <w:tcW w:w="824" w:type="dxa"/>
            <w:shd w:val="clear" w:color="auto" w:fill="FFFFFF" w:themeFill="background1"/>
            <w:vAlign w:val="center"/>
            <w:hideMark/>
          </w:tcPr>
          <w:p w14:paraId="342B1DC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lastRenderedPageBreak/>
              <w:t>3306</w:t>
            </w:r>
          </w:p>
        </w:tc>
        <w:tc>
          <w:tcPr>
            <w:tcW w:w="1273" w:type="dxa"/>
            <w:shd w:val="clear" w:color="auto" w:fill="FFFFFF" w:themeFill="background1"/>
            <w:vAlign w:val="center"/>
            <w:hideMark/>
          </w:tcPr>
          <w:p w14:paraId="75230E5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5CEA541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24A97FA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B47E6DD" w14:textId="77777777" w:rsidTr="00771369">
        <w:trPr>
          <w:jc w:val="center"/>
        </w:trPr>
        <w:tc>
          <w:tcPr>
            <w:tcW w:w="824" w:type="dxa"/>
            <w:shd w:val="clear" w:color="auto" w:fill="FFFFFF" w:themeFill="background1"/>
            <w:vAlign w:val="center"/>
            <w:hideMark/>
          </w:tcPr>
          <w:p w14:paraId="678FAA1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0D7C177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6C9CAFB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520D822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4070A96A" w14:textId="77777777" w:rsidR="00FA337D" w:rsidRDefault="00FA337D" w:rsidP="00FA337D">
      <w:pPr>
        <w:pStyle w:val="Default"/>
        <w:rPr>
          <w:rFonts w:asciiTheme="majorBidi" w:eastAsia="SimSun" w:hAnsiTheme="majorBidi" w:cstheme="majorBidi"/>
          <w:i/>
          <w:iCs/>
          <w:color w:val="auto"/>
          <w:u w:val="single"/>
          <w:lang w:val="en-AU" w:eastAsia="zh-CN"/>
        </w:rPr>
      </w:pPr>
    </w:p>
    <w:p w14:paraId="3D202E8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The Existence of “HTTPS” Token in the Domain Part of the URL</w:t>
      </w:r>
    </w:p>
    <w:p w14:paraId="16A60E3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7B7D3D8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EAD8E07"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14:paraId="332E684D"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16642FF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1C8FB52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5024432C" w14:textId="77777777" w:rsidR="00FA337D" w:rsidRPr="00FE356F" w:rsidRDefault="00FA337D" w:rsidP="00FA337D">
      <w:pPr>
        <w:pStyle w:val="Default"/>
        <w:spacing w:after="120"/>
        <w:jc w:val="both"/>
        <w:rPr>
          <w:rFonts w:eastAsia="SimSun"/>
          <w:color w:val="auto"/>
          <w:sz w:val="22"/>
          <w:szCs w:val="22"/>
          <w:lang w:val="en-AU" w:eastAsia="zh-CN"/>
        </w:rPr>
      </w:pPr>
    </w:p>
    <w:p w14:paraId="1A31D1D1"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044B08C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4D9DA46C"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33B9980E"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720B1C3C"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2F47311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59342789"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40DD923A"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0F3FA4A6"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179C2529"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5C4A59DA"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2B65F6B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01B74B6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FD4CF10" w14:textId="77777777" w:rsidR="00FA337D" w:rsidRPr="00FE356F" w:rsidRDefault="00FA337D" w:rsidP="00FA337D">
      <w:pPr>
        <w:pStyle w:val="Default"/>
        <w:spacing w:after="120"/>
        <w:jc w:val="both"/>
        <w:rPr>
          <w:rFonts w:eastAsia="SimSun"/>
          <w:color w:val="auto"/>
          <w:sz w:val="22"/>
          <w:szCs w:val="22"/>
          <w:lang w:val="en-AU" w:eastAsia="zh-CN"/>
        </w:rPr>
      </w:pPr>
    </w:p>
    <w:p w14:paraId="52188370"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Server Form Handler (SFH)</w:t>
      </w:r>
    </w:p>
    <w:p w14:paraId="11773C6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2653FCCD"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F161AB6"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0E0BBAF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730F8F15"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36F1092C"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57F9B03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20EA99B5"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3177929"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14:paraId="169013E1"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30576D7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25102A94"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83E4541"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07F3D87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30C4C8E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085C97DF"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633AF7D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6842C4E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64899F6C"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Using Pop-up Window</w:t>
      </w:r>
    </w:p>
    <w:p w14:paraId="0EB5DE9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7228C6A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2158F9CA"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6D73720D"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00EB5B5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01C64A2"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14:paraId="3C4D8BFF"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06007F38"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5C1D490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6A888363"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12255CF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3E6CF83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57BAA40"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243F49A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2AF9041A"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2E1F2606"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7C02801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w:t>
      </w:r>
      <w:r w:rsidRPr="00BF5FDD">
        <w:rPr>
          <w:rFonts w:eastAsia="SimSun"/>
          <w:color w:val="auto"/>
          <w:sz w:val="22"/>
          <w:szCs w:val="22"/>
          <w:lang w:val="en-AU" w:eastAsia="zh-CN"/>
        </w:rPr>
        <w:lastRenderedPageBreak/>
        <w:t xml:space="preserve">find that about 95% of phishing webpages have no PageRank. Moreover, we find that the remaining 5% of phishing webpages may reach a PageRank value up to “0.2”. </w:t>
      </w:r>
    </w:p>
    <w:p w14:paraId="06F87F8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0641D024"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25DAA3F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4FD1C925"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3E1E7F0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32FC5A0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1615BB1F"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5AB8572C"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6CF514B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11279EC0"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bookmarkEnd w:id="0"/>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7D"/>
    <w:rsid w:val="000C1E21"/>
    <w:rsid w:val="00141B44"/>
    <w:rsid w:val="001B666C"/>
    <w:rsid w:val="002102A5"/>
    <w:rsid w:val="00262FDE"/>
    <w:rsid w:val="002E5064"/>
    <w:rsid w:val="00461CF7"/>
    <w:rsid w:val="004C7039"/>
    <w:rsid w:val="005E34B2"/>
    <w:rsid w:val="00683ED9"/>
    <w:rsid w:val="006A207E"/>
    <w:rsid w:val="00774C4C"/>
    <w:rsid w:val="008B3462"/>
    <w:rsid w:val="008D1EAB"/>
    <w:rsid w:val="00A313F2"/>
    <w:rsid w:val="00C74914"/>
    <w:rsid w:val="00D50E61"/>
    <w:rsid w:val="00E348D4"/>
    <w:rsid w:val="00E7513B"/>
    <w:rsid w:val="00EE198D"/>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93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daddy.com/gdshop/ssl/ssl.asp?isc=BESTSSL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adi@cud.ac.ae" TargetMode="External"/><Relationship Id="rId7" Type="http://schemas.openxmlformats.org/officeDocument/2006/relationships/hyperlink" Target="mailto:t.l.mccluskey@hud.ac.uk" TargetMode="External"/><Relationship Id="rId8" Type="http://schemas.openxmlformats.org/officeDocument/2006/relationships/hyperlink" Target="http://125.98.3.123/fake.html" TargetMode="External"/><Relationship Id="rId9" Type="http://schemas.openxmlformats.org/officeDocument/2006/relationships/hyperlink" Target="http://0x58.0xCC.0xCA.0x62/2/paypal.ca/index.html" TargetMode="External"/><Relationship Id="rId10" Type="http://schemas.openxmlformats.org/officeDocument/2006/relationships/hyperlink" Target="http://federmacedoadv.com.br/3f/aze/ab51e2e319e51502f416dbe46b773a5e/?cmd=_home&amp;amp;dispatch=11004d58f5b74f8dc1e7c2e8dd4105e811004d58f5b74f8dc1e7c2e8dd4105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7935EA3E-4C63-D14A-BD78-69EA7BD30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2678</Words>
  <Characters>15268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Roy, Nishant</cp:lastModifiedBy>
  <cp:revision>2</cp:revision>
  <cp:lastPrinted>2015-05-31T20:19:00Z</cp:lastPrinted>
  <dcterms:created xsi:type="dcterms:W3CDTF">2017-02-06T05:52:00Z</dcterms:created>
  <dcterms:modified xsi:type="dcterms:W3CDTF">2017-02-06T05:52:00Z</dcterms:modified>
</cp:coreProperties>
</file>