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Consolidation Heuristic (PCH)</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Prabhakar Consolidation Heuristic ("PCH") is a fast, greedy shipment-consolidation algorithm for logistics and distribution networks. Given a depot, a list of stops (each with coordinates, demand, customer tier, service-level-agreement urgency, and carbon intensity), and vehicle constraints (capacity, maximum route duration, average speed, and per-stop service time), PCH re-plans the stops into a smaller number of consolidated routes and reports the distance saved relative to running every stop as its own round trip.</w:t>
      </w:r>
    </w:p>
    <w:p>
      <w:pPr>
        <w:spacing w:after="160"/>
      </w:pPr>
      <w:r>
        <w:rPr>
          <w:b/>
          <w:bCs/>
        </w:rPr>
        <w:t xml:space="preserve">The honest framing, stated up front and preserved throughout this document:</w:t>
      </w:r>
      <w:r>
        <w:t xml:space="preserve"> PCH is a composite of two components with very different provenance. Its routing backbone — computing pairwise "savings" between stops and greedily merging the pairs with the largest savings — is the </w:t>
      </w:r>
      <w:r>
        <w:rPr>
          <w:b/>
          <w:bCs/>
        </w:rPr>
        <w:t xml:space="preserve">Clarke-Wright savings algorithm</w:t>
      </w:r>
      <w:r>
        <w:t xml:space="preserve">, a well-established vehicle-routing technique published by G. Clarke and J. W. Wright in 1964 and taught in essentially every operations-research (OR) and vehicle-routing-problem (VRP) curriculum since. That backbone is decades old, publicly documented, and is </w:t>
      </w:r>
      <w:r>
        <w:rPr>
          <w:b/>
          <w:bCs/>
        </w:rPr>
        <w:t xml:space="preserve">not</w:t>
      </w:r>
      <w:r>
        <w:t xml:space="preserve"> attributed to Nishant Prabhakar as an original contribution.</w:t>
      </w:r>
    </w:p>
    <w:p>
      <w:pPr>
        <w:spacing w:after="160"/>
      </w:pPr>
      <w:r>
        <w:t xml:space="preserve">What </w:t>
      </w:r>
      <w:r>
        <w:rPr>
          <w:b/>
          <w:bCs/>
        </w:rPr>
        <w:t xml:space="preserve">is</w:t>
      </w:r>
      <w:r>
        <w:t xml:space="preserve"> original, and is the actual subject of the "Prabhakar Consolidation Heuristic" name, is a </w:t>
      </w:r>
      <w:r>
        <w:rPr>
          <w:b/>
          <w:bCs/>
        </w:rPr>
        <w:t xml:space="preserve">priority-weighting overlay</w:t>
      </w:r>
      <w:r>
        <w:t xml:space="preserve"> applied before the greedy merge loop runs: a multiplicative, business-priority adjustment — built from customer tier, SLA urgency, and carbon intensity — that re-ranks which merge opportunities get acted on first when several are geometrically similar. Raw distance savings alone cannot express the fact that protecting a premium customer's tight delivery window, or consolidating a disproportionately carbon-intensive shipment, may be worth acting on before a larger but lower-priority merge. That re-ranking logic — not the savings-matrix mathematics underneath it — is Nishant Prabhakar's contribution and the asset this document is written to support the valuation of.</w:t>
      </w:r>
    </w:p>
    <w:p>
      <w:pPr>
        <w:spacing w:after="160"/>
      </w:pPr>
      <w:r>
        <w:t xml:space="preserve">For a valuer, licensing counterparty, or IP attorney reviewing this as an asset, the practical takeaway is: do not value the Clarke-Wright routing math — it is prior art available to anyone. Value the priority-weighting overlay, its specific formulation (three independent multipliers, each centered near 1.0, combined multiplicatively and averaged across the two stops in a candidate pair), and its demonstrated effect on merge ordering, which is documented with a real worked example later in this paper.</w:t>
      </w:r>
    </w:p>
    <w:p>
      <w:pPr>
        <w:pStyle w:val="Heading1"/>
        <w:spacing w:after="120" w:before="240"/>
      </w:pPr>
      <w:r>
        <w:t xml:space="preserve">2. Purpose and Positioning</w:t>
      </w:r>
    </w:p>
    <w:p>
      <w:pPr>
        <w:spacing w:after="160"/>
      </w:pPr>
      <w:r>
        <w:t xml:space="preserve">PCH is a </w:t>
      </w:r>
      <w:r>
        <w:rPr>
          <w:b/>
          <w:bCs/>
        </w:rPr>
        <w:t xml:space="preserve">fast, good-enough greedy heuristic for shipment consolidation</w:t>
      </w:r>
      <w:r>
        <w:t xml:space="preserve"> — not a promise of a globally optimal route plan. Its backbone — computing pairwise merge "savings" between stops and greedily combining routes — is the Clarke-Wright savings algorithm, a well-established vehicle-routing technique from the operations-research literature (Clarke &amp; Wright, 1964). That backbone is decades old, widely taught, and, to state it once more plainly because it is the load-bearing fact of this entire document: </w:t>
      </w:r>
      <w:r>
        <w:rPr>
          <w:b/>
          <w:bCs/>
        </w:rPr>
        <w:t xml:space="preserve">not attributed to Nishant Prabhakar.</w:t>
      </w:r>
    </w:p>
    <w:p>
      <w:pPr>
        <w:spacing w:after="160"/>
      </w:pPr>
      <w:r>
        <w:t xml:space="preserve">Exact vehicle-routing (VRP) solving is NP-hard. No fast heuristic, including this one, guarantees the mathematically optimal set of routes for anything but small toy instances. Savings-algorithm heuristics are well known to land in a "good enough, fast enough" zone — the honest gap versus true optimal is quantified in Section 9 of this document. What is proprietary here, and what "Prabhakar Consolidation Heuristic" actually names, is the priority-weighting overlay: a business-priority layer (customer tier, SLA urgency, carbon-impact-per-unit-saved) that decides which merges to act on first when several are geometrically similar, instead of ranking purely by raw distance savings. That overlay — not the savings-matrix backbone — is Nishant Prabhakar's contribution.</w:t>
      </w:r>
    </w:p>
    <w:p>
      <w:pPr>
        <w:spacing w:after="160"/>
      </w:pPr>
      <w:r>
        <w:t xml:space="preserve">PCH is packaged alongside a separate, related diagnostic tool — the Prabhakar Logistics Network Efficiency Score (PLNES) — which scores an existing network's current operating health across six weighted pillars (capacity utilization, cost efficiency, service reliability, empty-mile ratio, network density/consolidation potential, and sustainability). PLNES and PCH answer different questions: PLNES tells an operator whether consolidation is worth pursuing at all (its Network Density pillar previews unrealized consolidation potential); PCH is what actually pursues it, against a real shipment list and real constraints. PLNES is covered by a separate whitepaper and is not the subject of this document; it is mentioned here only because the two tools are bundled in the same skill and because Section 9 notes a specific interaction between them.</w:t>
      </w:r>
    </w:p>
    <w:p>
      <w:pPr>
        <w:pStyle w:val="Heading1"/>
        <w:spacing w:after="120" w:before="240"/>
      </w:pPr>
      <w:r>
        <w:t xml:space="preserve">3. The Clarke-Wright Savings Backbone (Not Proprietary)</w:t>
      </w:r>
    </w:p>
    <w:p>
      <w:pPr>
        <w:spacing w:after="160"/>
      </w:pPr>
      <w:r>
        <w:t xml:space="preserve">For every pair of stops i, j (excluding the depot), PCH computes the classic Clarke-Wright savings value:</w:t>
      </w:r>
    </w:p>
    <w:p>
      <w:pPr>
        <w:spacing w:after="160"/>
        <w:jc w:val="center"/>
      </w:pPr>
      <w:r>
        <w:rPr>
          <w:b/>
          <w:bCs/>
        </w:rPr>
        <w:t xml:space="preserve">S(i,j) = cost(depot,i) + cost(depot,j) − cost(depot,i,j)</w:t>
      </w:r>
    </w:p>
    <w:p>
      <w:pPr>
        <w:spacing w:after="160"/>
      </w:pPr>
      <w:r>
        <w:t xml:space="preserve">where cost(depot,i,j) is read as the cost (here, distance) of visiting i and j directly in sequence instead of returning to the depot between them — i.e. cost(depot,i,j) = dist(i,j), so:</w:t>
      </w:r>
    </w:p>
    <w:p>
      <w:pPr>
        <w:spacing w:after="160"/>
        <w:jc w:val="center"/>
      </w:pPr>
      <w:r>
        <w:rPr>
          <w:b/>
          <w:bCs/>
        </w:rPr>
        <w:t xml:space="preserve">S(i,j) = dist(depot,i) + dist(depot,j) − dist(i,j)</w:t>
      </w:r>
    </w:p>
    <w:p>
      <w:pPr>
        <w:spacing w:after="160"/>
      </w:pPr>
      <w:r>
        <w:t xml:space="preserve">S(i,j) is the distance saved by merging two single-stop round trips (depot→i→depot and depot→j→depot) into one combined trip that visits both. This step is entirely standard OR — the same formula appears in the original 1964 Clarke &amp; Wright paper and in essentially every vehicle-routing textbook since. No claim of originality attaches to this formula, its derivation, or its use here; it is reproduced in full because the priority-weighting overlay described in Section 4 operates directly on its output, and a reader cannot evaluate the overlay's contribution without seeing exactly what it is modifying.</w:t>
      </w:r>
    </w:p>
    <w:p>
      <w:pPr>
        <w:pStyle w:val="Heading1"/>
        <w:spacing w:after="120" w:before="240"/>
      </w:pPr>
      <w:r>
        <w:t xml:space="preserve">4. The Proprietary Priority-Weighting Overlay</w:t>
      </w:r>
    </w:p>
    <w:p>
      <w:pPr>
        <w:spacing w:after="160"/>
      </w:pPr>
      <w:r>
        <w:t xml:space="preserve">Raw savings alone treats every merge opportunity as equally worth pursuing if the distance math is similar. In practice, a business rarely wants that: a large merge opportunity between two low-priority, slack-SLA shipments isn't necessarily more valuable to act on first than a smaller merge that happens to protect a premium customer's delivery window. The Prabhakar Consolidation Heuristic re-ranks merge candidates by a priority-weighting overlay before the greedy loop runs:</w:t>
      </w:r>
    </w:p>
    <w:p>
      <w:pPr>
        <w:spacing w:after="160"/>
        <w:jc w:val="center"/>
      </w:pPr>
      <w:r>
        <w:rPr>
          <w:b/>
          <w:bCs/>
        </w:rPr>
        <w:t xml:space="preserve">adjusted_savings(i,j) = S(i,j) × priorityWeight(i,j)</w:t>
      </w:r>
    </w:p>
    <w:p>
      <w:pPr>
        <w:spacing w:after="160"/>
      </w:pPr>
      <w:r>
        <w:t xml:space="preserve">priorityWeight(i,j) is the average, across the two stops, of three independent multipliers — customer tier, SLA urgency, and carbon intensity — each centered near 1.0 so the overlay scales raw savings up or down rather than overwhelming the underlying distance math:</w:t>
      </w:r>
    </w:p>
    <w:p>
      <w:pPr>
        <w:spacing w:after="160"/>
        <w:jc w:val="center"/>
      </w:pPr>
      <w:r>
        <w:rPr>
          <w:b/>
          <w:bCs/>
        </w:rPr>
        <w:t xml:space="preserve">priorityWeight(i,j) = tierFactor(i,j) × urgencyFactor(i,j) × carbonFactor(i,j)</w:t>
      </w:r>
    </w:p>
    <w:p>
      <w:pPr>
        <w:spacing w:after="160"/>
      </w:pPr>
      <w:r>
        <w:t xml:space="preserve">tierFactor(i,j) = avg( tierMultiplier(tier</w:t>
      </w:r>
      <w:r>
        <w:rPr>
          <w:i/>
          <w:iCs/>
        </w:rPr>
        <w:t xml:space="preserve">i), tierMultiplier(tier</w:t>
      </w:r>
      <w:r>
        <w:t xml:space="preserve">j) )</w:t>
      </w:r>
    </w:p>
    <w:p>
      <w:pPr>
        <w:spacing w:after="160"/>
      </w:pPr>
      <w:r>
        <w:t xml:space="preserve">urgencyFactor(i,j) = avg( urgencyMultiplier(sla</w:t>
      </w:r>
      <w:r>
        <w:rPr>
          <w:i/>
          <w:iCs/>
        </w:rPr>
        <w:t xml:space="preserve">i), urgencyMultiplier(sla</w:t>
      </w:r>
      <w:r>
        <w:t xml:space="preserve">j) )</w:t>
      </w:r>
    </w:p>
    <w:p>
      <w:pPr>
        <w:spacing w:after="160"/>
      </w:pPr>
      <w:r>
        <w:t xml:space="preserve">carbonFactor(i,j) = avg( carbonMultiplier(carbon</w:t>
      </w:r>
      <w:r>
        <w:rPr>
          <w:i/>
          <w:iCs/>
        </w:rPr>
        <w:t xml:space="preserve">i), carbonMultiplier(carbon</w:t>
      </w:r>
      <w:r>
        <w:t xml:space="preserve">j) )</w:t>
      </w:r>
    </w:p>
    <w:p>
      <w:pPr>
        <w:pStyle w:val="Heading2"/>
        <w:spacing w:after="120" w:before="240"/>
      </w:pPr>
      <w:r>
        <w:t xml:space="preserve">4.1 Tier Multiplier</w:t>
      </w:r>
    </w:p>
    <w:p>
      <w:pPr>
        <w:spacing w:after="160"/>
      </w:pPr>
      <w:r>
        <w:t xml:space="preserve">Premium customers' shipments get weighted up so their routes are consolidated or protected first.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Tier</w:t>
            </w:r>
          </w:p>
        </w:tc>
        <w:tc>
          <w:tcPr>
            <w:shd w:fill="1B2A4A" w:val="solid"/>
          </w:tcPr>
          <w:p>
            <w:r>
              <w:rPr>
                <w:b/>
                <w:bCs/>
                <w:color w:val="FFFFFF"/>
              </w:rPr>
              <w:t xml:space="preserve">Multiplier</w:t>
            </w:r>
          </w:p>
        </w:tc>
      </w:tr>
      <w:tr>
        <w:tc>
          <w:p>
            <w:r>
              <w:t xml:space="preserve">premium</w:t>
            </w:r>
          </w:p>
        </w:tc>
        <w:tc>
          <w:p>
            <w:r>
              <w:t xml:space="preserve">1.4</w:t>
            </w:r>
          </w:p>
        </w:tc>
      </w:tr>
      <w:tr>
        <w:tc>
          <w:tcPr>
            <w:shd w:fill="F3F4F6" w:val="solid"/>
          </w:tcPr>
          <w:p>
            <w:r>
              <w:t xml:space="preserve">standard</w:t>
            </w:r>
          </w:p>
        </w:tc>
        <w:tc>
          <w:tcPr>
            <w:shd w:fill="F3F4F6" w:val="solid"/>
          </w:tcPr>
          <w:p>
            <w:r>
              <w:t xml:space="preserve">1.0</w:t>
            </w:r>
          </w:p>
        </w:tc>
      </w:tr>
      <w:tr>
        <w:tc>
          <w:p>
            <w:r>
              <w:t xml:space="preserve">budget</w:t>
            </w:r>
          </w:p>
        </w:tc>
        <w:tc>
          <w:p>
            <w:r>
              <w:t xml:space="preserve">0.75</w:t>
            </w:r>
          </w:p>
        </w:tc>
      </w:tr>
    </w:tbl>
    <w:p>
      <w:pPr>
        <w:pStyle w:val="Heading2"/>
        <w:spacing w:after="120" w:before="240"/>
      </w:pPr>
      <w:r>
        <w:t xml:space="preserve">4.2 Urgency Multiplier</w:t>
      </w:r>
    </w:p>
    <w:p>
      <w:pPr>
        <w:spacing w:after="160"/>
      </w:pPr>
      <w:r>
        <w:t xml:space="preserve">Tighter SLA (fewer hours to deadline) weights up, via piecewise-linear interpolation (lerp) on hours-to-deadline:</w:t>
      </w:r>
    </w:p>
    <w:p>
      <w:pPr>
        <w:spacing w:after="160"/>
        <w:jc w:val="center"/>
      </w:pPr>
      <w:r>
        <w:rPr>
          <w:b/>
          <w:bCs/>
        </w:rPr>
        <w:t xml:space="preserve">urgencyMultiplier(slaHours) = lerp(slaHours, [[2,1.5],[8,1.3],[24,1.0],[72,0.85],[168,0.7]])</w:t>
      </w:r>
    </w:p>
    <w:p>
      <w:pPr>
        <w:spacing w:after="160"/>
      </w:pPr>
      <w:r>
        <w:t xml:space="preserve">A shipment with a 4-hour SLA window is under real time pressure — merging it into a well-planned route now (rather than leaving it to whatever the raw distance math gets around to) has outsized value. A 1-week-window shipment can safely wait its turn.</w:t>
      </w:r>
    </w:p>
    <w:p>
      <w:pPr>
        <w:pStyle w:val="Heading2"/>
        <w:spacing w:after="120" w:before="240"/>
      </w:pPr>
      <w:r>
        <w:t xml:space="preserve">4.3 Carbon Multiplier</w:t>
      </w:r>
    </w:p>
    <w:p>
      <w:pPr>
        <w:spacing w:after="160"/>
      </w:pPr>
      <w:r>
        <w:t xml:space="preserve">This is the sustainability-conscious weighting. Shipments with a higher carbon intensity per km (heavier vehicles, less efficient modes) get weighted up, because consolidating those shipments removes more CO2e per km of empty running eliminated — the carbon payoff per unit of distance saved is larger:</w:t>
      </w:r>
    </w:p>
    <w:p>
      <w:pPr>
        <w:spacing w:after="160"/>
        <w:jc w:val="center"/>
      </w:pPr>
      <w:r>
        <w:rPr>
          <w:b/>
          <w:bCs/>
        </w:rPr>
        <w:t xml:space="preserve">carbonMultiplier(carbonKgCo2ePerKm) = lerp(carbonKgCo2ePerKm, [[0.05,0.85],[0.15,1.0],[0.3,1.2],[0.5,1.4]])</w:t>
      </w:r>
    </w:p>
    <w:p>
      <w:pPr>
        <w:spacing w:after="160"/>
      </w:pPr>
      <w:r>
        <w:t xml:space="preserve">Taken together, these three multipliers are the entirety of the claimed intellectual property in PCH. They are deliberately independent (a stop's tier says nothing about its urgency or carbon intensity), deliberately averaged rather than summed across the two stops in a candidate pair (so one extreme stop cannot single-handedly dominate a pairing with a completely unremarkable one), and deliberately centered near 1.0 (so the overlay nudges the Clarke-Wright ordering rather than replacing it outright). The specific anchor values in each multiplier — e.g., why a 4-hour SLA earns 1.3 rather than 1.5, or why carbon intensity tops out its multiplier at 0.5 kg CO2e/km — are calibration choices, not laws of nature; they are versioned (Section 10) precisely so that a stated PCH result stays reproducible and auditable rather than silently drifting.</w:t>
      </w:r>
    </w:p>
    <w:p>
      <w:pPr>
        <w:pStyle w:val="Heading1"/>
        <w:spacing w:after="120" w:before="240"/>
      </w:pPr>
      <w:r>
        <w:t xml:space="preserve">5. The Greedy Merge Algorithm</w:t>
      </w:r>
    </w:p>
    <w:p>
      <w:pPr>
        <w:spacing w:after="160"/>
      </w:pPr>
      <w:r>
        <w:t xml:space="preserve">Once every pair of stops has both a raw savings value S(i,j) and an adjusted_savings(i,j), PCH runs a greedy merge loop that is procedurally faithful to Clarke-Wright (merges happen at route endpoints only) but is driven by the priority-weighted ordering rather than the raw one:</w:t>
      </w:r>
    </w:p>
    <w:p>
      <w:pPr>
        <w:pStyle w:val="ListParagraph"/>
        <w:numPr>
          <w:ilvl w:val="0"/>
          <w:numId w:val="2"/>
        </w:numPr>
        <w:spacing w:after="60"/>
      </w:pPr>
      <w:r>
        <w:t xml:space="preserve">Compute S(i,j) and adjusted_savings(i,j) for every stop pair.</w:t>
      </w:r>
    </w:p>
    <w:p>
      <w:pPr>
        <w:pStyle w:val="ListParagraph"/>
        <w:numPr>
          <w:ilvl w:val="0"/>
          <w:numId w:val="2"/>
        </w:numPr>
        <w:spacing w:after="60"/>
      </w:pPr>
      <w:r>
        <w:t xml:space="preserve">Sort all pairs by adjusted_savings descending.</w:t>
      </w:r>
    </w:p>
    <w:p>
      <w:pPr>
        <w:pStyle w:val="ListParagraph"/>
        <w:numPr>
          <w:ilvl w:val="0"/>
          <w:numId w:val="2"/>
        </w:numPr>
        <w:spacing w:after="60"/>
      </w:pPr>
      <w:r>
        <w:t xml:space="preserve">Initialize every stop as its own single-stop route (depot → stop → depot).</w:t>
      </w:r>
    </w:p>
    <w:p>
      <w:pPr>
        <w:pStyle w:val="ListParagraph"/>
        <w:numPr>
          <w:ilvl w:val="0"/>
          <w:numId w:val="2"/>
        </w:numPr>
        <w:spacing w:after="60"/>
      </w:pPr>
      <w:r>
        <w:t xml:space="preserve">Walk the sorted list. For each pair (i,j) with adjusted_savings &gt; 0:</w:t>
      </w:r>
    </w:p>
    <w:p>
      <w:pPr>
        <w:pStyle w:val="ListParagraph"/>
        <w:numPr>
          <w:ilvl w:val="1"/>
          <w:numId w:val="2"/>
        </w:numPr>
        <w:spacing w:after="60"/>
      </w:pPr>
      <w:r>
        <w:t xml:space="preserve">Skip if i and j are already in the same route (merging them would close a loop, not extend a route).</w:t>
      </w:r>
    </w:p>
    <w:p>
      <w:pPr>
        <w:pStyle w:val="ListParagraph"/>
        <w:numPr>
          <w:ilvl w:val="1"/>
          <w:numId w:val="2"/>
        </w:numPr>
        <w:spacing w:after="60"/>
      </w:pPr>
      <w:r>
        <w:t xml:space="preserve">Skip if either i or j is no longer a route endpoint (Clarke-Wright only merges at the two open ends of a route chain — an interior stop is already locked between two other stops).</w:t>
      </w:r>
    </w:p>
    <w:p>
      <w:pPr>
        <w:pStyle w:val="ListParagraph"/>
        <w:numPr>
          <w:ilvl w:val="1"/>
          <w:numId w:val="2"/>
        </w:numPr>
        <w:spacing w:after="60"/>
      </w:pPr>
      <w:r>
        <w:t xml:space="preserve">Skip if the combined demand of the two routes would exceed vehicle capacity.</w:t>
      </w:r>
    </w:p>
    <w:p>
      <w:pPr>
        <w:pStyle w:val="ListParagraph"/>
        <w:numPr>
          <w:ilvl w:val="1"/>
          <w:numId w:val="2"/>
        </w:numPr>
        <w:spacing w:after="60"/>
      </w:pPr>
      <w:r>
        <w:t xml:space="preserve">Skip if the combined route's estimated duration (distance / avgSpeed + stopCount × serviceTimePerStop) would exceed max route duration.</w:t>
      </w:r>
    </w:p>
    <w:p>
      <w:pPr>
        <w:pStyle w:val="ListParagraph"/>
        <w:numPr>
          <w:ilvl w:val="1"/>
          <w:numId w:val="2"/>
        </w:numPr>
        <w:spacing w:after="60"/>
      </w:pPr>
      <w:r>
        <w:t xml:space="preserve">Otherwise, merge: link i to j directly, combine the two route chains into one, and continue.</w:t>
      </w:r>
    </w:p>
    <w:p>
      <w:pPr>
        <w:pStyle w:val="ListParagraph"/>
        <w:numPr>
          <w:ilvl w:val="0"/>
          <w:numId w:val="2"/>
        </w:numPr>
        <w:spacing w:after="60"/>
      </w:pPr>
      <w:r>
        <w:t xml:space="preserve">Stop once no positive adjusted_savings pairs remain (or all remaining candidates are infeasible).</w:t>
      </w:r>
    </w:p>
    <w:p>
      <w:pPr>
        <w:pStyle w:val="ListParagraph"/>
        <w:numPr>
          <w:ilvl w:val="0"/>
          <w:numId w:val="2"/>
        </w:numPr>
        <w:spacing w:after="60"/>
      </w:pPr>
      <w:r>
        <w:t xml:space="preserve">Report final route groupings, total distance vs. the no-consolidation baseline (sum of individual round trips), and the full decision log.</w:t>
      </w:r>
    </w:p>
    <w:p>
      <w:pPr>
        <w:spacing w:after="160"/>
      </w:pPr>
      <w:r>
        <w:t xml:space="preserve">Steps 1–3 and the endpoint-merge mechanics in step 4 are the standard Clarke-Wright procedure (not proprietary). The proprietary contribution within this loop is narrowly the sort key used in step 2 — adjusted_savings rather than raw savings — and the resulting difference in which merges get considered, and accepted, first. The capacity and duration feasibility checks are standard VRP constraint-handling, not novel; they are included because a merge that looks attractive on adjusted savings alone is not real if the resulting route cannot physically be driven, and a defensible IP claim must be described against the full, working algorithm rather than the overlay in isolation.</w:t>
      </w:r>
    </w:p>
    <w:p>
      <w:r>
        <w:br w:type="page"/>
      </w:r>
    </w:p>
    <w:p>
      <w:pPr>
        <w:pStyle w:val="Heading1"/>
        <w:spacing w:after="120" w:before="240"/>
      </w:pPr>
      <w:r>
        <w:t xml:space="preserve">6. Worked Numeric Example</w:t>
      </w:r>
    </w:p>
    <w:p>
      <w:pPr>
        <w:spacing w:after="160"/>
      </w:pPr>
      <w:r>
        <w:t xml:space="preserve">The following example is transcribed exactly from the authoritative specification (reference/algorithm.md §8(d)) and is reproducible by running the reference implementation (scripts/consolidate.js) against scripts/stops-example.json. No figure below has been recomputed, rounded differently, or altered from that source.</w:t>
      </w:r>
    </w:p>
    <w:p>
      <w:pPr>
        <w:spacing w:after="160"/>
      </w:pPr>
      <w:r>
        <w:t xml:space="preserve">Five stops around a single depot at (0,0), coordinates in km. Vehicle: capacity 10, max route duration 480 minutes, average speed 40 km/h, 10 minutes service time per stop.</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tblGrid>
      <w:tr>
        <w:trPr>
          <w:tblHeader/>
        </w:trPr>
        <w:tc>
          <w:tcPr>
            <w:shd w:fill="1B2A4A" w:val="solid"/>
          </w:tcPr>
          <w:p>
            <w:r>
              <w:rPr>
                <w:b/>
                <w:bCs/>
                <w:color w:val="FFFFFF"/>
              </w:rPr>
              <w:t xml:space="preserve">Stop</w:t>
            </w:r>
          </w:p>
        </w:tc>
        <w:tc>
          <w:tcPr>
            <w:shd w:fill="1B2A4A" w:val="solid"/>
          </w:tcPr>
          <w:p>
            <w:r>
              <w:rPr>
                <w:b/>
                <w:bCs/>
                <w:color w:val="FFFFFF"/>
              </w:rPr>
              <w:t xml:space="preserve">(x, y)</w:t>
            </w:r>
          </w:p>
        </w:tc>
        <w:tc>
          <w:tcPr>
            <w:shd w:fill="1B2A4A" w:val="solid"/>
          </w:tcPr>
          <w:p>
            <w:r>
              <w:rPr>
                <w:b/>
                <w:bCs/>
                <w:color w:val="FFFFFF"/>
              </w:rPr>
              <w:t xml:space="preserve">Demand</w:t>
            </w:r>
          </w:p>
        </w:tc>
        <w:tc>
          <w:tcPr>
            <w:shd w:fill="1B2A4A" w:val="solid"/>
          </w:tcPr>
          <w:p>
            <w:r>
              <w:rPr>
                <w:b/>
                <w:bCs/>
                <w:color w:val="FFFFFF"/>
              </w:rPr>
              <w:t xml:space="preserve">Tier</w:t>
            </w:r>
          </w:p>
        </w:tc>
        <w:tc>
          <w:tcPr>
            <w:shd w:fill="1B2A4A" w:val="solid"/>
          </w:tcPr>
          <w:p>
            <w:r>
              <w:rPr>
                <w:b/>
                <w:bCs/>
                <w:color w:val="FFFFFF"/>
              </w:rPr>
              <w:t xml:space="preserve">SLA (hrs)</w:t>
            </w:r>
          </w:p>
        </w:tc>
        <w:tc>
          <w:tcPr>
            <w:shd w:fill="1B2A4A" w:val="solid"/>
          </w:tcPr>
          <w:p>
            <w:r>
              <w:rPr>
                <w:b/>
                <w:bCs/>
                <w:color w:val="FFFFFF"/>
              </w:rPr>
              <w:t xml:space="preserve">Carbon (kg CO2e/km)</w:t>
            </w:r>
          </w:p>
        </w:tc>
      </w:tr>
      <w:tr>
        <w:tc>
          <w:p>
            <w:r>
              <w:t xml:space="preserve">A</w:t>
            </w:r>
          </w:p>
        </w:tc>
        <w:tc>
          <w:p>
            <w:r>
              <w:t xml:space="preserve">(3, 4)</w:t>
            </w:r>
          </w:p>
        </w:tc>
        <w:tc>
          <w:p>
            <w:r>
              <w:t xml:space="preserve">3</w:t>
            </w:r>
          </w:p>
        </w:tc>
        <w:tc>
          <w:p>
            <w:r>
              <w:t xml:space="preserve">standard</w:t>
            </w:r>
          </w:p>
        </w:tc>
        <w:tc>
          <w:p>
            <w:r>
              <w:t xml:space="preserve">24</w:t>
            </w:r>
          </w:p>
        </w:tc>
        <w:tc>
          <w:p>
            <w:r>
              <w:t xml:space="preserve">0.15</w:t>
            </w:r>
          </w:p>
        </w:tc>
      </w:tr>
      <w:tr>
        <w:tc>
          <w:tcPr>
            <w:shd w:fill="F3F4F6" w:val="solid"/>
          </w:tcPr>
          <w:p>
            <w:r>
              <w:t xml:space="preserve">B</w:t>
            </w:r>
          </w:p>
        </w:tc>
        <w:tc>
          <w:tcPr>
            <w:shd w:fill="F3F4F6" w:val="solid"/>
          </w:tcPr>
          <w:p>
            <w:r>
              <w:t xml:space="preserve">(4, 3)</w:t>
            </w:r>
          </w:p>
        </w:tc>
        <w:tc>
          <w:tcPr>
            <w:shd w:fill="F3F4F6" w:val="solid"/>
          </w:tcPr>
          <w:p>
            <w:r>
              <w:t xml:space="preserve">2</w:t>
            </w:r>
          </w:p>
        </w:tc>
        <w:tc>
          <w:tcPr>
            <w:shd w:fill="F3F4F6" w:val="solid"/>
          </w:tcPr>
          <w:p>
            <w:r>
              <w:rPr>
                <w:b/>
                <w:bCs/>
              </w:rPr>
              <w:t xml:space="preserve">premium</w:t>
            </w:r>
          </w:p>
        </w:tc>
        <w:tc>
          <w:tcPr>
            <w:shd w:fill="F3F4F6" w:val="solid"/>
          </w:tcPr>
          <w:p>
            <w:r>
              <w:rPr>
                <w:b/>
                <w:bCs/>
              </w:rPr>
              <w:t xml:space="preserve">4</w:t>
            </w:r>
          </w:p>
        </w:tc>
        <w:tc>
          <w:tcPr>
            <w:shd w:fill="F3F4F6" w:val="solid"/>
          </w:tcPr>
          <w:p>
            <w:r>
              <w:t xml:space="preserve">0.15</w:t>
            </w:r>
          </w:p>
        </w:tc>
      </w:tr>
      <w:tr>
        <w:tc>
          <w:p>
            <w:r>
              <w:t xml:space="preserve">C</w:t>
            </w:r>
          </w:p>
        </w:tc>
        <w:tc>
          <w:p>
            <w:r>
              <w:t xml:space="preserve">(6, 8)</w:t>
            </w:r>
          </w:p>
        </w:tc>
        <w:tc>
          <w:p>
            <w:r>
              <w:t xml:space="preserve">4</w:t>
            </w:r>
          </w:p>
        </w:tc>
        <w:tc>
          <w:p>
            <w:r>
              <w:t xml:space="preserve">standard</w:t>
            </w:r>
          </w:p>
        </w:tc>
        <w:tc>
          <w:p>
            <w:r>
              <w:t xml:space="preserve">72</w:t>
            </w:r>
          </w:p>
        </w:tc>
        <w:tc>
          <w:p>
            <w:r>
              <w:t xml:space="preserve">0.15</w:t>
            </w:r>
          </w:p>
        </w:tc>
      </w:tr>
      <w:tr>
        <w:tc>
          <w:tcPr>
            <w:shd w:fill="F3F4F6" w:val="solid"/>
          </w:tcPr>
          <w:p>
            <w:r>
              <w:t xml:space="preserve">D</w:t>
            </w:r>
          </w:p>
        </w:tc>
        <w:tc>
          <w:tcPr>
            <w:shd w:fill="F3F4F6" w:val="solid"/>
          </w:tcPr>
          <w:p>
            <w:r>
              <w:t xml:space="preserve">(8, 6)</w:t>
            </w:r>
          </w:p>
        </w:tc>
        <w:tc>
          <w:tcPr>
            <w:shd w:fill="F3F4F6" w:val="solid"/>
          </w:tcPr>
          <w:p>
            <w:r>
              <w:t xml:space="preserve">3</w:t>
            </w:r>
          </w:p>
        </w:tc>
        <w:tc>
          <w:tcPr>
            <w:shd w:fill="F3F4F6" w:val="solid"/>
          </w:tcPr>
          <w:p>
            <w:r>
              <w:t xml:space="preserve">standard</w:t>
            </w:r>
          </w:p>
        </w:tc>
        <w:tc>
          <w:tcPr>
            <w:shd w:fill="F3F4F6" w:val="solid"/>
          </w:tcPr>
          <w:p>
            <w:r>
              <w:t xml:space="preserve">24</w:t>
            </w:r>
          </w:p>
        </w:tc>
        <w:tc>
          <w:tcPr>
            <w:shd w:fill="F3F4F6" w:val="solid"/>
          </w:tcPr>
          <w:p>
            <w:r>
              <w:rPr>
                <w:b/>
                <w:bCs/>
              </w:rPr>
              <w:t xml:space="preserve">0.50</w:t>
            </w:r>
          </w:p>
        </w:tc>
      </w:tr>
      <w:tr>
        <w:tc>
          <w:p>
            <w:r>
              <w:t xml:space="preserve">E</w:t>
            </w:r>
          </w:p>
        </w:tc>
        <w:tc>
          <w:p>
            <w:r>
              <w:t xml:space="preserve">(-5, 0)</w:t>
            </w:r>
          </w:p>
        </w:tc>
        <w:tc>
          <w:p>
            <w:r>
              <w:t xml:space="preserve">2</w:t>
            </w:r>
          </w:p>
        </w:tc>
        <w:tc>
          <w:p>
            <w:r>
              <w:t xml:space="preserve">budget</w:t>
            </w:r>
          </w:p>
        </w:tc>
        <w:tc>
          <w:p>
            <w:r>
              <w:t xml:space="preserve">168</w:t>
            </w:r>
          </w:p>
        </w:tc>
        <w:tc>
          <w:p>
            <w:r>
              <w:t xml:space="preserve">0.05</w:t>
            </w:r>
          </w:p>
        </w:tc>
      </w:tr>
    </w:tbl>
    <w:p>
      <w:pPr>
        <w:pStyle w:val="Heading2"/>
        <w:spacing w:after="120" w:before="240"/>
      </w:pPr>
      <w:r>
        <w:t xml:space="preserve">6.1 Savings Matrix — Raw vs. Priority-Weighted vs. Adjusted</w:t>
      </w:r>
    </w:p>
    <w:p>
      <w:pPr>
        <w:spacing w:after="160"/>
      </w:pPr>
      <w:r>
        <w:t xml:space="preserve">Real output, sorted by adjusted savings: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Pair</w:t>
            </w:r>
          </w:p>
        </w:tc>
        <w:tc>
          <w:tcPr>
            <w:shd w:fill="1B2A4A" w:val="solid"/>
          </w:tcPr>
          <w:p>
            <w:pPr>
              <w:jc w:val="right"/>
            </w:pPr>
            <w:r>
              <w:rPr>
                <w:b/>
                <w:bCs/>
                <w:color w:val="FFFFFF"/>
              </w:rPr>
              <w:t xml:space="preserve">Raw savings</w:t>
            </w:r>
          </w:p>
        </w:tc>
        <w:tc>
          <w:tcPr>
            <w:shd w:fill="1B2A4A" w:val="solid"/>
          </w:tcPr>
          <w:p>
            <w:pPr>
              <w:jc w:val="right"/>
            </w:pPr>
            <w:r>
              <w:rPr>
                <w:b/>
                <w:bCs/>
                <w:color w:val="FFFFFF"/>
              </w:rPr>
              <w:t xml:space="preserve">Priority weight</w:t>
            </w:r>
          </w:p>
        </w:tc>
        <w:tc>
          <w:tcPr>
            <w:shd w:fill="1B2A4A" w:val="solid"/>
          </w:tcPr>
          <w:p>
            <w:pPr>
              <w:jc w:val="right"/>
            </w:pPr>
            <w:r>
              <w:rPr>
                <w:b/>
                <w:bCs/>
                <w:color w:val="FFFFFF"/>
              </w:rPr>
              <w:t xml:space="preserve">Adjusted savings</w:t>
            </w:r>
          </w:p>
        </w:tc>
      </w:tr>
      <w:tr>
        <w:tc>
          <w:p>
            <w:r>
              <w:t xml:space="preserve">C-D</w:t>
            </w:r>
          </w:p>
        </w:tc>
        <w:tc>
          <w:p>
            <w:pPr>
              <w:jc w:val="right"/>
            </w:pPr>
            <w:r>
              <w:t xml:space="preserve">17.17</w:t>
            </w:r>
          </w:p>
        </w:tc>
        <w:tc>
          <w:p>
            <w:pPr>
              <w:jc w:val="right"/>
            </w:pPr>
            <w:r>
              <w:t xml:space="preserve">1.11</w:t>
            </w:r>
          </w:p>
        </w:tc>
        <w:tc>
          <w:p>
            <w:pPr>
              <w:jc w:val="right"/>
            </w:pPr>
            <w:r>
              <w:rPr>
                <w:b/>
                <w:bCs/>
              </w:rPr>
              <w:t xml:space="preserve">19.06</w:t>
            </w:r>
          </w:p>
        </w:tc>
      </w:tr>
      <w:tr>
        <w:tc>
          <w:tcPr>
            <w:shd w:fill="F3F4F6" w:val="solid"/>
          </w:tcPr>
          <w:p>
            <w:r>
              <w:t xml:space="preserve">B-D</w:t>
            </w:r>
          </w:p>
        </w:tc>
        <w:tc>
          <w:tcPr>
            <w:shd w:fill="F3F4F6" w:val="solid"/>
          </w:tcPr>
          <w:p>
            <w:pPr>
              <w:jc w:val="right"/>
            </w:pPr>
            <w:r>
              <w:t xml:space="preserve">10.00</w:t>
            </w:r>
          </w:p>
        </w:tc>
        <w:tc>
          <w:tcPr>
            <w:shd w:fill="F3F4F6" w:val="solid"/>
          </w:tcPr>
          <w:p>
            <w:pPr>
              <w:jc w:val="right"/>
            </w:pPr>
            <w:r>
              <w:t xml:space="preserve">1.75</w:t>
            </w:r>
          </w:p>
        </w:tc>
        <w:tc>
          <w:tcPr>
            <w:shd w:fill="F3F4F6" w:val="solid"/>
          </w:tcPr>
          <w:p>
            <w:pPr>
              <w:jc w:val="right"/>
            </w:pPr>
            <w:r>
              <w:rPr>
                <w:b/>
                <w:bCs/>
              </w:rPr>
              <w:t xml:space="preserve">17.52</w:t>
            </w:r>
          </w:p>
        </w:tc>
      </w:tr>
      <w:tr>
        <w:tc>
          <w:p>
            <w:r>
              <w:t xml:space="preserve">B-C</w:t>
            </w:r>
          </w:p>
        </w:tc>
        <w:tc>
          <w:p>
            <w:pPr>
              <w:jc w:val="right"/>
            </w:pPr>
            <w:r>
              <w:t xml:space="preserve">9.61</w:t>
            </w:r>
          </w:p>
        </w:tc>
        <w:tc>
          <w:p>
            <w:pPr>
              <w:jc w:val="right"/>
            </w:pPr>
            <w:r>
              <w:t xml:space="preserve">1.37</w:t>
            </w:r>
          </w:p>
        </w:tc>
        <w:tc>
          <w:p>
            <w:pPr>
              <w:jc w:val="right"/>
            </w:pPr>
            <w:r>
              <w:t xml:space="preserve">13.17</w:t>
            </w:r>
          </w:p>
        </w:tc>
      </w:tr>
      <w:tr>
        <w:tc>
          <w:tcPr>
            <w:shd w:fill="F3F4F6" w:val="solid"/>
          </w:tcPr>
          <w:p>
            <w:r>
              <w:t xml:space="preserve">A-B</w:t>
            </w:r>
          </w:p>
        </w:tc>
        <w:tc>
          <w:tcPr>
            <w:shd w:fill="F3F4F6" w:val="solid"/>
          </w:tcPr>
          <w:p>
            <w:pPr>
              <w:jc w:val="right"/>
            </w:pPr>
            <w:r>
              <w:t xml:space="preserve">8.59</w:t>
            </w:r>
          </w:p>
        </w:tc>
        <w:tc>
          <w:tcPr>
            <w:shd w:fill="F3F4F6" w:val="solid"/>
          </w:tcPr>
          <w:p>
            <w:pPr>
              <w:jc w:val="right"/>
            </w:pPr>
            <w:r>
              <w:t xml:space="preserve">1.46</w:t>
            </w:r>
          </w:p>
        </w:tc>
        <w:tc>
          <w:tcPr>
            <w:shd w:fill="F3F4F6" w:val="solid"/>
          </w:tcPr>
          <w:p>
            <w:pPr>
              <w:jc w:val="right"/>
            </w:pPr>
            <w:r>
              <w:t xml:space="preserve">12.54</w:t>
            </w:r>
          </w:p>
        </w:tc>
      </w:tr>
      <w:tr>
        <w:tc>
          <w:p>
            <w:r>
              <w:t xml:space="preserve">A-D</w:t>
            </w:r>
          </w:p>
        </w:tc>
        <w:tc>
          <w:p>
            <w:pPr>
              <w:jc w:val="right"/>
            </w:pPr>
            <w:r>
              <w:t xml:space="preserve">9.61</w:t>
            </w:r>
          </w:p>
        </w:tc>
        <w:tc>
          <w:p>
            <w:pPr>
              <w:jc w:val="right"/>
            </w:pPr>
            <w:r>
              <w:t xml:space="preserve">1.20</w:t>
            </w:r>
          </w:p>
        </w:tc>
        <w:tc>
          <w:p>
            <w:pPr>
              <w:jc w:val="right"/>
            </w:pPr>
            <w:r>
              <w:t xml:space="preserve">11.54</w:t>
            </w:r>
          </w:p>
        </w:tc>
      </w:tr>
      <w:tr>
        <w:tc>
          <w:tcPr>
            <w:shd w:fill="F3F4F6" w:val="solid"/>
          </w:tcPr>
          <w:p>
            <w:r>
              <w:t xml:space="preserve">A-C</w:t>
            </w:r>
          </w:p>
        </w:tc>
        <w:tc>
          <w:tcPr>
            <w:shd w:fill="F3F4F6" w:val="solid"/>
          </w:tcPr>
          <w:p>
            <w:pPr>
              <w:jc w:val="right"/>
            </w:pPr>
            <w:r>
              <w:t xml:space="preserve">10.00</w:t>
            </w:r>
          </w:p>
        </w:tc>
        <w:tc>
          <w:tcPr>
            <w:shd w:fill="F3F4F6" w:val="solid"/>
          </w:tcPr>
          <w:p>
            <w:pPr>
              <w:jc w:val="right"/>
            </w:pPr>
            <w:r>
              <w:t xml:space="preserve">0.93</w:t>
            </w:r>
          </w:p>
        </w:tc>
        <w:tc>
          <w:tcPr>
            <w:shd w:fill="F3F4F6" w:val="solid"/>
          </w:tcPr>
          <w:p>
            <w:pPr>
              <w:jc w:val="right"/>
            </w:pPr>
            <w:r>
              <w:t xml:space="preserve">9.25</w:t>
            </w:r>
          </w:p>
        </w:tc>
      </w:tr>
      <w:tr>
        <w:tc>
          <w:p>
            <w:r>
              <w:t xml:space="preserve">C-E</w:t>
            </w:r>
          </w:p>
        </w:tc>
        <w:tc>
          <w:p>
            <w:pPr>
              <w:jc w:val="right"/>
            </w:pPr>
            <w:r>
              <w:t xml:space="preserve">1.40</w:t>
            </w:r>
          </w:p>
        </w:tc>
        <w:tc>
          <w:p>
            <w:pPr>
              <w:jc w:val="right"/>
            </w:pPr>
            <w:r>
              <w:t xml:space="preserve">0.63</w:t>
            </w:r>
          </w:p>
        </w:tc>
        <w:tc>
          <w:p>
            <w:pPr>
              <w:jc w:val="right"/>
            </w:pPr>
            <w:r>
              <w:t xml:space="preserve">0.88</w:t>
            </w:r>
          </w:p>
        </w:tc>
      </w:tr>
      <w:tr>
        <w:tc>
          <w:tcPr>
            <w:shd w:fill="F3F4F6" w:val="solid"/>
          </w:tcPr>
          <w:p>
            <w:r>
              <w:t xml:space="preserve">A-E</w:t>
            </w:r>
          </w:p>
        </w:tc>
        <w:tc>
          <w:tcPr>
            <w:shd w:fill="F3F4F6" w:val="solid"/>
          </w:tcPr>
          <w:p>
            <w:pPr>
              <w:jc w:val="right"/>
            </w:pPr>
            <w:r>
              <w:t xml:space="preserve">1.06</w:t>
            </w:r>
          </w:p>
        </w:tc>
        <w:tc>
          <w:tcPr>
            <w:shd w:fill="F3F4F6" w:val="solid"/>
          </w:tcPr>
          <w:p>
            <w:pPr>
              <w:jc w:val="right"/>
            </w:pPr>
            <w:r>
              <w:t xml:space="preserve">0.69</w:t>
            </w:r>
          </w:p>
        </w:tc>
        <w:tc>
          <w:tcPr>
            <w:shd w:fill="F3F4F6" w:val="solid"/>
          </w:tcPr>
          <w:p>
            <w:pPr>
              <w:jc w:val="right"/>
            </w:pPr>
            <w:r>
              <w:t xml:space="preserve">0.73</w:t>
            </w:r>
          </w:p>
        </w:tc>
      </w:tr>
      <w:tr>
        <w:tc>
          <w:p>
            <w:r>
              <w:t xml:space="preserve">D-E</w:t>
            </w:r>
          </w:p>
        </w:tc>
        <w:tc>
          <w:p>
            <w:pPr>
              <w:jc w:val="right"/>
            </w:pPr>
            <w:r>
              <w:t xml:space="preserve">0.68</w:t>
            </w:r>
          </w:p>
        </w:tc>
        <w:tc>
          <w:p>
            <w:pPr>
              <w:jc w:val="right"/>
            </w:pPr>
            <w:r>
              <w:t xml:space="preserve">0.84</w:t>
            </w:r>
          </w:p>
        </w:tc>
        <w:tc>
          <w:p>
            <w:pPr>
              <w:jc w:val="right"/>
            </w:pPr>
            <w:r>
              <w:t xml:space="preserve">0.57</w:t>
            </w:r>
          </w:p>
        </w:tc>
      </w:tr>
      <w:tr>
        <w:tc>
          <w:tcPr>
            <w:shd w:fill="F3F4F6" w:val="solid"/>
          </w:tcPr>
          <w:p>
            <w:r>
              <w:t xml:space="preserve">B-E</w:t>
            </w:r>
          </w:p>
        </w:tc>
        <w:tc>
          <w:tcPr>
            <w:shd w:fill="F3F4F6" w:val="solid"/>
          </w:tcPr>
          <w:p>
            <w:pPr>
              <w:jc w:val="right"/>
            </w:pPr>
            <w:r>
              <w:t xml:space="preserve">0.51</w:t>
            </w:r>
          </w:p>
        </w:tc>
        <w:tc>
          <w:tcPr>
            <w:shd w:fill="F3F4F6" w:val="solid"/>
          </w:tcPr>
          <w:p>
            <w:pPr>
              <w:jc w:val="right"/>
            </w:pPr>
            <w:r>
              <w:t xml:space="preserve">1.06</w:t>
            </w:r>
          </w:p>
        </w:tc>
        <w:tc>
          <w:tcPr>
            <w:shd w:fill="F3F4F6" w:val="solid"/>
          </w:tcPr>
          <w:p>
            <w:pPr>
              <w:jc w:val="right"/>
            </w:pPr>
            <w:r>
              <w:t xml:space="preserve">0.54</w:t>
            </w:r>
          </w:p>
        </w:tc>
      </w:tr>
    </w:tbl>
    <w:p>
      <w:pPr>
        <w:pStyle w:val="Heading2"/>
        <w:spacing w:after="120" w:before="240"/>
      </w:pPr>
      <w:r>
        <w:t xml:space="preserve">6.2 How the Priority Weighting Changed the Merge Order</w:t>
      </w:r>
    </w:p>
    <w:p>
      <w:pPr>
        <w:spacing w:after="160"/>
      </w:pPr>
      <w:r>
        <w:t xml:space="preserve">Sorting the same real savings values by raw savings instead of adjusted savings gives: C-D(17.17) &gt; A-C(10.00) = B-D(10.00) &gt; B-C(9.61) = A-D(9.61) &gt; A-B(8.59) &gt; … Every pair touching B — the premium, 4-hour-SLA customer — sits in the middle of that raw ordering, tied or behind A-C, which involves no premium/urgent/high-carbon stop at all.</w:t>
      </w:r>
    </w:p>
    <w:p>
      <w:pPr>
        <w:spacing w:after="160"/>
      </w:pPr>
      <w:r>
        <w:t xml:space="preserve">Under the priority-weighted PCH ordering, B-D and B-C jump to solidly 2nd and 3rd place (B-D's weight of 1.75 comes from averaging B's premium+urgent multipliers with D's high-carbon multiplier — three separate priority signals compounding on one pair), while A-C — which gets no boost from either stop — drops to 6th. In practice this means B's shipment is pulled into the first consolidation pass PCH considers, instead of being left to whichever merges the raw distance math happens to get to once its geometrically bigger neighbors are already spoken for. This single comparison — same underlying distances, two different sort orders — is the clearest concrete demonstration of what the priority-weighting overlay actually does to a real decision process, as distinct from what it merely claims to do in the abstract.</w:t>
      </w:r>
    </w:p>
    <w:p>
      <w:pPr>
        <w:pStyle w:val="Heading2"/>
        <w:spacing w:after="120" w:before="240"/>
      </w:pPr>
      <w:r>
        <w:t xml:space="preserve">6.3 Merge Decisions</w:t>
      </w:r>
    </w:p>
    <w:p>
      <w:pPr>
        <w:spacing w:after="160"/>
      </w:pPr>
      <w:r>
        <w:t xml:space="preserve">Real output, in adjusted-savings order: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Pair</w:t>
            </w:r>
          </w:p>
        </w:tc>
        <w:tc>
          <w:tcPr>
            <w:shd w:fill="1B2A4A" w:val="solid"/>
          </w:tcPr>
          <w:p>
            <w:pPr>
              <w:jc w:val="right"/>
            </w:pPr>
            <w:r>
              <w:rPr>
                <w:b/>
                <w:bCs/>
                <w:color w:val="FFFFFF"/>
              </w:rPr>
              <w:t xml:space="preserve">Adjusted savings</w:t>
            </w:r>
          </w:p>
        </w:tc>
        <w:tc>
          <w:tcPr>
            <w:shd w:fill="1B2A4A" w:val="solid"/>
          </w:tcPr>
          <w:p>
            <w:r>
              <w:rPr>
                <w:b/>
                <w:bCs/>
                <w:color w:val="FFFFFF"/>
              </w:rPr>
              <w:t xml:space="preserve">Decision</w:t>
            </w:r>
          </w:p>
        </w:tc>
        <w:tc>
          <w:tcPr>
            <w:shd w:fill="1B2A4A" w:val="solid"/>
          </w:tcPr>
          <w:p>
            <w:r>
              <w:rPr>
                <w:b/>
                <w:bCs/>
                <w:color w:val="FFFFFF"/>
              </w:rPr>
              <w:t xml:space="preserve">Reason</w:t>
            </w:r>
          </w:p>
        </w:tc>
      </w:tr>
      <w:tr>
        <w:tc>
          <w:p>
            <w:r>
              <w:t xml:space="preserve">C-D</w:t>
            </w:r>
          </w:p>
        </w:tc>
        <w:tc>
          <w:p>
            <w:pPr>
              <w:jc w:val="right"/>
            </w:pPr>
            <w:r>
              <w:t xml:space="preserve">19.06</w:t>
            </w:r>
          </w:p>
        </w:tc>
        <w:tc>
          <w:p>
            <w:r>
              <w:rPr>
                <w:b/>
                <w:bCs/>
              </w:rPr>
              <w:t xml:space="preserve">merged</w:t>
            </w:r>
          </w:p>
        </w:tc>
        <w:tc>
          <w:p>
            <w:r>
              <w:t xml:space="preserve">feasible; highest remaining adjusted savings</w:t>
            </w:r>
          </w:p>
        </w:tc>
      </w:tr>
      <w:tr>
        <w:tc>
          <w:tcPr>
            <w:shd w:fill="F3F4F6" w:val="solid"/>
          </w:tcPr>
          <w:p>
            <w:r>
              <w:t xml:space="preserve">B-D</w:t>
            </w:r>
          </w:p>
        </w:tc>
        <w:tc>
          <w:tcPr>
            <w:shd w:fill="F3F4F6" w:val="solid"/>
          </w:tcPr>
          <w:p>
            <w:pPr>
              <w:jc w:val="right"/>
            </w:pPr>
            <w:r>
              <w:t xml:space="preserve">17.52</w:t>
            </w:r>
          </w:p>
        </w:tc>
        <w:tc>
          <w:tcPr>
            <w:shd w:fill="F3F4F6" w:val="solid"/>
          </w:tcPr>
          <w:p>
            <w:r>
              <w:rPr>
                <w:b/>
                <w:bCs/>
              </w:rPr>
              <w:t xml:space="preserve">merged</w:t>
            </w:r>
          </w:p>
        </w:tc>
        <w:tc>
          <w:tcPr>
            <w:shd w:fill="F3F4F6" w:val="solid"/>
          </w:tcPr>
          <w:p>
            <w:r>
              <w:t xml:space="preserve">feasible; highest remaining adjusted savings</w:t>
            </w:r>
          </w:p>
        </w:tc>
      </w:tr>
      <w:tr>
        <w:tc>
          <w:p>
            <w:r>
              <w:t xml:space="preserve">B-C</w:t>
            </w:r>
          </w:p>
        </w:tc>
        <w:tc>
          <w:p>
            <w:pPr>
              <w:jc w:val="right"/>
            </w:pPr>
            <w:r>
              <w:t xml:space="preserve">13.17</w:t>
            </w:r>
          </w:p>
        </w:tc>
        <w:tc>
          <w:p>
            <w:r>
              <w:t xml:space="preserve">skipped</w:t>
            </w:r>
          </w:p>
        </w:tc>
        <w:tc>
          <w:p>
            <w:r>
              <w:t xml:space="preserve">already in same route (would form a cycle)</w:t>
            </w:r>
          </w:p>
        </w:tc>
      </w:tr>
      <w:tr>
        <w:tc>
          <w:tcPr>
            <w:shd w:fill="F3F4F6" w:val="solid"/>
          </w:tcPr>
          <w:p>
            <w:r>
              <w:t xml:space="preserve">A-B</w:t>
            </w:r>
          </w:p>
        </w:tc>
        <w:tc>
          <w:tcPr>
            <w:shd w:fill="F3F4F6" w:val="solid"/>
          </w:tcPr>
          <w:p>
            <w:pPr>
              <w:jc w:val="right"/>
            </w:pPr>
            <w:r>
              <w:t xml:space="preserve">12.54</w:t>
            </w:r>
          </w:p>
        </w:tc>
        <w:tc>
          <w:tcPr>
            <w:shd w:fill="F3F4F6" w:val="solid"/>
          </w:tcPr>
          <w:p>
            <w:r>
              <w:t xml:space="preserve">skipped</w:t>
            </w:r>
          </w:p>
        </w:tc>
        <w:tc>
          <w:tcPr>
            <w:shd w:fill="F3F4F6" w:val="solid"/>
          </w:tcPr>
          <w:p>
            <w:r>
              <w:t xml:space="preserve">combined demand 12 exceeds vehicle capacity 10</w:t>
            </w:r>
          </w:p>
        </w:tc>
      </w:tr>
      <w:tr>
        <w:tc>
          <w:p>
            <w:r>
              <w:t xml:space="preserve">A-D</w:t>
            </w:r>
          </w:p>
        </w:tc>
        <w:tc>
          <w:p>
            <w:pPr>
              <w:jc w:val="right"/>
            </w:pPr>
            <w:r>
              <w:t xml:space="preserve">11.54</w:t>
            </w:r>
          </w:p>
        </w:tc>
        <w:tc>
          <w:p>
            <w:r>
              <w:t xml:space="preserve">skipped</w:t>
            </w:r>
          </w:p>
        </w:tc>
        <w:tc>
          <w:p>
            <w:r>
              <w:t xml:space="preserve">D is interior to its route, not a mergeable endpoint</w:t>
            </w:r>
          </w:p>
        </w:tc>
      </w:tr>
      <w:tr>
        <w:tc>
          <w:tcPr>
            <w:shd w:fill="F3F4F6" w:val="solid"/>
          </w:tcPr>
          <w:p>
            <w:r>
              <w:t xml:space="preserve">A-C</w:t>
            </w:r>
          </w:p>
        </w:tc>
        <w:tc>
          <w:tcPr>
            <w:shd w:fill="F3F4F6" w:val="solid"/>
          </w:tcPr>
          <w:p>
            <w:pPr>
              <w:jc w:val="right"/>
            </w:pPr>
            <w:r>
              <w:t xml:space="preserve">9.25</w:t>
            </w:r>
          </w:p>
        </w:tc>
        <w:tc>
          <w:tcPr>
            <w:shd w:fill="F3F4F6" w:val="solid"/>
          </w:tcPr>
          <w:p>
            <w:r>
              <w:t xml:space="preserve">skipped</w:t>
            </w:r>
          </w:p>
        </w:tc>
        <w:tc>
          <w:tcPr>
            <w:shd w:fill="F3F4F6" w:val="solid"/>
          </w:tcPr>
          <w:p>
            <w:r>
              <w:t xml:space="preserve">combined demand 12 exceeds vehicle capacity 10</w:t>
            </w:r>
          </w:p>
        </w:tc>
      </w:tr>
      <w:tr>
        <w:tc>
          <w:p>
            <w:r>
              <w:t xml:space="preserve">C-E</w:t>
            </w:r>
          </w:p>
        </w:tc>
        <w:tc>
          <w:p>
            <w:pPr>
              <w:jc w:val="right"/>
            </w:pPr>
            <w:r>
              <w:t xml:space="preserve">0.88</w:t>
            </w:r>
          </w:p>
        </w:tc>
        <w:tc>
          <w:p>
            <w:r>
              <w:t xml:space="preserve">skipped</w:t>
            </w:r>
          </w:p>
        </w:tc>
        <w:tc>
          <w:p>
            <w:r>
              <w:t xml:space="preserve">combined demand 11 exceeds vehicle capacity 10</w:t>
            </w:r>
          </w:p>
        </w:tc>
      </w:tr>
      <w:tr>
        <w:tc>
          <w:tcPr>
            <w:shd w:fill="F3F4F6" w:val="solid"/>
          </w:tcPr>
          <w:p>
            <w:r>
              <w:t xml:space="preserve">A-E</w:t>
            </w:r>
          </w:p>
        </w:tc>
        <w:tc>
          <w:tcPr>
            <w:shd w:fill="F3F4F6" w:val="solid"/>
          </w:tcPr>
          <w:p>
            <w:pPr>
              <w:jc w:val="right"/>
            </w:pPr>
            <w:r>
              <w:t xml:space="preserve">0.73</w:t>
            </w:r>
          </w:p>
        </w:tc>
        <w:tc>
          <w:tcPr>
            <w:shd w:fill="F3F4F6" w:val="solid"/>
          </w:tcPr>
          <w:p>
            <w:r>
              <w:rPr>
                <w:b/>
                <w:bCs/>
              </w:rPr>
              <w:t xml:space="preserve">merged</w:t>
            </w:r>
          </w:p>
        </w:tc>
        <w:tc>
          <w:tcPr>
            <w:shd w:fill="F3F4F6" w:val="solid"/>
          </w:tcPr>
          <w:p>
            <w:r>
              <w:t xml:space="preserve">feasible; highest remaining adjusted savings</w:t>
            </w:r>
          </w:p>
        </w:tc>
      </w:tr>
      <w:tr>
        <w:tc>
          <w:p>
            <w:r>
              <w:t xml:space="preserve">D-E</w:t>
            </w:r>
          </w:p>
        </w:tc>
        <w:tc>
          <w:p>
            <w:pPr>
              <w:jc w:val="right"/>
            </w:pPr>
            <w:r>
              <w:t xml:space="preserve">0.57</w:t>
            </w:r>
          </w:p>
        </w:tc>
        <w:tc>
          <w:p>
            <w:r>
              <w:t xml:space="preserve">skipped</w:t>
            </w:r>
          </w:p>
        </w:tc>
        <w:tc>
          <w:p>
            <w:r>
              <w:t xml:space="preserve">D is interior to its route, not a mergeable endpoint</w:t>
            </w:r>
          </w:p>
        </w:tc>
      </w:tr>
      <w:tr>
        <w:tc>
          <w:tcPr>
            <w:shd w:fill="F3F4F6" w:val="solid"/>
          </w:tcPr>
          <w:p>
            <w:r>
              <w:t xml:space="preserve">B-E</w:t>
            </w:r>
          </w:p>
        </w:tc>
        <w:tc>
          <w:tcPr>
            <w:shd w:fill="F3F4F6" w:val="solid"/>
          </w:tcPr>
          <w:p>
            <w:pPr>
              <w:jc w:val="right"/>
            </w:pPr>
            <w:r>
              <w:t xml:space="preserve">0.54</w:t>
            </w:r>
          </w:p>
        </w:tc>
        <w:tc>
          <w:tcPr>
            <w:shd w:fill="F3F4F6" w:val="solid"/>
          </w:tcPr>
          <w:p>
            <w:r>
              <w:t xml:space="preserve">skipped</w:t>
            </w:r>
          </w:p>
        </w:tc>
        <w:tc>
          <w:tcPr>
            <w:shd w:fill="F3F4F6" w:val="solid"/>
          </w:tcPr>
          <w:p>
            <w:r>
              <w:t xml:space="preserve">combined demand 14 exceeds vehicle capacity 10</w:t>
            </w:r>
          </w:p>
        </w:tc>
      </w:tr>
    </w:tbl>
    <w:p>
      <w:pPr>
        <w:pStyle w:val="Heading2"/>
        <w:spacing w:after="120" w:before="240"/>
      </w:pPr>
      <w:r>
        <w:t xml:space="preserve">6.4 Final Route Groupings and Result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Route</w:t>
            </w:r>
          </w:p>
        </w:tc>
        <w:tc>
          <w:tcPr>
            <w:shd w:fill="1B2A4A" w:val="solid"/>
          </w:tcPr>
          <w:p>
            <w:r>
              <w:rPr>
                <w:b/>
                <w:bCs/>
                <w:color w:val="FFFFFF"/>
              </w:rPr>
              <w:t xml:space="preserve">Stops</w:t>
            </w:r>
          </w:p>
        </w:tc>
        <w:tc>
          <w:tcPr>
            <w:shd w:fill="1B2A4A" w:val="solid"/>
          </w:tcPr>
          <w:p>
            <w:pPr>
              <w:jc w:val="center"/>
            </w:pPr>
            <w:r>
              <w:rPr>
                <w:b/>
                <w:bCs/>
                <w:color w:val="FFFFFF"/>
              </w:rPr>
              <w:t xml:space="preserve">Demand / Capacity</w:t>
            </w:r>
          </w:p>
        </w:tc>
        <w:tc>
          <w:tcPr>
            <w:shd w:fill="1B2A4A" w:val="solid"/>
          </w:tcPr>
          <w:p>
            <w:pPr>
              <w:jc w:val="right"/>
            </w:pPr>
            <w:r>
              <w:rPr>
                <w:b/>
                <w:bCs/>
                <w:color w:val="FFFFFF"/>
              </w:rPr>
              <w:t xml:space="preserve">Distance</w:t>
            </w:r>
          </w:p>
        </w:tc>
      </w:tr>
      <w:tr>
        <w:tc>
          <w:p>
            <w:r>
              <w:t xml:space="preserve">R1</w:t>
            </w:r>
          </w:p>
        </w:tc>
        <w:tc>
          <w:p>
            <w:r>
              <w:t xml:space="preserve">[depot] → A → E → [depot]</w:t>
            </w:r>
          </w:p>
        </w:tc>
        <w:tc>
          <w:p>
            <w:pPr>
              <w:jc w:val="center"/>
            </w:pPr>
            <w:r>
              <w:t xml:space="preserve">5/10</w:t>
            </w:r>
          </w:p>
        </w:tc>
        <w:tc>
          <w:p>
            <w:pPr>
              <w:jc w:val="right"/>
            </w:pPr>
            <w:r>
              <w:t xml:space="preserve">18.94 km</w:t>
            </w:r>
          </w:p>
        </w:tc>
      </w:tr>
      <w:tr>
        <w:tc>
          <w:tcPr>
            <w:shd w:fill="F3F4F6" w:val="solid"/>
          </w:tcPr>
          <w:p>
            <w:r>
              <w:t xml:space="preserve">R2</w:t>
            </w:r>
          </w:p>
        </w:tc>
        <w:tc>
          <w:tcPr>
            <w:shd w:fill="F3F4F6" w:val="solid"/>
          </w:tcPr>
          <w:p>
            <w:r>
              <w:t xml:space="preserve">[depot] → B → D → C → [depot]</w:t>
            </w:r>
          </w:p>
        </w:tc>
        <w:tc>
          <w:tcPr>
            <w:shd w:fill="F3F4F6" w:val="solid"/>
          </w:tcPr>
          <w:p>
            <w:pPr>
              <w:jc w:val="center"/>
            </w:pPr>
            <w:r>
              <w:t xml:space="preserve">9/10</w:t>
            </w:r>
          </w:p>
        </w:tc>
        <w:tc>
          <w:tcPr>
            <w:shd w:fill="F3F4F6" w:val="solid"/>
          </w:tcPr>
          <w:p>
            <w:pPr>
              <w:jc w:val="right"/>
            </w:pPr>
            <w:r>
              <w:t xml:space="preserve">22.83 km</w:t>
            </w:r>
          </w:p>
        </w:tc>
      </w:tr>
    </w:tbl>
    <w:p>
      <w:pPr>
        <w:spacing w:after="160"/>
      </w:pPr>
      <w:r>
        <w:rPr>
          <w:b/>
          <w:bCs/>
        </w:rPr>
        <w:t xml:space="preserve">Result: baseline (no consolidation) = 70.00 km. Consolidated (PCH) = 41.77 km. Total distance saved: 28.23 km (40.32%).</w:t>
      </w:r>
      <w:r>
        <w:t xml:space="preserve"> Note that B's shipment — the one merge chain the priority overlay pulled forward — ends up in a fully-loaded 9/10-capacity route (R2) built from the two highest-adjusted-savings merges available, rather than being pushed into the smaller, lower-priority A-E route that only fills to 5/10.</w:t>
      </w:r>
    </w:p>
    <w:p>
      <w:pPr>
        <w:spacing w:after="160"/>
      </w:pPr>
      <w:r>
        <w:t xml:space="preserve">This 40.32% figure is the result of this one worked example on five stops with these specific coordinates, demands, tiers, SLAs, and carbon intensities. It is reported here because it is real, verifiable, and reproducible — not as a general guarantee of savings on any other shipment set. Actual savings on a different network depend entirely on that network's stop geometry, demand distribution, and vehicle constraints; see Section 9 for the honest limitations of extrapolating from any single example.</w:t>
      </w:r>
    </w:p>
    <w:p>
      <w:pPr>
        <w:pStyle w:val="Heading1"/>
        <w:spacing w:after="120" w:before="240"/>
      </w:pPr>
      <w:r>
        <w:t xml:space="preserve">7. Comparative Positioning</w:t>
      </w:r>
    </w:p>
    <w:p>
      <w:pPr>
        <w:pStyle w:val="Heading2"/>
        <w:spacing w:after="120" w:before="240"/>
      </w:pPr>
      <w:r>
        <w:t xml:space="preserve">7.1 Versus Clarke-Wright and the VRP Literature</w:t>
      </w:r>
    </w:p>
    <w:p>
      <w:pPr>
        <w:spacing w:after="160"/>
      </w:pPr>
      <w:r>
        <w:t xml:space="preserve">The Clarke-Wright savings algorithm, published by G. Clarke and J. W. Wright in 1964 ("Scheduling of Vehicles from a Central Depot to a Number of Delivery Points," Operations Research 12(4)), is one of the earliest and most durable heuristics in the vehicle-routing-problem literature — a field with sixty-plus years of subsequent research spanning exact methods (branch-and-cut, branch-and-price), metaheuristics (simulated annealing, genetic algorithms, tabu search, large neighborhood search), and countless savings-algorithm variants. This is genuine, well-documented OR history, and PCH makes no claim to have improved on, replaced, or meaningfully modified the savings computation itself. PCH's contribution sits entirely downstream of the savings matrix — in how candidate merges are ranked before the standard greedy acceptance loop runs, not in the routing mathematics that produces the candidates in the first place.</w:t>
      </w:r>
    </w:p>
    <w:p>
      <w:pPr>
        <w:pStyle w:val="Heading2"/>
        <w:spacing w:after="120" w:before="240"/>
      </w:pPr>
      <w:r>
        <w:t xml:space="preserve">7.2 Versus Commercial Route-Optimization Software</w:t>
      </w:r>
    </w:p>
    <w:p>
      <w:pPr>
        <w:spacing w:after="160"/>
      </w:pPr>
      <w:r>
        <w:t xml:space="preserve">Commercial transportation-management and route-optimization platforms broadly support some notion of business-priority-aware routing — prioritizing named accounts, enforcing delivery-window constraints, or incorporating sustainability metrics into route selection is a well-known category of feature in this market. This document does not claim PCH is the first system to consider business priority in routing, and it deliberately does not name specific competitor products, cite market-share figures, or reference third-party studies that cannot be independently verified from the source material this document is built from.</w:t>
      </w:r>
    </w:p>
    <w:p>
      <w:pPr>
        <w:spacing w:after="160"/>
      </w:pPr>
      <w:r>
        <w:t xml:space="preserve">The honest differentiator is not the category ("priority-aware routing exists") but the </w:t>
      </w:r>
      <w:r>
        <w:rPr>
          <w:b/>
          <w:bCs/>
        </w:rPr>
        <w:t xml:space="preserve">specific formulation</w:t>
      </w:r>
      <w:r>
        <w:t xml:space="preserve">: three independent multipliers — customer tier, SLA urgency (via a five-point piecewise-linear curve on hours-to-deadline), and carbon intensity (via a four-point piecewise-linear curve) — each centered near 1.0, averaged across the two stops in a candidate pair, and then combined </w:t>
      </w:r>
      <w:r>
        <w:rPr>
          <w:b/>
          <w:bCs/>
        </w:rPr>
        <w:t xml:space="preserve">multiplicatively</w:t>
      </w:r>
      <w:r>
        <w:t xml:space="preserve"> into a single priorityWeight applied to the Clarke-Wright savings value before sorting. Whether any given commercial platform implements priority weighting this way, some other way, or not at all is not something this document can verify or claims to know; what can be stated with confidence is that this precise formula, these precise anchor values, and this precise point of insertion into the greedy loop are the specification on record in reference/algorithm.md §8(b)–(c), version 1.0, dated 2026-08-10 — a level of specificity that matters directly to both trade-secret documentation and any future patent-claim drafting (Section 8).</w:t>
      </w:r>
    </w:p>
    <w:p>
      <w:r>
        <w:br w:type="page"/>
      </w:r>
    </w:p>
    <w:p>
      <w:pPr>
        <w:pStyle w:val="Heading1"/>
        <w:spacing w:after="120" w:before="240"/>
      </w:pPr>
      <w:r>
        <w:t xml:space="preserve">8. Intellectual Property and Defensibility Posture</w:t>
      </w:r>
    </w:p>
    <w:p>
      <w:pPr>
        <w:spacing w:after="160"/>
      </w:pPr>
      <w:r>
        <w:t xml:space="preserve">This section applies the skills-library's own documented IP-posture analysis to PCH specifically. That analysis draws a clear line between trade-secret protection, which applies now, and patent eligibility, which is a separate and harder question — and it identifies PCH as an outlier among the broader portfolio of Prabhakar-named algorithms for reasons explained below.</w:t>
      </w:r>
    </w:p>
    <w:p>
      <w:pPr>
        <w:pStyle w:val="Heading2"/>
        <w:spacing w:after="120" w:before="240"/>
      </w:pPr>
      <w:r>
        <w:t xml:space="preserve">8.1 Trade Secret Protection — Applies Now</w:t>
      </w:r>
    </w:p>
    <w:p>
      <w:pPr>
        <w:spacing w:after="160"/>
      </w:pPr>
      <w:r>
        <w:t xml:space="preserve">Trade secret protection applies automatically, simply by the priority-weighting overlay being original, non-public, and treated as confidential. That protection does not depend on any patent determination, does not require filing anything, and is the primary protection this document — and the underlying specification it transcribes from (reference/algorithm.md) — is written to support. Maintaining that protection in practice requires continuing to treat the specific multiplier values, anchor points, and combination formula in Section 4 as confidential, and this whitepaper itself should be handled and shared under the same confidentiality discipline as the source specification.</w:t>
      </w:r>
    </w:p>
    <w:p>
      <w:pPr>
        <w:pStyle w:val="Heading2"/>
        <w:spacing w:after="120" w:before="240"/>
      </w:pPr>
      <w:r>
        <w:t xml:space="preserve">8.2 Patent Eligibility — A Separate, Harder Question</w:t>
      </w:r>
    </w:p>
    <w:p>
      <w:pPr>
        <w:spacing w:after="160"/>
      </w:pPr>
      <w:r>
        <w:t xml:space="preserve">In the United States, abstract algorithms and pure business methods generally fail patent-eligibility review (the Alice/Mayo framework) unless the claim ties the method to a specific technical improvement — a particular system architecture, or a measurable efficiency gain in how a computation runs — rather than merely "a new way to weight numbers." Per the skills library's own IP-posture analysis, </w:t>
      </w:r>
      <w:r>
        <w:rPr>
          <w:b/>
          <w:bCs/>
        </w:rPr>
        <w:t xml:space="preserve">the PCH routing heuristic is considered the strongest patent-eligibility candidate across the entire skills portfolio</w:t>
      </w:r>
      <w:r>
        <w:t xml:space="preserve">, precisely because it is a concrete computational method with a measurable technical output — a specific route assignment and a specific, verifiable distance saved — rather than a pure scoring-weight scheme applied to financial or business ratios. That places it closer to the kind of technical process that has cleared the Alice/Mayo abstract-idea threshold in past cases than the library's other six algorithms (PDQI, PESS, PCRS, PAVS, PREIS, PSTS, PIMRI), which are scoring models more naturally suited to trade-secret protection than to a patent claim as currently written.</w:t>
      </w:r>
    </w:p>
    <w:p>
      <w:pPr>
        <w:spacing w:after="160"/>
      </w:pPr>
      <w:r>
        <w:t xml:space="preserve">That relative strength has firm limits, and stating them plainly is itself part of what makes this document useful to a sophisticated reader rather than a liability to one:</w:t>
      </w:r>
    </w:p>
    <w:p>
      <w:pPr>
        <w:pStyle w:val="ListParagraph"/>
        <w:numPr>
          <w:ilvl w:val="0"/>
          <w:numId w:val="1"/>
        </w:numPr>
        <w:spacing w:after="60"/>
      </w:pPr>
      <w:r>
        <w:rPr>
          <w:b/>
          <w:bCs/>
        </w:rPr>
        <w:t xml:space="preserve">The Clarke-Wright backbone itself is prior art from 1964 and is not patentable by Nishant Prabhakar under any circumstance.</w:t>
      </w:r>
      <w:r>
        <w:t xml:space="preserve"> Any patent claim that reads on the savings-matrix computation itself, without more, would be invalid on novelty grounds alone.</w:t>
      </w:r>
    </w:p>
    <w:p>
      <w:pPr>
        <w:pStyle w:val="ListParagraph"/>
        <w:numPr>
          <w:ilvl w:val="0"/>
          <w:numId w:val="1"/>
        </w:numPr>
        <w:spacing w:after="60"/>
      </w:pPr>
      <w:r>
        <w:rPr>
          <w:b/>
          <w:bCs/>
        </w:rPr>
        <w:t xml:space="preserve">Only the specific priority-weighting overlay, and its combination with the greedy merge loop, could plausibly support a patent claim.</w:t>
      </w:r>
      <w:r>
        <w:t xml:space="preserve"> A claim would need to be drafted around the specific multiplicative combination of tier/urgency/carbon multipliers, their point of insertion ahead of the sort step, and the resulting technical effect on route assignment and distance saved — not around "prioritizing shipments" as a general concept, which is almost certainly too abstract to survive an eligibility challenge on its own.</w:t>
      </w:r>
    </w:p>
    <w:p>
      <w:pPr>
        <w:pStyle w:val="ListParagraph"/>
        <w:numPr>
          <w:ilvl w:val="0"/>
          <w:numId w:val="1"/>
        </w:numPr>
        <w:spacing w:after="60"/>
      </w:pPr>
      <w:r>
        <w:rPr>
          <w:b/>
          <w:bCs/>
        </w:rPr>
        <w:t xml:space="preserve">"Patentable" in this document means "specified precisely enough to be a serious patent-counsel conversation," not "patented" or "guaranteed patentable."</w:t>
      </w:r>
      <w:r>
        <w:t xml:space="preserve"> No patent has been filed, examined, or granted on this methodology. Actual patent protection requires engaging a qualified patent attorney, conducting a prior-art search specifically covering priority-weighted vehicle-routing methods (which may well exist in the broader VRP and logistics-software patent literature and have not been searched as part of preparing this document), and drafting claims narrow enough to survive that search — none of which this document performs or substitutes for.</w:t>
      </w:r>
    </w:p>
    <w:p>
      <w:pPr>
        <w:spacing w:after="160"/>
      </w:pPr>
      <w:r>
        <w:t xml:space="preserve">For valuation purposes, the appropriate framing is: PCH carries an unusually credible (relative to the rest of the portfolio) but entirely unconfirmed path to patent protection, layered on top of trade-secret protection that is already in effect. A valuer should treat the trade-secret protection as the baseline, present-value-relevant asset, and any patent-eligibility discussion as an option value contingent on a future filing decision that has not yet been made.</w:t>
      </w:r>
    </w:p>
    <w:p>
      <w:pPr>
        <w:pStyle w:val="Heading1"/>
        <w:spacing w:after="120" w:before="240"/>
      </w:pPr>
      <w:r>
        <w:t xml:space="preserve">9. Known Limitations</w:t>
      </w:r>
    </w:p>
    <w:p>
      <w:pPr>
        <w:spacing w:after="160"/>
      </w:pPr>
      <w:r>
        <w:t xml:space="preserve">These limitations are transcribed from the authoritative specification without softening. An accurate statement of limitations is itself valuation-relevant: it sets correct expectations for a licensee or buyer about what PCH does and does not do, and a document that omitted them would be less credible, not more valuable.</w:t>
      </w:r>
    </w:p>
    <w:p>
      <w:pPr>
        <w:pStyle w:val="ListParagraph"/>
        <w:numPr>
          <w:ilvl w:val="0"/>
          <w:numId w:val="1"/>
        </w:numPr>
        <w:spacing w:after="60"/>
      </w:pPr>
      <w:r>
        <w:rPr>
          <w:b/>
          <w:bCs/>
        </w:rPr>
        <w:t xml:space="preserve">Savings-algorithm heuristics are not optimal.</w:t>
      </w:r>
      <w:r>
        <w:t xml:space="preserve"> Clarke-Wright-style greedy savings heuristics are well documented in the OR literature to land roughly 5–15% above the true optimal total distance for realistic instances, not at it. PCH inherits that gap. For networks where the last few percent of routing efficiency matters enough to justify the cost, a full VRP solver (exact or metaheuristic — branch-and-cut, simulated annealing, genetic algorithms) should be run instead; PCH is the fast, explainable first pass, not the final word.</w:t>
      </w:r>
    </w:p>
    <w:p>
      <w:pPr>
        <w:pStyle w:val="ListParagraph"/>
        <w:numPr>
          <w:ilvl w:val="0"/>
          <w:numId w:val="1"/>
        </w:numPr>
        <w:spacing w:after="60"/>
      </w:pPr>
      <w:r>
        <w:rPr>
          <w:b/>
          <w:bCs/>
        </w:rPr>
        <w:t xml:space="preserve">PCH does not model real-time traffic or dynamic re-routing.</w:t>
      </w:r>
      <w:r>
        <w:t xml:space="preserve"> Distances and durations are static inputs (or straight-line/Euclidean estimates). A route that looks efficient on the savings matrix can still run long because of live congestion, road closures, or a driver going off-plan — PCH plans the network, it doesn't operate it in real time.</w:t>
      </w:r>
    </w:p>
    <w:p>
      <w:pPr>
        <w:pStyle w:val="ListParagraph"/>
        <w:numPr>
          <w:ilvl w:val="0"/>
          <w:numId w:val="1"/>
        </w:numPr>
        <w:spacing w:after="60"/>
      </w:pPr>
      <w:r>
        <w:rPr>
          <w:b/>
          <w:bCs/>
        </w:rPr>
        <w:t xml:space="preserve">Capacity and duration constraints are simplified.</w:t>
      </w:r>
      <w:r>
        <w:t xml:space="preserve"> The maxRouteDurationMinutes check is a flat cap computed from average speed and per-stop service time; it does not model real driver hours-of-service regulations (mandatory breaks, daily/weekly driving limits, rest periods), time-window constraints at individual stops, or multi-depot/multi-vehicle-type fleets. Treat PCH's output as a planning input to a real transportation-management system (TMS) or dispatch process, not a compliance-ready dispatch order.</w:t>
      </w:r>
    </w:p>
    <w:p>
      <w:pPr>
        <w:pStyle w:val="ListParagraph"/>
        <w:numPr>
          <w:ilvl w:val="0"/>
          <w:numId w:val="1"/>
        </w:numPr>
        <w:spacing w:after="60"/>
      </w:pPr>
      <w:r>
        <w:rPr>
          <w:b/>
          <w:bCs/>
        </w:rPr>
        <w:t xml:space="preserve">PLNES's P5 estimate and PCH's actual findings can disagree.</w:t>
      </w:r>
      <w:r>
        <w:t xml:space="preserve"> P5 (Network Density / Consolidation Potential) is a rough, often analyst-estimated proxy for consolidation opportunity in the companion PLNES diagnostic; PCH works off the actual shipment list and real constraints. Treat a large gap between "P5 said there was room" and "PCH found little to merge" as a signal that P5's input estimate needs to be revisited, not that either tool is wrong.</w:t>
      </w:r>
    </w:p>
    <w:p>
      <w:pPr>
        <w:pStyle w:val="Heading1"/>
        <w:spacing w:after="120" w:before="240"/>
      </w:pPr>
      <w:r>
        <w:t xml:space="preserve">10. Versioning and Change Control</w:t>
      </w:r>
    </w:p>
    <w:p>
      <w:pPr>
        <w:spacing w:after="160"/>
      </w:pPr>
      <w:r>
        <w:t xml:space="preserve">Any change to a weight, formula, anchor value, or priority-weighting multiplier is a version bump with an entry below — the whole point of a proprietary, named heuristic overlay is that "a PCH v1.0 run" means the same thing every time it is quoted. Silent tuning defeats that, and would also weaken any future trade-secret or patent claim, both of which depend on the methodology being a fixed, checkable thing rather than an unversioned moving target.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pPr>
              <w:jc w:val="center"/>
            </w:pPr>
            <w:r>
              <w:rPr>
                <w:b/>
                <w:bCs/>
                <w:color w:val="FFFFFF"/>
              </w:rPr>
              <w:t xml:space="preserve">Version</w:t>
            </w:r>
          </w:p>
        </w:tc>
        <w:tc>
          <w:tcPr>
            <w:shd w:fill="1B2A4A" w:val="solid"/>
          </w:tcPr>
          <w:p>
            <w:pPr>
              <w:jc w:val="center"/>
            </w:pPr>
            <w:r>
              <w:rPr>
                <w:b/>
                <w:bCs/>
                <w:color w:val="FFFFFF"/>
              </w:rPr>
              <w:t xml:space="preserve">Date</w:t>
            </w:r>
          </w:p>
        </w:tc>
        <w:tc>
          <w:tcPr>
            <w:shd w:fill="1B2A4A" w:val="solid"/>
          </w:tcPr>
          <w:p>
            <w:r>
              <w:rPr>
                <w:b/>
                <w:bCs/>
                <w:color w:val="FFFFFF"/>
              </w:rPr>
              <w:t xml:space="preserve">Change</w:t>
            </w:r>
          </w:p>
        </w:tc>
      </w:tr>
      <w:tr>
        <w:tc>
          <w:p>
            <w:pPr>
              <w:jc w:val="center"/>
            </w:pPr>
            <w:r>
              <w:t xml:space="preserve">1.0</w:t>
            </w:r>
          </w:p>
        </w:tc>
        <w:tc>
          <w:p>
            <w:pPr>
              <w:jc w:val="center"/>
            </w:pPr>
            <w:r>
              <w:t xml:space="preserve">2026-08-10</w:t>
            </w:r>
          </w:p>
        </w:tc>
        <w:tc>
          <w:p>
            <w:r>
              <w:t xml:space="preserve">Initial specification and reference implementation for both PLNES and PCH</w:t>
            </w:r>
          </w:p>
        </w:tc>
      </w:tr>
    </w:tbl>
    <w:p>
      <w:pPr>
        <w:pStyle w:val="Heading1"/>
        <w:spacing w:after="120" w:before="240"/>
      </w:pPr>
      <w:r>
        <w:t xml:space="preserve">11. Reference Implementation</w:t>
      </w:r>
    </w:p>
    <w:p>
      <w:pPr>
        <w:spacing w:after="160"/>
      </w:pPr>
      <w:r>
        <w:t xml:space="preserve">PCH is not documented as prose alone. scripts/consolidate.js is a literal, runnable implementation of the specification in reference/algorithm.md §8, and it is the actual source of every number in Section 6 above — the worked example in this whitepaper was copied from that script's real output against scripts/stops-example.json, not hand-computed or independently derived. Running node consolidate.js scripts/stops-example.json reproduces the savings matrix, the merge decision log, the final route groupings, and the 40.32% distance-saved figure exactly.</w:t>
      </w:r>
    </w:p>
    <w:p>
      <w:pPr>
        <w:spacing w:after="160"/>
      </w:pPr>
      <w:r>
        <w:t xml:space="preserve">That reproducibility is itself valuation-relevant evidence: a methodology whose central claims can be independently re-derived by a third party running the reference implementation against the published inputs is a materially stronger diligence artifact than a description of an algorithm that cannot be checked. Reviewers of this document — a valuer, a licensing counterparty's technical staff, or IP counsel — are encouraged to run the script directly rather than take the transcribed numbers in Section 6 on faith.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2026-08-10T15:58:33.186Z</dcterms:created>
  <dcterms:modified xsi:type="dcterms:W3CDTF">2026-08-10T15:58:33.188Z</dcterms:modified>
</cp:coreProperties>
</file>

<file path=docProps/custom.xml><?xml version="1.0" encoding="utf-8"?>
<Properties xmlns="http://schemas.openxmlformats.org/officeDocument/2006/custom-properties" xmlns:vt="http://schemas.openxmlformats.org/officeDocument/2006/docPropsVTypes"/>
</file>