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Prabhakar Credit Risk Score (PCRS)</w:t>
      </w:r>
    </w:p>
    <w:p>
      <w:pPr>
        <w:spacing w:after="160"/>
        <w:jc w:val="center"/>
      </w:pPr>
      <w:r>
        <w:rPr>
          <w:b/>
          <w:bCs/>
        </w:rPr>
        <w:t xml:space="preserve">Confidential — Proprietary Methodology.</w:t>
      </w:r>
      <w:r>
        <w:t xml:space="preserve"> Author/Owner: Nishant Prabhakar. Version 1.0 (2026-08-10). This document is prepared to support valuation, licensing, or IP-diligence review of the methodology described within.</w:t>
      </w:r>
    </w:p>
    <w:p>
      <w:pPr>
        <w:pStyle w:val="Heading1"/>
        <w:spacing w:after="120" w:before="24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t xml:space="preserve">1. Executive Summary</w:t>
      </w:r>
    </w:p>
    <w:p>
      <w:pPr>
        <w:spacing w:after="160"/>
      </w:pPr>
      <w:r>
        <w:t xml:space="preserve">The </w:t>
      </w:r>
      <w:r>
        <w:rPr>
          <w:b/>
          <w:bCs/>
        </w:rPr>
        <w:t xml:space="preserve">Prabhakar Credit Risk Score (PCRS)</w:t>
      </w:r>
      <w:r>
        <w:t xml:space="preserve"> is a proprietary, six-pillar weighted scoring methodology for corporate credit risk analysis and lending underwriting, developed by Nishant Prabhakar and first specified as </w:t>
      </w:r>
      <w:r>
        <w:rPr>
          <w:b/>
          <w:bCs/>
        </w:rPr>
        <w:t xml:space="preserve">v1.0</w:t>
      </w:r>
      <w:r>
        <w:t xml:space="preserve"> on </w:t>
      </w:r>
      <w:r>
        <w:rPr>
          <w:b/>
          <w:bCs/>
        </w:rPr>
        <w:t xml:space="preserve">2026-08-10</w:t>
      </w:r>
      <w:r>
        <w:t xml:space="preserve">. It converts a corporate borrower's financial statements, computed ratios, and qualitative diligence notes into a single composite score on a 0–100 scale, which is then mapped to an agency-style rating band (AAA-equivalent through CC/C-equivalent) and an indicative, directional credit-spread range. The methodology is fully specified — every weight, formula, and anchor point is documented in the authoritative specification (`reference/algorithm.md`) and mirrored in a literal, runnable reference implementation (`scripts/score.js`), such that the same inputs always produce the same score, from anyone, at any time.</w:t>
      </w:r>
    </w:p>
    <w:p>
      <w:pPr>
        <w:spacing w:after="160"/>
      </w:pPr>
      <w:r>
        <w:t xml:space="preserve">PCRS solves a specific, recurring problem in lending workflows: two credit analysts reviewing the same borrower file, using ad hoc judgment, will routinely land on different risk conclusions and be unable to reconstruct why. PCRS forces the same six questions — leverage, coverage, liquidity, profitability and stability, industry and cyclicality risk, and qualitative/governance factors — to be answered the same way, every time, for every borrower, producing a number that is auditable back to named inputs rather than a gut-feel rating. It is designed as a </w:t>
      </w:r>
      <w:r>
        <w:rPr>
          <w:b/>
          <w:bCs/>
        </w:rPr>
        <w:t xml:space="preserve">triage and relative-ranking tool for underwriting and pricing</w:t>
      </w:r>
      <w:r>
        <w:t xml:space="preserve">, explicitly not a regulatory capital model, and explicitly not a substitute for legal or covenant due diligence.</w:t>
      </w:r>
    </w:p>
    <w:p>
      <w:pPr>
        <w:spacing w:after="160"/>
      </w:pPr>
      <w:r>
        <w:rPr>
          <w:b/>
          <w:bCs/>
        </w:rPr>
        <w:t xml:space="preserve">Novelty claim.</w:t>
      </w:r>
      <w:r>
        <w:t xml:space="preserve"> PCRS's contribution is not any single formula in isolation — ratio-based credit scoring has a long public lineage (see Section 8) — but the specific, integrated combination of: (a) sector-relative rather than absolute leverage scoring, which corrects a known distortion in generic threshold-based credit models; (b) an explicit, separately-weighted margin-volatility sub-metric that distinguishes a stable earner from an equally-profitable but erratic one, a distinction most trailing-twelve-month ratio snapshots cannot make; (c) a governance red-flag mechanism that degrades the qualitative pillar deductively rather than requiring a subjective override; and (d) a confidence/completeness framework that makes missing data mathematically visible in the output rather than silently absorbed into a guessed number. The integration of these four elements into one reproducible, versioned formula — together with the specific weights and anchor values chosen — is the proprietary work product this document supports valuing.</w:t>
      </w:r>
    </w:p>
    <w:p>
      <w:pPr>
        <w:pStyle w:val="Heading1"/>
        <w:spacing w:after="120" w:before="240"/>
      </w:pPr>
      <w:r>
        <w:t xml:space="preserve">2. Purpose and Positioning</w:t>
      </w:r>
    </w:p>
    <w:p>
      <w:pPr>
        <w:pStyle w:val="Heading2"/>
        <w:spacing w:after="120" w:before="240"/>
      </w:pPr>
      <w:r>
        <w:t xml:space="preserve">2.1 What PCRS is</w:t>
      </w:r>
    </w:p>
    <w:p>
      <w:pPr>
        <w:spacing w:after="160"/>
      </w:pPr>
      <w:r>
        <w:t xml:space="preserve">The PCRS is a </w:t>
      </w:r>
      <w:r>
        <w:rPr>
          <w:b/>
          <w:bCs/>
        </w:rPr>
        <w:t xml:space="preserve">triage and relative-ranking tool for underwriting and pricing</w:t>
      </w:r>
      <w:r>
        <w:t xml:space="preserve">, not a regulatory capital model and not a substitute for full covenant or legal review. It exists to do three things quickly and consistently across a lending pipeline:</w:t>
      </w:r>
    </w:p>
    <w:p>
      <w:pPr>
        <w:pStyle w:val="ListParagraph"/>
        <w:numPr>
          <w:ilvl w:val="0"/>
          <w:numId w:val="2"/>
        </w:numPr>
        <w:spacing w:after="60"/>
      </w:pPr>
      <w:r>
        <w:t xml:space="preserve">Convert a borrower's financials, ratios, and qualitative diligence notes into one comparable number, produced the same way every time.</w:t>
      </w:r>
    </w:p>
    <w:p>
      <w:pPr>
        <w:pStyle w:val="ListParagraph"/>
        <w:numPr>
          <w:ilvl w:val="0"/>
          <w:numId w:val="2"/>
        </w:numPr>
        <w:spacing w:after="60"/>
      </w:pPr>
      <w:r>
        <w:t xml:space="preserve">Force the same six questions to get answered for every borrower, so two credit analysts scoring the same file land on the same number (±5 points).</w:t>
      </w:r>
    </w:p>
    <w:p>
      <w:pPr>
        <w:pStyle w:val="ListParagraph"/>
        <w:numPr>
          <w:ilvl w:val="0"/>
          <w:numId w:val="2"/>
        </w:numPr>
        <w:spacing w:after="60"/>
      </w:pPr>
      <w:r>
        <w:t xml:space="preserve">Surface which specific pillar is driving the risk, not just a gut feel — so the credit-committee conversation is "coverage is thin at 3.2x interest coverage against a 3-6x healthy band" instead of "this one feels tight."</w:t>
      </w:r>
    </w:p>
    <w:p>
      <w:pPr>
        <w:spacing w:after="160"/>
      </w:pPr>
      <w:r>
        <w:t xml:space="preserve">It is deliberately not a black box: every sub-score is a named, auditable formula against a named input. If an input is unknown, the algorithm says so and degrades its confidence rating rather than guessing silently.</w:t>
      </w:r>
    </w:p>
    <w:p>
      <w:pPr>
        <w:pStyle w:val="Heading2"/>
        <w:spacing w:after="120" w:before="240"/>
      </w:pPr>
      <w:r>
        <w:t xml:space="preserve">2.2 What PCRS explicitly is not</w:t>
      </w:r>
    </w:p>
    <w:p>
      <w:pPr>
        <w:pStyle w:val="ListParagraph"/>
        <w:numPr>
          <w:ilvl w:val="0"/>
          <w:numId w:val="1"/>
        </w:numPr>
        <w:spacing w:after="60"/>
      </w:pPr>
      <w:r>
        <w:rPr>
          <w:b/>
          <w:bCs/>
        </w:rPr>
        <w:t xml:space="preserve">Not a regulatory capital model.</w:t>
      </w:r>
      <w:r>
        <w:t xml:space="preserve"> It does not produce a Basel-compliant Probability of Default (PD) or Loss Given Default (LGD) estimate, is not calibrated against a regulatory default database, and should never be represented as such to a regulator, auditor, or rating agency.</w:t>
      </w:r>
    </w:p>
    <w:p>
      <w:pPr>
        <w:pStyle w:val="ListParagraph"/>
        <w:numPr>
          <w:ilvl w:val="0"/>
          <w:numId w:val="1"/>
        </w:numPr>
        <w:spacing w:after="60"/>
      </w:pPr>
      <w:r>
        <w:rPr>
          <w:b/>
          <w:bCs/>
        </w:rPr>
        <w:t xml:space="preserve">Not a substitute for full covenant or legal review.</w:t>
      </w:r>
      <w:r>
        <w:t xml:space="preserve"> PCRS scores what is disclosed in the financials and diligence notes. It does not read credit agreements, does not verify collateral perfection, and does not check cross-default or MAC clause language. Run real legal/covenant diligence in parallel — PCRS tells you whether the credit is worth that effort and at roughly what price.</w:t>
      </w:r>
    </w:p>
    <w:p>
      <w:pPr>
        <w:pStyle w:val="ListParagraph"/>
        <w:numPr>
          <w:ilvl w:val="0"/>
          <w:numId w:val="1"/>
        </w:numPr>
        <w:spacing w:after="60"/>
      </w:pPr>
      <w:r>
        <w:rPr>
          <w:b/>
          <w:bCs/>
        </w:rPr>
        <w:t xml:space="preserve">Not a cash-flow or amortization forecaster.</w:t>
      </w:r>
      <w:r>
        <w:t xml:space="preserve"> It scores the current credit profile, not a projected repayment schedule. Build a real debt schedule / stress-tested cash flow model separately for sizing and structuring decisions.</w:t>
      </w:r>
    </w:p>
    <w:p>
      <w:pPr>
        <w:pStyle w:val="Heading1"/>
        <w:spacing w:after="120" w:before="240"/>
      </w:pPr>
      <w:r>
        <w:t xml:space="preserve">3. Methodology at a Glance</w:t>
      </w:r>
    </w:p>
    <w:p>
      <w:pPr>
        <w:pStyle w:val="Heading2"/>
        <w:spacing w:after="120" w:before="240"/>
      </w:pPr>
      <w:r>
        <w:t xml:space="preserve">3.1 Structure at a glance</w:t>
      </w:r>
    </w:p>
    <w:p>
      <w:pPr>
        <w:spacing w:after="160"/>
      </w:pPr>
      <w:r>
        <w:t xml:space="preserve">Six weighted pillars, each scored 0–100, rolled into one composite:</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Pillar</w:t>
            </w:r>
          </w:p>
        </w:tc>
        <w:tc>
          <w:tcPr>
            <w:shd w:fill="1B2A4A" w:val="solid"/>
          </w:tcPr>
          <w:p>
            <w:r>
              <w:rPr>
                <w:b/>
                <w:bCs/>
                <w:color w:val="FFFFFF"/>
              </w:rPr>
              <w:t xml:space="preserve">Weight</w:t>
            </w:r>
          </w:p>
        </w:tc>
        <w:tc>
          <w:tcPr>
            <w:shd w:fill="1B2A4A" w:val="solid"/>
          </w:tcPr>
          <w:p>
            <w:r>
              <w:rPr>
                <w:b/>
                <w:bCs/>
                <w:color w:val="FFFFFF"/>
              </w:rPr>
              <w:t xml:space="preserve">What it answers</w:t>
            </w:r>
          </w:p>
        </w:tc>
      </w:tr>
      <w:tr>
        <w:tc>
          <w:p>
            <w:r>
              <w:t xml:space="preserve">P1. Leverage</w:t>
            </w:r>
          </w:p>
        </w:tc>
        <w:tc>
          <w:p>
            <w:r>
              <w:t xml:space="preserve">25%</w:t>
            </w:r>
          </w:p>
        </w:tc>
        <w:tc>
          <w:p>
            <w:r>
              <w:t xml:space="preserve">How much debt is sitting on this balance sheet relative to earnings and equity?</w:t>
            </w:r>
          </w:p>
        </w:tc>
      </w:tr>
      <w:tr>
        <w:tc>
          <w:tcPr>
            <w:shd w:fill="F3F4F6" w:val="solid"/>
          </w:tcPr>
          <w:p>
            <w:r>
              <w:t xml:space="preserve">P2. Coverage</w:t>
            </w:r>
          </w:p>
        </w:tc>
        <w:tc>
          <w:tcPr>
            <w:shd w:fill="F3F4F6" w:val="solid"/>
          </w:tcPr>
          <w:p>
            <w:r>
              <w:t xml:space="preserve">20%</w:t>
            </w:r>
          </w:p>
        </w:tc>
        <w:tc>
          <w:tcPr>
            <w:shd w:fill="F3F4F6" w:val="solid"/>
          </w:tcPr>
          <w:p>
            <w:r>
              <w:t xml:space="preserve">Can current cash flow actually service the debt, with room to spare?</w:t>
            </w:r>
          </w:p>
        </w:tc>
      </w:tr>
      <w:tr>
        <w:tc>
          <w:p>
            <w:r>
              <w:t xml:space="preserve">P3. Liquidity</w:t>
            </w:r>
          </w:p>
        </w:tc>
        <w:tc>
          <w:p>
            <w:r>
              <w:t xml:space="preserve">15%</w:t>
            </w:r>
          </w:p>
        </w:tc>
        <w:tc>
          <w:p>
            <w:r>
              <w:t xml:space="preserve">Can the borrower meet near-term obligations without a fire sale?</w:t>
            </w:r>
          </w:p>
        </w:tc>
      </w:tr>
      <w:tr>
        <w:tc>
          <w:tcPr>
            <w:shd w:fill="F3F4F6" w:val="solid"/>
          </w:tcPr>
          <w:p>
            <w:r>
              <w:t xml:space="preserve">P4. Profitability &amp; Stability</w:t>
            </w:r>
          </w:p>
        </w:tc>
        <w:tc>
          <w:tcPr>
            <w:shd w:fill="F3F4F6" w:val="solid"/>
          </w:tcPr>
          <w:p>
            <w:r>
              <w:t xml:space="preserve">15%</w:t>
            </w:r>
          </w:p>
        </w:tc>
        <w:tc>
          <w:tcPr>
            <w:shd w:fill="F3F4F6" w:val="solid"/>
          </w:tcPr>
          <w:p>
            <w:r>
              <w:t xml:space="preserve">Are margins good and dependable, or good this year only?</w:t>
            </w:r>
          </w:p>
        </w:tc>
      </w:tr>
      <w:tr>
        <w:tc>
          <w:p>
            <w:r>
              <w:t xml:space="preserve">P5. Industry &amp; Cyclicality Risk</w:t>
            </w:r>
          </w:p>
        </w:tc>
        <w:tc>
          <w:p>
            <w:r>
              <w:t xml:space="preserve">10%</w:t>
            </w:r>
          </w:p>
        </w:tc>
        <w:tc>
          <w:p>
            <w:r>
              <w:t xml:space="preserve">Does this sector default at 1% or 15% through a downturn?</w:t>
            </w:r>
          </w:p>
        </w:tc>
      </w:tr>
      <w:tr>
        <w:tc>
          <w:tcPr>
            <w:shd w:fill="F3F4F6" w:val="solid"/>
          </w:tcPr>
          <w:p>
            <w:r>
              <w:t xml:space="preserve">P6. Qualitative &amp; Governance</w:t>
            </w:r>
          </w:p>
        </w:tc>
        <w:tc>
          <w:tcPr>
            <w:shd w:fill="F3F4F6" w:val="solid"/>
          </w:tcPr>
          <w:p>
            <w:r>
              <w:t xml:space="preserve">15%</w:t>
            </w:r>
          </w:p>
        </w:tc>
        <w:tc>
          <w:tcPr>
            <w:shd w:fill="F3F4F6" w:val="solid"/>
          </w:tcPr>
          <w:p>
            <w:r>
              <w:t xml:space="preserve">Is management credible, is the collateral real, and is anything being hidden?</w:t>
            </w:r>
          </w:p>
        </w:tc>
      </w:tr>
    </w:tbl>
    <w:p>
      <w:pPr>
        <w:spacing w:after="160"/>
        <w:jc w:val="center"/>
      </w:pPr>
      <w:r>
        <w:t xml:space="preserve">PCRS = 0.25·P1 + 0.20·P2 + 0.15·P3 + 0.15·P4 + 0.10·P5 + 0.15·P6</w:t>
      </w:r>
    </w:p>
    <w:p>
      <w:pPr>
        <w:spacing w:after="160"/>
      </w:pPr>
      <w:r>
        <w:rPr>
          <w:b/>
          <w:bCs/>
        </w:rPr>
        <w:t xml:space="preserve">Weighting rationale.</w:t>
      </w:r>
      <w:r>
        <w:t xml:space="preserve"> Leverage and coverage together are 45% of the score by design — they are the two variables most directly tied to default mechanics (a company defaults when it cannot service debt, and leverage is the leading indicator of when coverage breaks). Liquidity and profitability/stability are real but slower-moving signals, weighted lower individually. Industry risk is weighted lowest of the quantitative-adjacent pillars because it is a base-rate adjustment, not a borrower-specific signal — but it still matters enough (10%) that a single-B commodity shipping company and a single-B regulated utility should not land at the same PCRS if everything else about them looks identical. Qualitative &amp; governance sits at 15% because a governance red flag (undisclosed related-party dealing, a prior covenant breach) can invalidate the trustworthiness of every other pillar's inputs, which is worth real weight even though it is the softest pillar.</w:t>
      </w:r>
    </w:p>
    <w:p>
      <w:pPr>
        <w:pStyle w:val="Heading2"/>
        <w:spacing w:after="120" w:before="240"/>
      </w:pPr>
      <w:r>
        <w:t xml:space="preserve">3.2 Score bands — rating-agency-style mapping</w:t>
      </w:r>
    </w:p>
    <w:p>
      <w:pPr>
        <w:spacing w:after="160"/>
      </w:pPr>
      <w:r>
        <w:t xml:space="preserve">PCRS bands are mapped to a rating-agency-style scale for ease of communication with credit committees and investors already fluent in that convention. The basis-point spread ranges are illustrative and directional only — they are not a market quote, not a pricing commitment, and not calibrated to any specific benchmark curve, index, or day. Always price off an actual market quote sheet; use these only to communicate roughly what tier of pricing a PCRS implies.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gridCol w:w="100"/>
      </w:tblGrid>
      <w:tr>
        <w:trPr>
          <w:tblHeader/>
        </w:trPr>
        <w:tc>
          <w:tcPr>
            <w:shd w:fill="1B2A4A" w:val="solid"/>
          </w:tcPr>
          <w:p>
            <w:r>
              <w:rPr>
                <w:b/>
                <w:bCs/>
                <w:color w:val="FFFFFF"/>
              </w:rPr>
              <w:t xml:space="preserve">PCRS</w:t>
            </w:r>
          </w:p>
        </w:tc>
        <w:tc>
          <w:tcPr>
            <w:shd w:fill="1B2A4A" w:val="solid"/>
          </w:tcPr>
          <w:p>
            <w:r>
              <w:rPr>
                <w:b/>
                <w:bCs/>
                <w:color w:val="FFFFFF"/>
              </w:rPr>
              <w:t xml:space="preserve">Rating-agency-equivalent band</w:t>
            </w:r>
          </w:p>
        </w:tc>
        <w:tc>
          <w:tcPr>
            <w:shd w:fill="1B2A4A" w:val="solid"/>
          </w:tcPr>
          <w:p>
            <w:r>
              <w:rPr>
                <w:b/>
                <w:bCs/>
                <w:color w:val="FFFFFF"/>
              </w:rPr>
              <w:t xml:space="preserve">Indicative spread over risk-free benchmark*</w:t>
            </w:r>
          </w:p>
        </w:tc>
        <w:tc>
          <w:tcPr>
            <w:shd w:fill="1B2A4A" w:val="solid"/>
          </w:tcPr>
          <w:p>
            <w:r>
              <w:rPr>
                <w:b/>
                <w:bCs/>
                <w:color w:val="FFFFFF"/>
              </w:rPr>
              <w:t xml:space="preserve">Action</w:t>
            </w:r>
          </w:p>
        </w:tc>
      </w:tr>
      <w:tr>
        <w:tc>
          <w:p>
            <w:r>
              <w:t xml:space="preserve">85–100</w:t>
            </w:r>
          </w:p>
        </w:tc>
        <w:tc>
          <w:p>
            <w:r>
              <w:t xml:space="preserve">AAA/AA-equivalent</w:t>
            </w:r>
          </w:p>
        </w:tc>
        <w:tc>
          <w:p>
            <w:r>
              <w:t xml:space="preserve">+50 to +100 bps</w:t>
            </w:r>
          </w:p>
        </w:tc>
        <w:tc>
          <w:p>
            <w:r>
              <w:t xml:space="preserve">Approve; price at the tight end of the book</w:t>
            </w:r>
          </w:p>
        </w:tc>
      </w:tr>
      <w:tr>
        <w:tc>
          <w:tcPr>
            <w:shd w:fill="F3F4F6" w:val="solid"/>
          </w:tcPr>
          <w:p>
            <w:r>
              <w:t xml:space="preserve">70–84</w:t>
            </w:r>
          </w:p>
        </w:tc>
        <w:tc>
          <w:tcPr>
            <w:shd w:fill="F3F4F6" w:val="solid"/>
          </w:tcPr>
          <w:p>
            <w:r>
              <w:t xml:space="preserve">A/BBB-equivalent (Investment Grade)</w:t>
            </w:r>
          </w:p>
        </w:tc>
        <w:tc>
          <w:tcPr>
            <w:shd w:fill="F3F4F6" w:val="solid"/>
          </w:tcPr>
          <w:p>
            <w:r>
              <w:t xml:space="preserve">+100 to +250 bps</w:t>
            </w:r>
          </w:p>
        </w:tc>
        <w:tc>
          <w:tcPr>
            <w:shd w:fill="F3F4F6" w:val="solid"/>
          </w:tcPr>
          <w:p>
            <w:r>
              <w:t xml:space="preserve">Approve; standard IG covenant package</w:t>
            </w:r>
          </w:p>
        </w:tc>
      </w:tr>
      <w:tr>
        <w:tc>
          <w:p>
            <w:r>
              <w:t xml:space="preserve">50–69</w:t>
            </w:r>
          </w:p>
        </w:tc>
        <w:tc>
          <w:p>
            <w:r>
              <w:t xml:space="preserve">BB/B-equivalent (High Yield)</w:t>
            </w:r>
          </w:p>
        </w:tc>
        <w:tc>
          <w:p>
            <w:r>
              <w:t xml:space="preserve">+250 to +600 bps</w:t>
            </w:r>
          </w:p>
        </w:tc>
        <w:tc>
          <w:p>
            <w:r>
              <w:t xml:space="preserve">Approve with tighter covenants/pricing, or escalate to committee</w:t>
            </w:r>
          </w:p>
        </w:tc>
      </w:tr>
      <w:tr>
        <w:tc>
          <w:tcPr>
            <w:shd w:fill="F3F4F6" w:val="solid"/>
          </w:tcPr>
          <w:p>
            <w:r>
              <w:t xml:space="preserve">30–49</w:t>
            </w:r>
          </w:p>
        </w:tc>
        <w:tc>
          <w:tcPr>
            <w:shd w:fill="F3F4F6" w:val="solid"/>
          </w:tcPr>
          <w:p>
            <w:r>
              <w:t xml:space="preserve">CCC-equivalent (Substantial Risk)</w:t>
            </w:r>
          </w:p>
        </w:tc>
        <w:tc>
          <w:tcPr>
            <w:shd w:fill="F3F4F6" w:val="solid"/>
          </w:tcPr>
          <w:p>
            <w:r>
              <w:t xml:space="preserve">+600 to +1,000 bps</w:t>
            </w:r>
          </w:p>
        </w:tc>
        <w:tc>
          <w:tcPr>
            <w:shd w:fill="F3F4F6" w:val="solid"/>
          </w:tcPr>
          <w:p>
            <w:r>
              <w:t xml:space="preserve">Decline, or restructure (collateral, guarantees, amortization) before proceeding</w:t>
            </w:r>
          </w:p>
        </w:tc>
      </w:tr>
      <w:tr>
        <w:tc>
          <w:p>
            <w:r>
              <w:t xml:space="preserve">0–29</w:t>
            </w:r>
          </w:p>
        </w:tc>
        <w:tc>
          <w:p>
            <w:r>
              <w:t xml:space="preserve">CC/C-equivalent (Distressed)</w:t>
            </w:r>
          </w:p>
        </w:tc>
        <w:tc>
          <w:p>
            <w:r>
              <w:t xml:space="preserve">+1,000 to +2,000+ bps</w:t>
            </w:r>
          </w:p>
        </w:tc>
        <w:tc>
          <w:p>
            <w:r>
              <w:t xml:space="preserve">Decline; workout/special-situations territory, not new-money underwriting</w:t>
            </w:r>
          </w:p>
        </w:tc>
      </w:tr>
    </w:tbl>
    <w:p>
      <w:pPr>
        <w:spacing w:after="160"/>
      </w:pPr>
      <w:r>
        <w:t xml:space="preserve">*Risk-free benchmark = the relevant sovereign or swap curve for the borrower's currency and tenor (e.g. the matching-tenor government bond yield). These ranges assume a normal-volatility credit market; in a liquidity crisis or flight-to-quality episode, actual clearing spreads at every band can widen well beyond this table — see Section 10.</w:t>
      </w:r>
    </w:p>
    <w:p>
      <w:pPr>
        <w:spacing w:after="160"/>
      </w:pPr>
      <w:r>
        <w:t xml:space="preserve">These bands assume high-confidence inputs (see Section 6). Under low confidence, treat the band as directional only and widen it by one full band before quoting a spread off of it.</w:t>
      </w:r>
    </w:p>
    <w:p>
      <w:pPr>
        <w:pStyle w:val="Heading1"/>
        <w:spacing w:after="120" w:before="240"/>
      </w:pPr>
      <w:r>
        <w:t xml:space="preserve">4. Detailed Pillar Formulas</w:t>
      </w:r>
    </w:p>
    <w:p>
      <w:pPr>
        <w:spacing w:after="160"/>
      </w:pPr>
      <w:r>
        <w:t xml:space="preserve">All sub-scores are clamped to [0, 100] after computation unless stated otherwise. clamp(x, lo, hi) = min(max(x, lo), hi). lerp = piecewise-linear interpolation between named anchor points.</w:t>
      </w:r>
    </w:p>
    <w:p>
      <w:pPr>
        <w:pStyle w:val="Heading2"/>
        <w:spacing w:after="120" w:before="240"/>
      </w:pPr>
      <w:r>
        <w:t xml:space="preserve">4.1 P1. Leverage</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P1</w:t>
            </w:r>
          </w:p>
        </w:tc>
        <w:tc>
          <w:tcPr>
            <w:shd w:fill="1B2A4A" w:val="solid"/>
          </w:tcPr>
          <w:p>
            <w:r>
              <w:rPr>
                <w:b/>
                <w:bCs/>
                <w:color w:val="FFFFFF"/>
              </w:rPr>
              <w:t xml:space="preserve">Formula</w:t>
            </w:r>
          </w:p>
        </w:tc>
      </w:tr>
      <w:tr>
        <w:tc>
          <w:p>
            <w:r>
              <w:t xml:space="preserve">a. Net Debt / EBITDA vs. sector median</w:t>
            </w:r>
          </w:p>
        </w:tc>
        <w:tc>
          <w:p>
            <w:r>
              <w:t xml:space="preserve">60%</w:t>
            </w:r>
          </w:p>
        </w:tc>
        <w:tc>
          <w:p>
            <w:r>
              <w:t xml:space="preserve">clamp(100 − max(0, leverage − sectorMedianLeverage) × 12, 0, 100)</w:t>
            </w:r>
          </w:p>
        </w:tc>
      </w:tr>
      <w:tr>
        <w:tc>
          <w:tcPr>
            <w:shd w:fill="F3F4F6" w:val="solid"/>
          </w:tcPr>
          <w:p>
            <w:r>
              <w:t xml:space="preserve">b. Debt / Equity</w:t>
            </w:r>
          </w:p>
        </w:tc>
        <w:tc>
          <w:tcPr>
            <w:shd w:fill="F3F4F6" w:val="solid"/>
          </w:tcPr>
          <w:p>
            <w:r>
              <w:t xml:space="preserve">40%</w:t>
            </w:r>
          </w:p>
        </w:tc>
        <w:tc>
          <w:tcPr>
            <w:shd w:fill="F3F4F6" w:val="solid"/>
          </w:tcPr>
          <w:p>
            <w:r>
              <w:t xml:space="preserve">lerp anchors: 0.5x→100, 1.0x→80, 2.0x→50, 3.0x→25, 4.0x→5</w:t>
            </w:r>
          </w:p>
        </w:tc>
      </w:tr>
    </w:tbl>
    <w:p>
      <w:pPr>
        <w:spacing w:after="160"/>
        <w:jc w:val="center"/>
      </w:pPr>
      <w:r>
        <w:t xml:space="preserve">P1 = 0.60a + 0.40b</w:t>
      </w:r>
    </w:p>
    <w:p>
      <w:pPr>
        <w:spacing w:after="160"/>
      </w:pPr>
      <w:r>
        <w:rPr>
          <w:b/>
          <w:bCs/>
        </w:rPr>
        <w:t xml:space="preserve">Why the sector-relative form for (a).</w:t>
      </w:r>
      <w:r>
        <w:t xml:space="preserve"> An identical 4.0x Net Debt/EBITDA means something very different for a capital-light software business than for a capital-intensive industrial roll-up where 4.0x is the sector norm. Scoring leverage relative to sector median (rather than against one fixed universal threshold) is the same design choice PDQI (the firm's private-equity deal-scoring sibling algorithm) makes for its valuation-multiple pillar, for the same reason: an absolute threshold silently penalizes capital-intensive sectors and silently rewards capital-light ones. Each turn of leverage above the sector median costs 12 points — steep enough that leverage dominates the pillar, deliberately, since it is the single most mechanical predictor of default among the six pillars.</w:t>
      </w:r>
    </w:p>
    <w:p>
      <w:pPr>
        <w:spacing w:after="160"/>
      </w:pPr>
      <w:r>
        <w:rPr>
          <w:b/>
          <w:bCs/>
        </w:rPr>
        <w:t xml:space="preserve">Why Debt/Equity is scored on an absolute scale, not sector-relative.</w:t>
      </w:r>
      <w:r>
        <w:t xml:space="preserve"> Unlike EBITDA multiples, D/E is sensitive to accounting equity (retained deficits, buybacks, goodwill write-downs) in ways that make "sector median D/E" a much noisier benchmark than "sector median leverage multiple." The absolute anchors above (1.0x adequate, 2.0x elevated, 3.0x+ high) reflect a generalist mid-market lens — see Section 10 for where this breaks down.</w:t>
      </w:r>
    </w:p>
    <w:p>
      <w:pPr>
        <w:pStyle w:val="Heading2"/>
        <w:spacing w:after="120" w:before="240"/>
      </w:pPr>
      <w:r>
        <w:t xml:space="preserve">4.2 P2. Coverage</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P2</w:t>
            </w:r>
          </w:p>
        </w:tc>
        <w:tc>
          <w:tcPr>
            <w:shd w:fill="1B2A4A" w:val="solid"/>
          </w:tcPr>
          <w:p>
            <w:r>
              <w:rPr>
                <w:b/>
                <w:bCs/>
                <w:color w:val="FFFFFF"/>
              </w:rPr>
              <w:t xml:space="preserve">Formula</w:t>
            </w:r>
          </w:p>
        </w:tc>
      </w:tr>
      <w:tr>
        <w:tc>
          <w:p>
            <w:r>
              <w:t xml:space="preserve">a. EBITDA / Interest Expense</w:t>
            </w:r>
          </w:p>
        </w:tc>
        <w:tc>
          <w:p>
            <w:r>
              <w:t xml:space="preserve">55%</w:t>
            </w:r>
          </w:p>
        </w:tc>
        <w:tc>
          <w:p>
            <w:r>
              <w:t xml:space="preserve">lerp anchors: 1.0x→5, 1.5x→20, 3.0x→55, 6.0x→85, 10.0x→100</w:t>
            </w:r>
          </w:p>
        </w:tc>
      </w:tr>
      <w:tr>
        <w:tc>
          <w:tcPr>
            <w:shd w:fill="F3F4F6" w:val="solid"/>
          </w:tcPr>
          <w:p>
            <w:r>
              <w:t xml:space="preserve">b. Free Cash Flow / Total Debt Service</w:t>
            </w:r>
          </w:p>
        </w:tc>
        <w:tc>
          <w:tcPr>
            <w:shd w:fill="F3F4F6" w:val="solid"/>
          </w:tcPr>
          <w:p>
            <w:r>
              <w:t xml:space="preserve">45%</w:t>
            </w:r>
          </w:p>
        </w:tc>
        <w:tc>
          <w:tcPr>
            <w:shd w:fill="F3F4F6" w:val="solid"/>
          </w:tcPr>
          <w:p>
            <w:r>
              <w:t xml:space="preserve">lerp anchors: 0.8x→5, 1.0x→25, 1.25x→50, 2.0x→80, 3.0x→100</w:t>
            </w:r>
          </w:p>
        </w:tc>
      </w:tr>
    </w:tbl>
    <w:p>
      <w:pPr>
        <w:spacing w:after="160"/>
        <w:jc w:val="center"/>
      </w:pPr>
      <w:r>
        <w:t xml:space="preserve">P2 = 0.55a + 0.45b</w:t>
      </w:r>
    </w:p>
    <w:p>
      <w:pPr>
        <w:spacing w:after="160"/>
      </w:pPr>
      <w:r>
        <w:rPr>
          <w:b/>
          <w:bCs/>
        </w:rPr>
        <w:t xml:space="preserve">Anchor logic for (a).</w:t>
      </w:r>
      <w:r>
        <w:t xml:space="preserve"> Below 1.5x interest coverage, a company is servicing interest almost entirely out of a thin margin of error — one soft quarter away from a covenant conversation. 1.5–3x is "building" — serviceable but not yet resilient. 3–6x is the conventional healthy mid-market band. Above 6x, interest coverage stops being the binding constraint on the credit at all, which is why the curve flattens hard above that point.</w:t>
      </w:r>
    </w:p>
    <w:p>
      <w:pPr>
        <w:spacing w:after="160"/>
      </w:pPr>
      <w:r>
        <w:rPr>
          <w:b/>
          <w:bCs/>
        </w:rPr>
        <w:t xml:space="preserve">Anchor logic for (b).</w:t>
      </w:r>
      <w:r>
        <w:t xml:space="preserve"> Total Debt Service = scheduled interest + scheduled principal amortization for the period. This is a stricter test than (a) because it includes amortization, which is why the anchors sit at lower absolute ratio values (1.0x is the break-even point for cash-flow-only debt service, matching the conventional DSCR covenant floor used in real credit agreements; 1.25x is the typical minimum covenant level lenders require as headroom above break-even).</w:t>
      </w:r>
    </w:p>
    <w:p>
      <w:pPr>
        <w:pStyle w:val="Heading2"/>
        <w:spacing w:after="120" w:before="240"/>
      </w:pPr>
      <w:r>
        <w:t xml:space="preserve">4.3 P3. Liquidity</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P3</w:t>
            </w:r>
          </w:p>
        </w:tc>
        <w:tc>
          <w:tcPr>
            <w:shd w:fill="1B2A4A" w:val="solid"/>
          </w:tcPr>
          <w:p>
            <w:r>
              <w:rPr>
                <w:b/>
                <w:bCs/>
                <w:color w:val="FFFFFF"/>
              </w:rPr>
              <w:t xml:space="preserve">Formula</w:t>
            </w:r>
          </w:p>
        </w:tc>
      </w:tr>
      <w:tr>
        <w:tc>
          <w:p>
            <w:r>
              <w:t xml:space="preserve">a. Current ratio</w:t>
            </w:r>
          </w:p>
        </w:tc>
        <w:tc>
          <w:p>
            <w:r>
              <w:t xml:space="preserve">50% of ratio blend</w:t>
            </w:r>
          </w:p>
        </w:tc>
        <w:tc>
          <w:p>
            <w:r>
              <w:t xml:space="preserve">lerp anchors: 0.5→10, 1.0→40, 1.5→70, 2.0→90, 3.0→100</w:t>
            </w:r>
          </w:p>
        </w:tc>
      </w:tr>
      <w:tr>
        <w:tc>
          <w:tcPr>
            <w:shd w:fill="F3F4F6" w:val="solid"/>
          </w:tcPr>
          <w:p>
            <w:r>
              <w:t xml:space="preserve">b. Quick ratio</w:t>
            </w:r>
          </w:p>
        </w:tc>
        <w:tc>
          <w:tcPr>
            <w:shd w:fill="F3F4F6" w:val="solid"/>
          </w:tcPr>
          <w:p>
            <w:r>
              <w:t xml:space="preserve">50% of ratio blend</w:t>
            </w:r>
          </w:p>
        </w:tc>
        <w:tc>
          <w:tcPr>
            <w:shd w:fill="F3F4F6" w:val="solid"/>
          </w:tcPr>
          <w:p>
            <w:r>
              <w:t xml:space="preserve">lerp anchors: 0.3→10, 0.7→40, 1.0→70, 1.5→90, 2.0→100</w:t>
            </w:r>
          </w:p>
        </w:tc>
      </w:tr>
      <w:tr>
        <w:tc>
          <w:p>
            <w:r>
              <w:t xml:space="preserve">c. Cash-runway-in-months (only if cash-flow-negative)</w:t>
            </w:r>
          </w:p>
        </w:tc>
        <w:tc>
          <w:p>
            <w:r>
              <w:t xml:space="preserve">modifier</w:t>
            </w:r>
          </w:p>
        </w:tc>
        <w:tc>
          <w:p>
            <w:r>
              <w:t xml:space="preserve">lerp anchors: 0→0, 3→15, 6→35, 12→65, 24→90, 36→100</w:t>
            </w:r>
          </w:p>
        </w:tc>
      </w:tr>
    </w:tbl>
    <w:p>
      <w:pPr>
        <w:spacing w:after="160"/>
        <w:jc w:val="center"/>
      </w:pPr>
      <w:r>
        <w:t xml:space="preserve">ratioScore = 0.5a + 0.5b
P3 = 0.70·ratioScore + 0.30·runwayScore</w:t>
      </w:r>
    </w:p>
    <w:p>
      <w:pPr>
        <w:spacing w:after="160"/>
      </w:pPr>
      <w:r>
        <w:t xml:space="preserve">where runwayScore = 100 by default (full liquidity credit on the runway sub-metric) unless the borrower is flagged cash-flow-negative, in which case runwayScore is computed from actual months of cash runway at current burn.</w:t>
      </w:r>
    </w:p>
    <w:p>
      <w:pPr>
        <w:spacing w:after="160"/>
      </w:pPr>
      <w:r>
        <w:rPr>
          <w:b/>
          <w:bCs/>
        </w:rPr>
        <w:t xml:space="preserve">Why runway defaults to 100, not to a penalty, when not applicable.</w:t>
      </w:r>
      <w:r>
        <w:t xml:space="preserve"> A cash-flow-positive borrower has no burn rate to measure — treating an inapplicable metric as "unknown" and penalizing confidence for it would be wrong (it isn't missing, it's not a relevant question for this borrower), and treating it as a low score would be a false negative on liquidity. Cash runway only becomes a real, distinct liquidity risk signal once a borrower is burning cash; the standard ratio anchors already reflect the standard convention that 1.0x is minimally adequate and 1.5–2.0x is the healthy zone for both current and quick ratio.</w:t>
      </w:r>
    </w:p>
    <w:p>
      <w:pPr>
        <w:pStyle w:val="Heading2"/>
        <w:spacing w:after="120" w:before="240"/>
      </w:pPr>
      <w:r>
        <w:t xml:space="preserve">4.4 P4. Profitability &amp; Stability</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P4</w:t>
            </w:r>
          </w:p>
        </w:tc>
        <w:tc>
          <w:tcPr>
            <w:shd w:fill="1B2A4A" w:val="solid"/>
          </w:tcPr>
          <w:p>
            <w:r>
              <w:rPr>
                <w:b/>
                <w:bCs/>
                <w:color w:val="FFFFFF"/>
              </w:rPr>
              <w:t xml:space="preserve">Formula</w:t>
            </w:r>
          </w:p>
        </w:tc>
      </w:tr>
      <w:tr>
        <w:tc>
          <w:p>
            <w:r>
              <w:t xml:space="preserve">a. EBITDA margin vs. sector median</w:t>
            </w:r>
          </w:p>
        </w:tc>
        <w:tc>
          <w:p>
            <w:r>
              <w:t xml:space="preserve">55%</w:t>
            </w:r>
          </w:p>
        </w:tc>
        <w:tc>
          <w:p>
            <w:r>
              <w:t xml:space="preserve">clamp(50 + (companyMargin − sectorMedianMargin) × 2.5, 0, 100)</w:t>
            </w:r>
          </w:p>
        </w:tc>
      </w:tr>
      <w:tr>
        <w:tc>
          <w:tcPr>
            <w:shd w:fill="F3F4F6" w:val="solid"/>
          </w:tcPr>
          <w:p>
            <w:r>
              <w:t xml:space="preserve">b. Margin volatility (coefficient of variation, trailing 3–5yr)</w:t>
            </w:r>
          </w:p>
        </w:tc>
        <w:tc>
          <w:tcPr>
            <w:shd w:fill="F3F4F6" w:val="solid"/>
          </w:tcPr>
          <w:p>
            <w:r>
              <w:t xml:space="preserve">45%</w:t>
            </w:r>
          </w:p>
        </w:tc>
        <w:tc>
          <w:tcPr>
            <w:shd w:fill="F3F4F6" w:val="solid"/>
          </w:tcPr>
          <w:p>
            <w:r>
              <w:t xml:space="preserve">lerp anchors: 0.00→100, 0.10→85, 0.25→60, 0.50→30, 0.75→10</w:t>
            </w:r>
          </w:p>
        </w:tc>
      </w:tr>
    </w:tbl>
    <w:p>
      <w:pPr>
        <w:spacing w:after="160"/>
        <w:jc w:val="center"/>
      </w:pPr>
      <w:r>
        <w:t xml:space="preserve">P4 = 0.55a + 0.45b</w:t>
      </w:r>
    </w:p>
    <w:p>
      <w:pPr>
        <w:spacing w:after="160"/>
      </w:pPr>
      <w:r>
        <w:rPr>
          <w:b/>
          <w:bCs/>
        </w:rPr>
        <w:t xml:space="preserve">Why volatility is scored independently of level, at meaningful weight.</w:t>
      </w:r>
      <w:r>
        <w:t xml:space="preserve"> Two borrowers can post an identical 14% average EBITDA margin over five years — one steady at 13–15% every year, the other swinging from 22% to 4% and back. Coverage and leverage ratios computed off a single trailing-twelve-month snapshot cannot distinguish these, but a lender absolutely should: the volatile borrower is one bad year away from breaching the same coverage covenant the stable borrower would clear comfortably. Coefficient of variation (stdev/mean of the margin series) captures this directly and is weighted almost as heavily as the level itself (45% vs. 55%) because it is genuinely a distinct risk axis, not a refinement of the same one.</w:t>
      </w:r>
    </w:p>
    <w:p>
      <w:pPr>
        <w:pStyle w:val="Heading2"/>
        <w:spacing w:after="120" w:before="240"/>
      </w:pPr>
      <w:r>
        <w:t xml:space="preserve">4.5 P5. Industry &amp; Cyclicality Risk (1–5 rubric)</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tblGrid>
      <w:tr>
        <w:trPr>
          <w:tblHeader/>
        </w:trPr>
        <w:tc>
          <w:tcPr>
            <w:shd w:fill="1B2A4A" w:val="solid"/>
          </w:tcPr>
          <w:p>
            <w:r>
              <w:rPr>
                <w:b/>
                <w:bCs/>
                <w:color w:val="FFFFFF"/>
              </w:rPr>
              <w:t xml:space="preserve">Value</w:t>
            </w:r>
          </w:p>
        </w:tc>
        <w:tc>
          <w:tcPr>
            <w:shd w:fill="1B2A4A" w:val="solid"/>
          </w:tcPr>
          <w:p>
            <w:r>
              <w:rPr>
                <w:b/>
                <w:bCs/>
                <w:color w:val="FFFFFF"/>
              </w:rPr>
              <w:t xml:space="preserve">Anchor description</w:t>
            </w:r>
          </w:p>
        </w:tc>
      </w:tr>
      <w:tr>
        <w:tc>
          <w:p>
            <w:r>
              <w:t xml:space="preserve">1</w:t>
            </w:r>
          </w:p>
        </w:tc>
        <w:tc>
          <w:p>
            <w:r>
              <w:t xml:space="preserve">Highly cyclical / historically high-default sector — commodities, shipping, upstream energy, homebuilders</w:t>
            </w:r>
          </w:p>
        </w:tc>
      </w:tr>
      <w:tr>
        <w:tc>
          <w:tcPr>
            <w:shd w:fill="F3F4F6" w:val="solid"/>
          </w:tcPr>
          <w:p>
            <w:r>
              <w:t xml:space="preserve">2</w:t>
            </w:r>
          </w:p>
        </w:tc>
        <w:tc>
          <w:tcPr>
            <w:shd w:fill="F3F4F6" w:val="solid"/>
          </w:tcPr>
          <w:p>
            <w:r>
              <w:t xml:space="preserve">Meaningfully cyclical — industrials, discretionary retail, auto suppliers</w:t>
            </w:r>
          </w:p>
        </w:tc>
      </w:tr>
      <w:tr>
        <w:tc>
          <w:p>
            <w:r>
              <w:t xml:space="preserve">3</w:t>
            </w:r>
          </w:p>
        </w:tc>
        <w:tc>
          <w:p>
            <w:r>
              <w:t xml:space="preserve">Moderate — diversified manufacturing, most B2B services</w:t>
            </w:r>
          </w:p>
        </w:tc>
      </w:tr>
      <w:tr>
        <w:tc>
          <w:tcPr>
            <w:shd w:fill="F3F4F6" w:val="solid"/>
          </w:tcPr>
          <w:p>
            <w:r>
              <w:t xml:space="preserve">4</w:t>
            </w:r>
          </w:p>
        </w:tc>
        <w:tc>
          <w:tcPr>
            <w:shd w:fill="F3F4F6" w:val="solid"/>
          </w:tcPr>
          <w:p>
            <w:r>
              <w:t xml:space="preserve">Below-average cyclicality — branded consumer staples, healthcare services</w:t>
            </w:r>
          </w:p>
        </w:tc>
      </w:tr>
      <w:tr>
        <w:tc>
          <w:p>
            <w:r>
              <w:t xml:space="preserve">5</w:t>
            </w:r>
          </w:p>
        </w:tc>
        <w:tc>
          <w:p>
            <w:r>
              <w:t xml:space="preserve">Defensive / historically low-default sector — regulated utilities, essential consumer staples, government-contracted services</w:t>
            </w:r>
          </w:p>
        </w:tc>
      </w:tr>
    </w:tbl>
    <w:p>
      <w:pPr>
        <w:spacing w:after="160"/>
        <w:jc w:val="center"/>
      </w:pPr>
      <w:r>
        <w:t xml:space="preserve">P5 = likertToScore(cyclicalityRubric)</w:t>
      </w:r>
    </w:p>
    <w:p>
      <w:pPr>
        <w:spacing w:after="160"/>
      </w:pPr>
      <w:r>
        <w:t xml:space="preserve">Rate against the sector's own multi-cycle historical default-rate experience where available (rating-agency transition studies are the best public source for this), not against a single recent year — a sector that looked defensive through a benign five-year stretch is not automatically a 5.</w:t>
      </w:r>
    </w:p>
    <w:p>
      <w:pPr>
        <w:pStyle w:val="Heading2"/>
        <w:spacing w:after="120" w:before="240"/>
      </w:pPr>
      <w:r>
        <w:t xml:space="preserve">4.6 P6. Qualitative &amp; Governance</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P6</w:t>
            </w:r>
          </w:p>
        </w:tc>
        <w:tc>
          <w:tcPr>
            <w:shd w:fill="1B2A4A" w:val="solid"/>
          </w:tcPr>
          <w:p>
            <w:r>
              <w:rPr>
                <w:b/>
                <w:bCs/>
                <w:color w:val="FFFFFF"/>
              </w:rPr>
              <w:t xml:space="preserve">Formula</w:t>
            </w:r>
          </w:p>
        </w:tc>
      </w:tr>
      <w:tr>
        <w:tc>
          <w:p>
            <w:r>
              <w:t xml:space="preserve">a. Management quality / track record (1–5 rubric, see Section 5)</w:t>
            </w:r>
          </w:p>
        </w:tc>
        <w:tc>
          <w:p>
            <w:r>
              <w:t xml:space="preserve">40%</w:t>
            </w:r>
          </w:p>
        </w:tc>
        <w:tc>
          <w:p>
            <w:r>
              <w:t xml:space="preserve">likertToScore(rubricValue)</w:t>
            </w:r>
          </w:p>
        </w:tc>
      </w:tr>
      <w:tr>
        <w:tc>
          <w:tcPr>
            <w:shd w:fill="F3F4F6" w:val="solid"/>
          </w:tcPr>
          <w:p>
            <w:r>
              <w:t xml:space="preserve">b. Collateral quality (1–5 rubric, see Section 5; N/A if genuinely unsecured)</w:t>
            </w:r>
          </w:p>
        </w:tc>
        <w:tc>
          <w:tcPr>
            <w:shd w:fill="F3F4F6" w:val="solid"/>
          </w:tcPr>
          <w:p>
            <w:r>
              <w:t xml:space="preserve">30%</w:t>
            </w:r>
          </w:p>
        </w:tc>
        <w:tc>
          <w:tcPr>
            <w:shd w:fill="F3F4F6" w:val="solid"/>
          </w:tcPr>
          <w:p>
            <w:r>
              <w:t xml:space="preserve">likertToScore(rubricValue), or 60 (neutral) if unsecured by design</w:t>
            </w:r>
          </w:p>
        </w:tc>
      </w:tr>
      <w:tr>
        <w:tc>
          <w:p>
            <w:r>
              <w:t xml:space="preserve">c. Governance red flags (deductive)</w:t>
            </w:r>
          </w:p>
        </w:tc>
        <w:tc>
          <w:p>
            <w:r>
              <w:t xml:space="preserve">30%</w:t>
            </w:r>
          </w:p>
        </w:tc>
        <w:tc>
          <w:p>
            <w:r>
              <w:t xml:space="preserve">Start at 100; −15 per confirmed flag; floor 0</w:t>
            </w:r>
          </w:p>
        </w:tc>
      </w:tr>
    </w:tbl>
    <w:p>
      <w:pPr>
        <w:spacing w:after="160"/>
        <w:jc w:val="center"/>
      </w:pPr>
      <w:r>
        <w:t xml:space="preserve">P6 = 0.40a + 0.30b + 0.30c</w:t>
      </w:r>
    </w:p>
    <w:p>
      <w:pPr>
        <w:spacing w:after="160"/>
      </w:pPr>
      <w:r>
        <w:rPr>
          <w:b/>
          <w:bCs/>
        </w:rPr>
        <w:t xml:space="preserve">Governance red-flag checklist</w:t>
      </w:r>
      <w:r>
        <w:t xml:space="preserve"> (each confirmed flag is −15, stacking):</w:t>
      </w:r>
    </w:p>
    <w:p>
      <w:pPr>
        <w:pStyle w:val="ListParagraph"/>
        <w:numPr>
          <w:ilvl w:val="0"/>
          <w:numId w:val="1"/>
        </w:numPr>
        <w:spacing w:after="60"/>
      </w:pPr>
      <w:r>
        <w:t xml:space="preserve">Related-party transactions not on arm's-length terms</w:t>
      </w:r>
    </w:p>
    <w:p>
      <w:pPr>
        <w:pStyle w:val="ListParagraph"/>
        <w:numPr>
          <w:ilvl w:val="0"/>
          <w:numId w:val="1"/>
        </w:numPr>
        <w:spacing w:after="60"/>
      </w:pPr>
      <w:r>
        <w:t xml:space="preserve">Audit qualification (going-concern note, disclaimer of opinion, material weakness)</w:t>
      </w:r>
    </w:p>
    <w:p>
      <w:pPr>
        <w:pStyle w:val="ListParagraph"/>
        <w:numPr>
          <w:ilvl w:val="0"/>
          <w:numId w:val="1"/>
        </w:numPr>
        <w:spacing w:after="60"/>
      </w:pPr>
      <w:r>
        <w:t xml:space="preserve">Covenant breach history (any prior waiver or default event on existing facilities)</w:t>
      </w:r>
    </w:p>
    <w:p>
      <w:pPr>
        <w:pStyle w:val="ListParagraph"/>
        <w:numPr>
          <w:ilvl w:val="0"/>
          <w:numId w:val="1"/>
        </w:numPr>
        <w:spacing w:after="60"/>
      </w:pPr>
      <w:r>
        <w:t xml:space="preserve">Management turnover instability (CFO/CEO departures outside a normal succession plan)</w:t>
      </w:r>
    </w:p>
    <w:p>
      <w:pPr>
        <w:spacing w:after="160"/>
      </w:pPr>
      <w:r>
        <w:rPr>
          <w:b/>
          <w:bCs/>
        </w:rPr>
        <w:t xml:space="preserve">Handling the unsecured case explicitly.</w:t>
      </w:r>
      <w:r>
        <w:t xml:space="preserve"> If a facility is genuinely unsecured by design — a covenant-lite unsecured revolver to an investment-grade issuer, for example, not a secured deal where collateral simply hasn't been valued yet — score the collateral sub-metric as 60 (the "Adequate" Likert anchor), not as a penalty and not as missing data. An unsecured structure is a deliberate credit decision, not an information gap; scoring it as 0 would wrongly conflate "no collateral because none was required" with "no collateral because none is available," and scoring it as missing would wrongly depress confidence for a field that was never applicable. This mirrors how P3 treats cash runway for cash-flow-positive borrowers (Section 4.3) — an inapplicable metric gets a neutral default, not a penalty.</w:t>
      </w:r>
    </w:p>
    <w:p>
      <w:pPr>
        <w:spacing w:after="160"/>
      </w:pPr>
      <w:r>
        <w:t xml:space="preserve">If the facility is secured and the collateral-quality rubric is genuinely unknown (not yet assessed, not "not applicable"), that is a real missing field and should degrade confidence per Section 6 — do not default it to neutral in that case.</w:t>
      </w:r>
    </w:p>
    <w:p>
      <w:pPr>
        <w:pStyle w:val="Heading1"/>
        <w:spacing w:after="120" w:before="240"/>
      </w:pPr>
      <w:r>
        <w:t xml:space="preserve">5. Qualitative Rubrics (Likert → Score)</w:t>
      </w:r>
    </w:p>
    <w:p>
      <w:pPr>
        <w:spacing w:after="160"/>
      </w:pPr>
      <w:r>
        <w:t xml:space="preserve">Used for P5, P6a, P6b, and any other 1–5 qualitative input. Anchors, not vibes — write down which anchor description matches before picking a number.</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Value</w:t>
            </w:r>
          </w:p>
        </w:tc>
        <w:tc>
          <w:tcPr>
            <w:shd w:fill="1B2A4A" w:val="solid"/>
          </w:tcPr>
          <w:p>
            <w:r>
              <w:rPr>
                <w:b/>
                <w:bCs/>
                <w:color w:val="FFFFFF"/>
              </w:rPr>
              <w:t xml:space="preserve">Score</w:t>
            </w:r>
          </w:p>
        </w:tc>
        <w:tc>
          <w:tcPr>
            <w:shd w:fill="1B2A4A" w:val="solid"/>
          </w:tcPr>
          <w:p>
            <w:r>
              <w:rPr>
                <w:b/>
                <w:bCs/>
                <w:color w:val="FFFFFF"/>
              </w:rPr>
              <w:t xml:space="preserve">Anchor description</w:t>
            </w:r>
          </w:p>
        </w:tc>
      </w:tr>
      <w:tr>
        <w:tc>
          <w:p>
            <w:r>
              <w:t xml:space="preserve">1</w:t>
            </w:r>
          </w:p>
        </w:tc>
        <w:tc>
          <w:p>
            <w:r>
              <w:t xml:space="preserve">10</w:t>
            </w:r>
          </w:p>
        </w:tc>
        <w:tc>
          <w:p>
            <w:r>
              <w:t xml:space="preserve">Absent / actively concerning</w:t>
            </w:r>
          </w:p>
        </w:tc>
      </w:tr>
      <w:tr>
        <w:tc>
          <w:tcPr>
            <w:shd w:fill="F3F4F6" w:val="solid"/>
          </w:tcPr>
          <w:p>
            <w:r>
              <w:t xml:space="preserve">2</w:t>
            </w:r>
          </w:p>
        </w:tc>
        <w:tc>
          <w:tcPr>
            <w:shd w:fill="F3F4F6" w:val="solid"/>
          </w:tcPr>
          <w:p>
            <w:r>
              <w:t xml:space="preserve">35</w:t>
            </w:r>
          </w:p>
        </w:tc>
        <w:tc>
          <w:tcPr>
            <w:shd w:fill="F3F4F6" w:val="solid"/>
          </w:tcPr>
          <w:p>
            <w:r>
              <w:t xml:space="preserve">Weak — present but thin, easily challenged</w:t>
            </w:r>
          </w:p>
        </w:tc>
      </w:tr>
      <w:tr>
        <w:tc>
          <w:p>
            <w:r>
              <w:t xml:space="preserve">3</w:t>
            </w:r>
          </w:p>
        </w:tc>
        <w:tc>
          <w:p>
            <w:r>
              <w:t xml:space="preserve">60</w:t>
            </w:r>
          </w:p>
        </w:tc>
        <w:tc>
          <w:p>
            <w:r>
              <w:t xml:space="preserve">Adequate — defensible, industry-standard</w:t>
            </w:r>
          </w:p>
        </w:tc>
      </w:tr>
      <w:tr>
        <w:tc>
          <w:tcPr>
            <w:shd w:fill="F3F4F6" w:val="solid"/>
          </w:tcPr>
          <w:p>
            <w:r>
              <w:t xml:space="preserve">4</w:t>
            </w:r>
          </w:p>
        </w:tc>
        <w:tc>
          <w:tcPr>
            <w:shd w:fill="F3F4F6" w:val="solid"/>
          </w:tcPr>
          <w:p>
            <w:r>
              <w:t xml:space="preserve">80</w:t>
            </w:r>
          </w:p>
        </w:tc>
        <w:tc>
          <w:tcPr>
            <w:shd w:fill="F3F4F6" w:val="solid"/>
          </w:tcPr>
          <w:p>
            <w:r>
              <w:t xml:space="preserve">Strong — clearly above peer set</w:t>
            </w:r>
          </w:p>
        </w:tc>
      </w:tr>
      <w:tr>
        <w:tc>
          <w:p>
            <w:r>
              <w:t xml:space="preserve">5</w:t>
            </w:r>
          </w:p>
        </w:tc>
        <w:tc>
          <w:p>
            <w:r>
              <w:t xml:space="preserve">100</w:t>
            </w:r>
          </w:p>
        </w:tc>
        <w:tc>
          <w:p>
            <w:r>
              <w:t xml:space="preserve">Exceptional — a genuine, hard-to-replicate advantage</w:t>
            </w:r>
          </w:p>
        </w:tc>
      </w:tr>
    </w:tbl>
    <w:p>
      <w:pPr>
        <w:spacing w:after="160"/>
      </w:pPr>
      <w:r>
        <w:t xml:space="preserve">likertToScore: linear interpolation is fine for non-integer averages.</w:t>
      </w:r>
    </w:p>
    <w:p>
      <w:pPr>
        <w:spacing w:after="160"/>
      </w:pPr>
      <w:r>
        <w:rPr>
          <w:b/>
          <w:bCs/>
        </w:rPr>
        <w:t xml:space="preserve">Management quality / track record (P6a)</w:t>
      </w:r>
      <w:r>
        <w:t xml:space="preserve"> — rate against: years of relevant-sector operating experience, history of hitting or missing prior lender-reported projections, succession depth, and candor in prior diligence processes (did management proactively flag problems, or did lenders find them first?).</w:t>
      </w:r>
    </w:p>
    <w:p>
      <w:pPr>
        <w:spacing w:after="160"/>
      </w:pPr>
      <w:r>
        <w:rPr>
          <w:b/>
          <w:bCs/>
        </w:rPr>
        <w:t xml:space="preserve">Collateral quality (P6b)</w:t>
      </w:r>
      <w:r>
        <w:t xml:space="preserve"> — rate against: asset type and liquidity (cash and receivables score higher than specialized fixed assets; specialized fixed assets score higher than intangibles-only), appraisal recency and method, loan-to-value coverage, and lien priority/perfection status as represented by counsel. Score 60 (neutral) if unsecured by design — see Section 4.6.</w:t>
      </w:r>
    </w:p>
    <w:p>
      <w:pPr>
        <w:spacing w:after="160"/>
      </w:pPr>
      <w:r>
        <w:rPr>
          <w:b/>
          <w:bCs/>
        </w:rPr>
        <w:t xml:space="preserve">Industry &amp; cyclicality (P5)</w:t>
      </w:r>
      <w:r>
        <w:t xml:space="preserve"> — see the dedicated table in Section 4.5; this rubric has its own anchor descriptions rather than the generic table above.</w:t>
      </w:r>
    </w:p>
    <w:p>
      <w:pPr>
        <w:pStyle w:val="Heading1"/>
        <w:spacing w:after="120" w:before="240"/>
      </w:pPr>
      <w:r>
        <w:t xml:space="preserve">6. Confidence and Data-Quality Framework</w:t>
      </w:r>
    </w:p>
    <w:p>
      <w:pPr>
        <w:spacing w:after="160"/>
      </w:pPr>
      <w:r>
        <w:t xml:space="preserve">Every pillar has a required input list (see scripts/score.js's REQUIRED_FIELDS). Before computing, count how many required fields are missing or explicitly marked "unknown."</w:t>
      </w:r>
    </w:p>
    <w:p>
      <w:pPr>
        <w:spacing w:after="160"/>
        <w:jc w:val="center"/>
      </w:pPr>
      <w:r>
        <w:t xml:space="preserve">completeness = 1 − (missingCount / totalRequiredFields)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Completeness</w:t>
            </w:r>
          </w:p>
        </w:tc>
        <w:tc>
          <w:tcPr>
            <w:shd w:fill="1B2A4A" w:val="solid"/>
          </w:tcPr>
          <w:p>
            <w:r>
              <w:rPr>
                <w:b/>
                <w:bCs/>
                <w:color w:val="FFFFFF"/>
              </w:rPr>
              <w:t xml:space="preserve">Confidence tier</w:t>
            </w:r>
          </w:p>
        </w:tc>
        <w:tc>
          <w:tcPr>
            <w:shd w:fill="1B2A4A" w:val="solid"/>
          </w:tcPr>
          <w:p>
            <w:r>
              <w:rPr>
                <w:b/>
                <w:bCs/>
                <w:color w:val="FFFFFF"/>
              </w:rPr>
              <w:t xml:space="preserve">Handling</w:t>
            </w:r>
          </w:p>
        </w:tc>
      </w:tr>
      <w:tr>
        <w:tc>
          <w:p>
            <w:r>
              <w:t xml:space="preserve">≥ 0.9</w:t>
            </w:r>
          </w:p>
        </w:tc>
        <w:tc>
          <w:p>
            <w:r>
              <w:t xml:space="preserve">High confidence</w:t>
            </w:r>
          </w:p>
        </w:tc>
        <w:tc>
          <w:p>
            <w:r>
              <w:t xml:space="preserve">Report the band as-is.</w:t>
            </w:r>
          </w:p>
        </w:tc>
      </w:tr>
      <w:tr>
        <w:tc>
          <w:tcPr>
            <w:shd w:fill="F3F4F6" w:val="solid"/>
          </w:tcPr>
          <w:p>
            <w:r>
              <w:t xml:space="preserve">0.7 – 0.9 (exclusive of 0.9)</w:t>
            </w:r>
          </w:p>
        </w:tc>
        <w:tc>
          <w:tcPr>
            <w:shd w:fill="F3F4F6" w:val="solid"/>
          </w:tcPr>
          <w:p>
            <w:r>
              <w:t xml:space="preserve">Medium confidence</w:t>
            </w:r>
          </w:p>
        </w:tc>
        <w:tc>
          <w:tcPr>
            <w:shd w:fill="F3F4F6" w:val="solid"/>
          </w:tcPr>
          <w:p>
            <w:r>
              <w:t xml:space="preserve">Report the band with a note listing which pillars used estimates.</w:t>
            </w:r>
          </w:p>
        </w:tc>
      </w:tr>
      <w:tr>
        <w:tc>
          <w:p>
            <w:r>
              <w:t xml:space="preserve">&lt; 0.7</w:t>
            </w:r>
          </w:p>
        </w:tc>
        <w:tc>
          <w:p>
            <w:r>
              <w:t xml:space="preserve">Low confidence</w:t>
            </w:r>
          </w:p>
        </w:tc>
        <w:tc>
          <w:p>
            <w:r>
              <w:t xml:space="preserve">Prefix the output "PRELIMINARY — insufficient data for a reliable score" and explicitly recommend which documents/data would resolve the biggest gaps first (usually: audited financials and a debt schedule beat a management deck every time — prioritize closing leverage/coverage gaps over qualitative ones).</w:t>
            </w:r>
          </w:p>
        </w:tc>
      </w:tr>
    </w:tbl>
    <w:p>
      <w:pPr>
        <w:spacing w:after="160"/>
      </w:pPr>
      <w:r>
        <w:rPr>
          <w:b/>
          <w:bCs/>
        </w:rPr>
        <w:t xml:space="preserve">Twelve core fields are unconditionally required</w:t>
      </w:r>
      <w:r>
        <w:t xml:space="preserve">: the leverage, coverage, liquidity, profitability, industry, and management-quality inputs listed as REQUIRED_FIELDS in scripts/score.js. </w:t>
      </w:r>
      <w:r>
        <w:rPr>
          <w:b/>
          <w:bCs/>
        </w:rPr>
        <w:t xml:space="preserve">Two fields are conditionally required</w:t>
      </w:r>
      <w:r>
        <w:t xml:space="preserve">, matching the graceful-N/A handling described in Section 4:</w:t>
      </w:r>
    </w:p>
    <w:p>
      <w:pPr>
        <w:pStyle w:val="ListParagraph"/>
        <w:numPr>
          <w:ilvl w:val="0"/>
          <w:numId w:val="1"/>
        </w:numPr>
        <w:spacing w:after="60"/>
      </w:pPr>
      <w:r>
        <w:t xml:space="preserve">liquidity.cashRunwayMonths is only required if liquidity.isCashFlowNegative is true. If the borrower is cash-flow-positive, this field is not counted against completeness at all.</w:t>
      </w:r>
    </w:p>
    <w:p>
      <w:pPr>
        <w:pStyle w:val="ListParagraph"/>
        <w:numPr>
          <w:ilvl w:val="0"/>
          <w:numId w:val="1"/>
        </w:numPr>
        <w:spacing w:after="60"/>
      </w:pPr>
      <w:r>
        <w:t xml:space="preserve">qualitative.collateralQualityRubric is only required if qualitative.isSecuredLending is true. If the deal is unsecured by design, this field is not counted against completeness at all.</w:t>
      </w:r>
    </w:p>
    <w:p>
      <w:pPr>
        <w:spacing w:after="160"/>
      </w:pPr>
      <w:r>
        <w:rPr>
          <w:b/>
          <w:bCs/>
        </w:rPr>
        <w:t xml:space="preserve">Opt-in, not opt-out.</w:t>
      </w:r>
      <w:r>
        <w:t xml:space="preserve"> qualitative.governanceRedFlags defaults to "nothing found" when omitted, by design (an empty checklist reads as clean, not unknown), matching the same convention used for risk-flag checklists in other skills in this library. Only populate it from what the source material actually supports — don't state "no governance flags" in a report unless the analyst actually looked for related-party transactions, audit qualifications, covenant breach history, and management turnover. An unexamined borrower defaulting to a clean P6c score is worse than a low-confidence score, because nothing flags it as unexamined.</w:t>
      </w:r>
    </w:p>
    <w:p>
      <w:pPr>
        <w:spacing w:after="160"/>
      </w:pPr>
      <w:r>
        <w:t xml:space="preserve">Never silently substitute a default value for a missing required field and present the result as if it were measured. If a value is genuinely unknown, pass null and let the completeness penalty apply — a lower-confidence real answer beats a confident wrong one.</w:t>
      </w:r>
    </w:p>
    <w:p>
      <w:r>
        <w:br w:type="page"/>
      </w:r>
    </w:p>
    <w:p>
      <w:pPr>
        <w:pStyle w:val="Heading1"/>
        <w:spacing w:after="120" w:before="240"/>
      </w:pPr>
      <w:r>
        <w:t xml:space="preserve">7. Worked Example</w:t>
      </w:r>
    </w:p>
    <w:p>
      <w:pPr>
        <w:spacing w:after="160"/>
      </w:pPr>
      <w:r>
        <w:t xml:space="preserve">Mid-market industrial components manufacturer, secured senior term loan (first-lien on fixed assets). Full input is scripts/example-input.json — running node scripts/score.js example-input.json reproduces these numbers exactly (they are copied straight from that output, not hand-estimated).</w:t>
      </w:r>
    </w:p>
    <w:p>
      <w:pPr>
        <w:pStyle w:val="ListParagraph"/>
        <w:numPr>
          <w:ilvl w:val="0"/>
          <w:numId w:val="1"/>
        </w:numPr>
        <w:spacing w:after="60"/>
      </w:pPr>
      <w:r>
        <w:t xml:space="preserve">Net Debt/EBITDA 3.8x vs. sector median 3.0x, Debt/Equity 1.4x</w:t>
      </w:r>
    </w:p>
    <w:p>
      <w:pPr>
        <w:pStyle w:val="ListParagraph"/>
        <w:numPr>
          <w:ilvl w:val="0"/>
          <w:numId w:val="1"/>
        </w:numPr>
        <w:spacing w:after="60"/>
      </w:pPr>
      <w:r>
        <w:t xml:space="preserve">EBITDA/Interest 3.2x, FCF/Total Debt Service 1.4x</w:t>
      </w:r>
    </w:p>
    <w:p>
      <w:pPr>
        <w:pStyle w:val="ListParagraph"/>
        <w:numPr>
          <w:ilvl w:val="0"/>
          <w:numId w:val="1"/>
        </w:numPr>
        <w:spacing w:after="60"/>
      </w:pPr>
      <w:r>
        <w:t xml:space="preserve">Current ratio 1.3x, quick ratio 0.9x, cash-flow-positive (no runway modifier)</w:t>
      </w:r>
    </w:p>
    <w:p>
      <w:pPr>
        <w:pStyle w:val="ListParagraph"/>
        <w:numPr>
          <w:ilvl w:val="0"/>
          <w:numId w:val="1"/>
        </w:numPr>
        <w:spacing w:after="60"/>
      </w:pPr>
      <w:r>
        <w:t xml:space="preserve">EBITDA margin 14% vs. sector median 12%, margin coefficient of variation (trailing 3–5yr) 0.18</w:t>
      </w:r>
    </w:p>
    <w:p>
      <w:pPr>
        <w:pStyle w:val="ListParagraph"/>
        <w:numPr>
          <w:ilvl w:val="0"/>
          <w:numId w:val="1"/>
        </w:numPr>
        <w:spacing w:after="60"/>
      </w:pPr>
      <w:r>
        <w:t xml:space="preserve">Industry cyclicality rubric = 3 (moderate — diversified industrial manufacturing)</w:t>
      </w:r>
    </w:p>
    <w:p>
      <w:pPr>
        <w:pStyle w:val="ListParagraph"/>
        <w:numPr>
          <w:ilvl w:val="0"/>
          <w:numId w:val="1"/>
        </w:numPr>
        <w:spacing w:after="60"/>
      </w:pPr>
      <w:r>
        <w:t xml:space="preserve">Management quality rubric = 4, secured lending with collateral-quality rubric = 4, one governance flag (prior covenant breach history)</w:t>
      </w:r>
    </w:p>
    <w:p>
      <w:pPr>
        <w:spacing w:after="160"/>
      </w:pPr>
      <w:r>
        <w:t xml:space="preserve">P1: a = clamp(100 - max(0, 3.8-3.0)×12, 0, 100) = 100 - 9.6 = 90.4
    b = lerp(1.4, [1.0→80, 2.0→50]) = 80 + (1.4-1.0)/(2.0-1.0)×(50-80) = 68.0
P1 = 0.60(90.4) + 0.40(68.0) = 81.44</w:t>
      </w:r>
    </w:p>
    <w:p>
      <w:pPr>
        <w:spacing w:after="160"/>
      </w:pPr>
      <w:r>
        <w:t xml:space="preserve">P2: a = lerp(3.2, [3.0→55, 6.0→85]) = 55 + (3.2-3.0)/(6.0-3.0)×30 = 57.0
    b = lerp(1.4, [1.25→50, 2.0→80]) = 50 + (1.4-1.25)/(2.0-1.25)×30 = 56.0
P2 = 0.55(57.0) + 0.45(56.0) = 56.55</w:t>
      </w:r>
    </w:p>
    <w:p>
      <w:pPr>
        <w:spacing w:after="160"/>
      </w:pPr>
      <w:r>
        <w:t xml:space="preserve">P3: a = lerp(1.3, [1.0→40, 1.5→70]) = 40 + (1.3-1.0)/0.5×30 = 58.0
    b = lerp(0.9, [0.7→40, 1.0→70]) = 40 + (0.9-0.7)/0.3×30 = 60.0
    ratioScore = 0.5(58.0) + 0.5(60.0) = 59.0
    runwayScore = 100 (cash-flow-positive, no modifier applied)
P3 = 0.70(59.0) + 0.30(100) = 71.3</w:t>
      </w:r>
    </w:p>
    <w:p>
      <w:pPr>
        <w:spacing w:after="160"/>
      </w:pPr>
      <w:r>
        <w:t xml:space="preserve">P4: a = clamp(50 + (14-12)×2.5, 0, 100) = 55.0
    b = lerp(0.18, [0.10→85, 0.25→60]) = 85 + (0.18-0.10)/0.15×(60-85) = 71.67
P4 = 0.55(55.0) + 0.45(71.67) = 62.5</w:t>
      </w:r>
    </w:p>
    <w:p>
      <w:pPr>
        <w:spacing w:after="160"/>
      </w:pPr>
      <w:r>
        <w:t xml:space="preserve">P5 = likertToScore(3) = 60.0</w:t>
      </w:r>
    </w:p>
    <w:p>
      <w:pPr>
        <w:spacing w:after="160"/>
      </w:pPr>
      <w:r>
        <w:t xml:space="preserve">P6: a = likertToScore(4) = 80.0
    b = likertToScore(4) = 80.0  (secured, collateral rubric = 4)
    c = clamp(100 - 1×15, 0, 100) = 85.0  (one governance flag: covenant breach history)
P6 = 0.40(80.0) + 0.30(80.0) + 0.30(85.0) = 81.5</w:t>
      </w:r>
    </w:p>
    <w:p>
      <w:pPr>
        <w:spacing w:after="160"/>
      </w:pPr>
      <w:r>
        <w:t xml:space="preserve">PCRS = 0.25(81.44) + 0.20(56.55) + 0.15(71.3) + 0.15(62.5) + 0.10(60.0) + 0.15(81.5)
     = 20.36 + 11.31 + 10.695 + 9.375 + 6.0 + 12.225
     = 69.97 → rounds to 70.0</w:t>
      </w:r>
    </w:p>
    <w:p>
      <w:pPr>
        <w:spacing w:after="160"/>
      </w:pPr>
      <w:r>
        <w:rPr>
          <w:b/>
          <w:bCs/>
          <w:color w:val="1B2A4A"/>
        </w:rPr>
        <w:t xml:space="preserve">Result: PCRS 70.0 — BB/B-equivalent (High Yield), indicative spread +250 to +600 bps, High confidence (100% complete).</w:t>
      </w:r>
    </w:p>
    <w:p>
      <w:pPr>
        <w:spacing w:after="160"/>
      </w:pPr>
      <w:r>
        <w:t xml:space="preserve">This example lands right on top of the Investment-Grade cutoff, which is a useful illustration of the model's boundary behavior: the displayed, rounded score is exactly 70.0, but the rating band is assigned from the unrounded raw composite (69.97), which falls a hair below the 70-point Investment-Grade threshold — so this credit is reported as the top of BB/B-equivalent, not the bottom of A/BBB-equivalent. Always let the script make this call; hand-rounding before comparing to the band table is exactly the kind of one-point drift a named, reproducible algorithm exists to prevent. Coverage (P2, 56.6) and profitability/stability (P4, 62.5) are the two pillars with the most room to move this borrower into Investment Grade — the FCF/Total Debt Service ratio of 1.4x in particular is the single number that would most efficiently lift the composite if amortization were restructured or EBITDA grew.</w:t>
      </w:r>
    </w:p>
    <w:p>
      <w:pPr>
        <w:pStyle w:val="Heading1"/>
        <w:spacing w:after="120" w:before="240"/>
      </w:pPr>
      <w:r>
        <w:t xml:space="preserve">8. Comparative Positioning</w:t>
      </w:r>
    </w:p>
    <w:p>
      <w:pPr>
        <w:spacing w:after="160"/>
      </w:pPr>
      <w:r>
        <w:t xml:space="preserve">PCRS did not originate in a vacuum, and its design deliberately borrows two separate pieces of established, checkable convention from the credit-analysis field: the discipline of a named, versioned formula, and the output convention of a rating-agency-style scale. Understanding what PCRS borrows — and where it genuinely extends past that lineage — is useful context for anyone assessing the originality of the methodology.</w:t>
      </w:r>
    </w:p>
    <w:p>
      <w:pPr>
        <w:pStyle w:val="Heading2"/>
        <w:spacing w:after="120" w:before="240"/>
      </w:pPr>
      <w:r>
        <w:t xml:space="preserve">8.1 The Altman Z-Score precedent</w:t>
      </w:r>
    </w:p>
    <w:p>
      <w:pPr>
        <w:spacing w:after="160"/>
      </w:pPr>
      <w:r>
        <w:t xml:space="preserve">Named credit-scoring models have real precedent: the Altman Z-Score (1968) distilled five financial ratios into a single bankruptcy-prediction number that is still quoted by name more than fifty years later, precisely because "Z-Score 2.1" means the same specific, checkable thing every time it is cited. That durability is a function of specification discipline, not of the particular ratios chosen — a named model with a fixed formula stays comparable across analysts and across time in a way an ad hoc "credit judgment" never can.</w:t>
      </w:r>
    </w:p>
    <w:p>
      <w:pPr>
        <w:spacing w:after="160"/>
      </w:pPr>
      <w:r>
        <w:t xml:space="preserve">PCRS borrows that same discipline — six named, auditable pillars instead of one composite ratio — and borrows its output convention from rating-agency scales (AAA...D), which solved the adjacent problem of collapsing a dense credit file into a single comparable symbol decades ago. PCRS's leverage and coverage pillars (P1/P2) are philosophically the closest thing in this methodology to Altman's original leverage/liquidity ratios; the rest of the model extends that lineage to the qualitative and industry factors a five-ratio model built in 1968, for a different purpose (bankruptcy prediction within one to two years for publicly traded manufacturers), was never designed to capture.</w:t>
      </w:r>
    </w:p>
    <w:p>
      <w:pPr>
        <w:pStyle w:val="Heading2"/>
        <w:spacing w:after="120" w:before="240"/>
      </w:pPr>
      <w:r>
        <w:t xml:space="preserve">8.2 Relationship to standard corporate credit rating methodology</w:t>
      </w:r>
    </w:p>
    <w:p>
      <w:pPr>
        <w:spacing w:after="160"/>
      </w:pPr>
      <w:r>
        <w:t xml:space="preserve">More broadly, PCRS's pillar structure follows the same universal shape that agency-style corporate rating frameworks have used for decades: leverage, coverage, and liquidity are treated as the three quantitative pillars that most directly gate a borrower's capacity to service debt, with profitability/stability, industry risk, and qualitative/governance factors layered on as modifying context. This is not a PCRS invention — it reflects a broad, long-standing consensus across corporate credit analysis that these are the load-bearing questions any lending underwriting has to answer, in some form, regardless of house style. What PCRS contributes on top of that shared structure is a fully specified, reproducible formula for each pillar — named weights, named anchor points, and an explicit confidence framework for missing data — rather than leaving the pillar-to-number translation to unwritten analyst judgment, which is where most in-house credit scorecards remain today.</w:t>
      </w:r>
    </w:p>
    <w:p>
      <w:pPr>
        <w:spacing w:after="160"/>
      </w:pPr>
      <w:r>
        <w:t xml:space="preserve">In this sense PCRS sits at the intersection of two established traditions rather than inventing a new one from scratch: it takes the specification rigor of a named quantitative model (the Altman lineage) and applies it across the fuller pillar set that agency-style qualitative rating methodology has long recognized as relevant, while adding mechanisms — sector-relative leverage scoring, an independently weighted volatility axis, a deductive governance penalty, and a completeness-driven confidence tier — that are not standard features of either tradition as commonly practiced. No specific default-rate statistics, backtests, or third-party validation studies are claimed for PCRS in this document or in the underlying specification; the comparison here is about methodological lineage and structure, not about any claim that PCRS has been empirically validated against real-world default outcomes.</w:t>
      </w:r>
    </w:p>
    <w:p>
      <w:r>
        <w:br w:type="page"/>
      </w:r>
    </w:p>
    <w:p>
      <w:pPr>
        <w:pStyle w:val="Heading1"/>
        <w:spacing w:after="120" w:before="240"/>
      </w:pPr>
      <w:r>
        <w:t xml:space="preserve">9. Intellectual Property and Defensibility Posture</w:t>
      </w:r>
    </w:p>
    <w:p>
      <w:pPr>
        <w:spacing w:after="160"/>
      </w:pPr>
      <w:r>
        <w:t xml:space="preserve">PCRS is documented as a </w:t>
      </w:r>
      <w:r>
        <w:rPr>
          <w:b/>
          <w:bCs/>
        </w:rPr>
        <w:t xml:space="preserve">proprietary, trade-secret methodology</w:t>
      </w:r>
      <w:r>
        <w:t xml:space="preserve"> — named, versioned, and specified precisely enough to be defensible as original work product. The following is a factual framing of what that does and does not mean; it is not legal advice, and a qualified IP attorney should be engaged before any commercial reliance on these protections.</w:t>
      </w:r>
    </w:p>
    <w:p>
      <w:pPr>
        <w:pStyle w:val="Heading2"/>
        <w:spacing w:after="120" w:before="240"/>
      </w:pPr>
      <w:r>
        <w:t xml:space="preserve">9.1 Trade secret protection</w:t>
      </w:r>
    </w:p>
    <w:p>
      <w:pPr>
        <w:spacing w:after="160"/>
      </w:pPr>
      <w:r>
        <w:t xml:space="preserve">Trade secret protection applies now, automatically, simply by PCRS being original, non-public, and treated as confidential. That is the primary protection this methodology is written to support. The specification (reference/algorithm.md), the reference implementation (scripts/score.js), and this whitepaper together constitute a documented, dated record of the methodology's content and authorship — evidence that matters if trade-secret status is ever challenged or if the methodology is licensed and its originality needs to be demonstrated to a counterparty.</w:t>
      </w:r>
    </w:p>
    <w:p>
      <w:pPr>
        <w:pStyle w:val="Heading2"/>
        <w:spacing w:after="120" w:before="240"/>
      </w:pPr>
      <w:r>
        <w:t xml:space="preserve">9.2 Patent eligibility — a separate, harder question</w:t>
      </w:r>
    </w:p>
    <w:p>
      <w:pPr>
        <w:spacing w:after="160"/>
      </w:pPr>
      <w:r>
        <w:t xml:space="preserve">Patent eligibility is a separate, harder question from trade-secret status, and PCRS is honestly a weaker fit for it than for trade-secret protection. In the United States, abstract algorithms and pure business methods generally fail patent-eligibility review under the Alice/Mayo framework unless the claim ties the scoring method to a specific technical improvement — e.g. a particular system architecture or a measurable efficiency gain in how the computation runs, not just "a new way to weight financial ratios." PCRS, as currently specified, is a weighted scoring methodology applied to financial and qualitative inputs to produce a risk score — the kind of claim that has historically struggled to clear the Alice/Mayo abstract-idea threshold on its own. It is more naturally categorized as a trade secret than as a patent candidate as currently written.</w:t>
      </w:r>
    </w:p>
    <w:p>
      <w:pPr>
        <w:spacing w:after="160"/>
      </w:pPr>
      <w:r>
        <w:t xml:space="preserve">This is a general observation about the difficulty of the eligibility question for this class of algorithm, not a legal opinion on PCRS specifically, and not a statement that patent protection is foreclosed — only that it is a harder, separate question requiring dedicated patent-counsel analysis before pursuing it. "Patentable" in this or any related document means "specified with enough novelty and precision to be a serious patent-counsel conversation," not "patented" or "guaranteed patentable." Actually obtaining a patent would require filing, examination, and often narrowing claims to survive prior-art and eligibility challenges.</w:t>
      </w:r>
    </w:p>
    <w:p>
      <w:pPr>
        <w:pStyle w:val="Heading2"/>
        <w:spacing w:after="120" w:before="240"/>
      </w:pPr>
      <w:r>
        <w:t xml:space="preserve">9.3 Defensibility factors</w:t>
      </w:r>
    </w:p>
    <w:p>
      <w:pPr>
        <w:spacing w:after="160"/>
      </w:pPr>
      <w:r>
        <w:t xml:space="preserve">Independent of the trade-secret/patent question, several features of how PCRS is documented and maintained are themselves relevant to its defensibility as an asset:</w:t>
      </w:r>
    </w:p>
    <w:p>
      <w:pPr>
        <w:pStyle w:val="ListParagraph"/>
        <w:numPr>
          <w:ilvl w:val="0"/>
          <w:numId w:val="1"/>
        </w:numPr>
        <w:spacing w:after="60"/>
      </w:pPr>
      <w:r>
        <w:rPr>
          <w:b/>
          <w:bCs/>
        </w:rPr>
        <w:t xml:space="preserve">Specificity.</w:t>
      </w:r>
      <w:r>
        <w:t xml:space="preserve"> Every sub-score traces to a named formula against a named input — the methodology is not a vague description of judgment factors but a fully computable specification, which is what makes originality and scope demonstrable rather than asserted.</w:t>
      </w:r>
    </w:p>
    <w:p>
      <w:pPr>
        <w:pStyle w:val="ListParagraph"/>
        <w:numPr>
          <w:ilvl w:val="0"/>
          <w:numId w:val="1"/>
        </w:numPr>
        <w:spacing w:after="60"/>
      </w:pPr>
      <w:r>
        <w:rPr>
          <w:b/>
          <w:bCs/>
        </w:rPr>
        <w:t xml:space="preserve">Versioning.</w:t>
      </w:r>
      <w:r>
        <w:t xml:space="preserve"> Changing a weight or formula is a version bump with a changelog entry (see Section 11), not a silent tweak. This means "PCRS 70" means the same specific thing every time it is quoted, across time and across users — a property that matters both for the methodology's practical value and for establishing a clear, dated record of what the methodology was at any point in its history.</w:t>
      </w:r>
    </w:p>
    <w:p>
      <w:pPr>
        <w:pStyle w:val="ListParagraph"/>
        <w:numPr>
          <w:ilvl w:val="0"/>
          <w:numId w:val="1"/>
        </w:numPr>
        <w:spacing w:after="60"/>
      </w:pPr>
      <w:r>
        <w:rPr>
          <w:b/>
          <w:bCs/>
        </w:rPr>
        <w:t xml:space="preserve">Reproducibility.</w:t>
      </w:r>
      <w:r>
        <w:t xml:space="preserve"> The reference implementation (scripts/score.js) is a literal, runnable implementation of the specification, and the specification states plainly that if the two ever disagree, the document is correct and the script has a bug. A methodology that can be independently re-run and checked against its own worked example (Section 7) is materially easier to establish as a genuine, operational asset than a description of a process that exists only in narrative form.</w:t>
      </w:r>
    </w:p>
    <w:p>
      <w:pPr>
        <w:spacing w:after="160"/>
      </w:pPr>
      <w:r>
        <w:t xml:space="preserve">None of the foregoing constitutes legal advice. A qualified intellectual property attorney should review PCRS's documentation, authorship record, and intended commercial use before any licensing, sale, valuation reliance, or patent filing decision.</w:t>
      </w:r>
    </w:p>
    <w:p>
      <w:pPr>
        <w:pStyle w:val="Heading1"/>
        <w:spacing w:after="120" w:before="240"/>
      </w:pPr>
      <w:r>
        <w:t xml:space="preserve">10. Known Limitations</w:t>
      </w:r>
    </w:p>
    <w:p>
      <w:pPr>
        <w:pStyle w:val="ListParagraph"/>
        <w:numPr>
          <w:ilvl w:val="0"/>
          <w:numId w:val="1"/>
        </w:numPr>
        <w:spacing w:after="60"/>
      </w:pPr>
      <w:r>
        <w:rPr>
          <w:b/>
          <w:bCs/>
        </w:rPr>
        <w:t xml:space="preserve">Ratio-based scoring can be gamed by balance-sheet window-dressing.</w:t>
      </w:r>
      <w:r>
        <w:t xml:space="preserve"> Net Debt/EBITDA, Debt/Equity, and the liquidity ratios are all point-in-time snapshots as of a reporting date. A borrower can temporarily draw down cash to pay down debt, delay a payable, or accelerate a receivable collection right before a covenant test date or a loan application, then reverse the position the following quarter. Cross-check ratios against intra-period (monthly, not just quarterly) data where available, and be more skeptical of ratios measured exactly on a covenant test date than of ratios measured mid-quarter.</w:t>
      </w:r>
    </w:p>
    <w:p>
      <w:pPr>
        <w:pStyle w:val="ListParagraph"/>
        <w:numPr>
          <w:ilvl w:val="0"/>
          <w:numId w:val="1"/>
        </w:numPr>
        <w:spacing w:after="60"/>
      </w:pPr>
      <w:r>
        <w:rPr>
          <w:b/>
          <w:bCs/>
        </w:rPr>
        <w:t xml:space="preserve">Sector-norm benchmarks must be current and correctly scoped, or leverage scoring is meaningless.</w:t>
      </w:r>
      <w:r>
        <w:t xml:space="preserve"> P1's entire design rests on comparing the borrower to its actual sector median leverage — a stale, too-broad (e.g. "all industrials" instead of the borrower's actual sub-sector), or mis-sourced comp set will silently bias the leverage score in either direction. Always record the comp set's source, scope, and as-of date alongside the score, same discipline as PDQI requires for its valuation comps.</w:t>
      </w:r>
    </w:p>
    <w:p>
      <w:pPr>
        <w:pStyle w:val="ListParagraph"/>
        <w:numPr>
          <w:ilvl w:val="0"/>
          <w:numId w:val="1"/>
        </w:numPr>
        <w:spacing w:after="60"/>
      </w:pPr>
      <w:r>
        <w:rPr>
          <w:b/>
          <w:bCs/>
        </w:rPr>
        <w:t xml:space="preserve">The model does not independently verify covenant language or collateral perfection.</w:t>
      </w:r>
      <w:r>
        <w:t xml:space="preserve"> PCRS scores what is disclosed in financials and diligence notes — it has no mechanism to catch a cross-default clause, an unperfected lien, a subordination trap, or covenant-definition games (e.g. "EBITDA" adjusted well beyond a standard definition). Full legal/covenant review by counsel remains mandatory before closing; see Section 2.</w:t>
      </w:r>
    </w:p>
    <w:p>
      <w:pPr>
        <w:pStyle w:val="ListParagraph"/>
        <w:numPr>
          <w:ilvl w:val="0"/>
          <w:numId w:val="1"/>
        </w:numPr>
        <w:spacing w:after="60"/>
      </w:pPr>
      <w:r>
        <w:rPr>
          <w:b/>
          <w:bCs/>
        </w:rPr>
        <w:t xml:space="preserve">Sudden macro or liquidity shocks can move a credit faster than quarterly-frequency scoring can capture.</w:t>
      </w:r>
      <w:r>
        <w:t xml:space="preserve"> PCRS is built on trailing financials and ratios that are, at best, refreshed quarterly. A credit that scored a clean Investment-Grade-equivalent 78 in Q1 can be genuinely distressed by Q3 following a demand shock, a supply-chain disruption, or a sudden funding-market freeze — none of which shows up in a backward-looking ratio until the next reporting cycle. Treat PCRS as a point-in-time snapshot that decays in reliability the longer it goes unrefreshed, and supplement it with real-time signals (payment behavior, covenant-compliance certificates, market-implied credit spreads on comparable issuers) between refreshes for any credit already near a band boundary.</w:t>
      </w:r>
    </w:p>
    <w:p>
      <w:pPr>
        <w:pStyle w:val="ListParagraph"/>
        <w:numPr>
          <w:ilvl w:val="0"/>
          <w:numId w:val="1"/>
        </w:numPr>
        <w:spacing w:after="60"/>
      </w:pPr>
      <w:r>
        <w:rPr>
          <w:b/>
          <w:bCs/>
        </w:rPr>
        <w:t xml:space="preserve">Qualitative rubrics are analyst-dependent.</w:t>
      </w:r>
      <w:r>
        <w:t xml:space="preserve"> Two analysts can legitimately land one Likert point apart on management quality or collateral quality. Mitigate by having a second reviewer score P5/P6a/P6b independently on contested credits and averaging.</w:t>
      </w:r>
    </w:p>
    <w:p>
      <w:pPr>
        <w:pStyle w:val="ListParagraph"/>
        <w:numPr>
          <w:ilvl w:val="0"/>
          <w:numId w:val="1"/>
        </w:numPr>
        <w:spacing w:after="60"/>
      </w:pPr>
      <w:r>
        <w:rPr>
          <w:b/>
          <w:bCs/>
        </w:rPr>
        <w:t xml:space="preserve">Not sector-agnostic in practice.</w:t>
      </w:r>
      <w:r>
        <w:t xml:space="preserve"> The Debt/Equity anchors and the margin-level baseline in P4 are tuned for a generalist mid-market industrial/services lens. A financial-services borrower (where D/E is structurally high by business model, not by risk) or a pre-revenue/early-stage credit will misscore on P1 and P4 almost by definition — for those borrower types, treat P1/P4 as directional only and weight P6 (qualitative) and direct covenant analysis more heavily.</w:t>
      </w:r>
    </w:p>
    <w:p>
      <w:pPr>
        <w:pStyle w:val="Heading1"/>
        <w:spacing w:after="120" w:before="240"/>
      </w:pPr>
      <w:r>
        <w:t xml:space="preserve">11. Versioning and Change Control</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Version</w:t>
            </w:r>
          </w:p>
        </w:tc>
        <w:tc>
          <w:tcPr>
            <w:shd w:fill="1B2A4A" w:val="solid"/>
          </w:tcPr>
          <w:p>
            <w:r>
              <w:rPr>
                <w:b/>
                <w:bCs/>
                <w:color w:val="FFFFFF"/>
              </w:rPr>
              <w:t xml:space="preserve">Date</w:t>
            </w:r>
          </w:p>
        </w:tc>
        <w:tc>
          <w:tcPr>
            <w:shd w:fill="1B2A4A" w:val="solid"/>
          </w:tcPr>
          <w:p>
            <w:r>
              <w:rPr>
                <w:b/>
                <w:bCs/>
                <w:color w:val="FFFFFF"/>
              </w:rPr>
              <w:t xml:space="preserve">Change</w:t>
            </w:r>
          </w:p>
        </w:tc>
      </w:tr>
      <w:tr>
        <w:tc>
          <w:p>
            <w:r>
              <w:t xml:space="preserve">1.0</w:t>
            </w:r>
          </w:p>
        </w:tc>
        <w:tc>
          <w:p>
            <w:r>
              <w:t xml:space="preserve">2026-08-10</w:t>
            </w:r>
          </w:p>
        </w:tc>
        <w:tc>
          <w:p>
            <w:r>
              <w:t xml:space="preserve">Initial specification and reference implementation</w:t>
            </w:r>
          </w:p>
        </w:tc>
      </w:tr>
    </w:tbl>
    <w:p>
      <w:pPr>
        <w:spacing w:after="160"/>
      </w:pPr>
      <w:r>
        <w:t xml:space="preserve">Any change to a weight, formula, or anchor value is a version bump with an entry here — the whole point of a proprietary, named algorithm is that "PCRS 70" means the same thing every time it is quoted. Silent tuning defeats that.</w:t>
      </w:r>
    </w:p>
    <w:p>
      <w:pPr>
        <w:pStyle w:val="Heading1"/>
        <w:spacing w:after="120" w:before="240"/>
      </w:pPr>
      <w:r>
        <w:t xml:space="preserve">12. Reference Implementation</w:t>
      </w:r>
    </w:p>
    <w:p>
      <w:pPr>
        <w:spacing w:after="160"/>
      </w:pPr>
      <w:r>
        <w:t xml:space="preserve">scripts/score.js is a literal, runnable implementation of the specification set out in this document — not a summary, illustration, or pseudocode approximation of it. Every formula, weight, anchor point, and confidence-tier boundary described in Sections 3 through 6 is executable code, and the worked example in Section 7 is the actual output of running that code against a fully-populated input file (scripts/example-input.json), not a hand-estimated illustration. The specification is explicit that if the document and the script ever disagree, the document governs and the script has a bug — a stated maintenance discipline that keeps the two from silently drifting apart over time.</w:t>
      </w:r>
    </w:p>
    <w:p>
      <w:pPr>
        <w:spacing w:after="160"/>
      </w:pPr>
      <w:r>
        <w:t xml:space="preserve">This reproducibility is itself valuation-relevant evidence: a methodology that can be independently executed, checked against its own documented worked example, and produce the identical numeric result every time is a materially different — and more readily demonstrable — asset than a description of an analytical process that exists only as narrative judgment. For a valuer, licensing counterparty, or IP-diligence reviewer, the ability to run the reference implementation and reconcile its output line-by-line against Section 7 of this document is direct, checkable evidence of the methodology's existence, specificity, and operational maturity as of its stated version date.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lowerLetter"/>
      <w:lvlText w:val="%2."/>
      <w:lvlJc w:val="start"/>
    </w:lvl>
    <w:lvl w:ilvl="2" w15:tentative="1">
      <w:start w:val="1"/>
      <w:numFmt w:val="lowerRoman"/>
      <w:lvlText w:val="%3."/>
      <w:lvlJc w:val="start"/>
    </w:lvl>
    <w:lvl w:ilvl="3" w15:tentative="1">
      <w:start w:val="1"/>
      <w:numFmt w:val="decimal"/>
      <w:lvlText w:val="%4."/>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121B30"/>
      <w:sz w:val="32"/>
      <w:szCs w:val="32"/>
    </w:rPr>
  </w:style>
  <w:style w:type="paragraph" w:styleId="Heading2">
    <w:name w:val="Heading 2"/>
    <w:basedOn w:val="Normal"/>
    <w:next w:val="Normal"/>
    <w:qFormat/>
    <w:rPr>
      <w:b/>
      <w:bCs/>
      <w:color w:val="121B30"/>
      <w:sz w:val="28"/>
      <w:szCs w:val="28"/>
    </w:rPr>
  </w:style>
  <w:style w:type="paragraph" w:styleId="Heading3">
    <w:name w:val="Heading 3"/>
    <w:basedOn w:val="Normal"/>
    <w:next w:val="Normal"/>
    <w:qFormat/>
    <w:rPr>
      <w:b/>
      <w:bCs/>
      <w:color w:val="121B3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2026-08-10T15:57:06.208Z</dcterms:created>
  <dcterms:modified xsi:type="dcterms:W3CDTF">2026-08-10T15:57:06.210Z</dcterms:modified>
</cp:coreProperties>
</file>

<file path=docProps/custom.xml><?xml version="1.0" encoding="utf-8"?>
<Properties xmlns="http://schemas.openxmlformats.org/officeDocument/2006/custom-properties" xmlns:vt="http://schemas.openxmlformats.org/officeDocument/2006/docPropsVTypes"/>
</file>