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Quarterly Market Brief: Renewable Energy Storage</w:t>
      </w:r>
    </w:p>
    <w:p>
      <w:pPr>
        <w:pStyle w:val="Heading1"/>
        <w:spacing w:after="120" w:before="24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Executive Summary</w:t>
      </w:r>
    </w:p>
    <w:p>
      <w:pPr>
        <w:spacing w:after="160"/>
      </w:pPr>
      <w:r>
        <w:t xml:space="preserve">Grid-scale battery deployments grew </w:t>
      </w:r>
      <w:r>
        <w:rPr>
          <w:b/>
          <w:bCs/>
        </w:rPr>
        <w:t xml:space="preserve">34% year-over-year</w:t>
      </w:r>
      <w:r>
        <w:t xml:space="preserve"> in Q2, outpacing the prior four quarters combined. Lithium iron phosphate (LFP) chemistry now accounts for the </w:t>
      </w:r>
      <w:r>
        <w:rPr>
          <w:i/>
          <w:iCs/>
        </w:rPr>
        <w:t xml:space="preserve">majority</w:t>
      </w:r>
      <w:r>
        <w:t xml:space="preserve"> of new capacity, driven by falling cell costs and improved thermal safety margins.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Capacity added</w:t>
      </w:r>
      <w:r>
        <w:t xml:space="preserve">: 4.2 GWh across 11 utility-scale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United States led deployment volume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Texas and California accounted for 61% of new capacity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China followed closely on manufacturing capacity, not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Average cost</w:t>
      </w:r>
      <w:r>
        <w:t xml:space="preserve">: $142/kWh installed, down from $168/kWh a year ago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Outlook</w:t>
      </w:r>
      <w:r>
        <w:t xml:space="preserve">: continued decline expected as sodium-ion pilots scale</w:t>
      </w:r>
    </w:p>
    <w:p>
      <w:pPr>
        <w:pStyle w:val="Heading1"/>
        <w:spacing w:after="120" w:before="240"/>
      </w:pPr>
      <w:r>
        <w:t xml:space="preserve">Deployment by Region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val="solid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shd w:fill="0F766E" w:val="solid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Capacity (GWh)</w:t>
            </w:r>
          </w:p>
        </w:tc>
        <w:tc>
          <w:tcPr>
            <w:shd w:fill="0F766E" w:val="solid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YoY Growth</w:t>
            </w:r>
          </w:p>
        </w:tc>
        <w:tc>
          <w:tcPr>
            <w:shd w:fill="0F766E" w:val="solid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Lead Chemistry</w:t>
            </w:r>
          </w:p>
        </w:tc>
      </w:tr>
      <w:tr>
        <w:tc>
          <w:p>
            <w:r>
              <w:t xml:space="preserve">North America</w:t>
            </w:r>
          </w:p>
        </w:tc>
        <w:tc>
          <w:p>
            <w:pPr>
              <w:jc w:val="right"/>
            </w:pPr>
            <w:r>
              <w:t xml:space="preserve">1.9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+41%</w:t>
            </w:r>
          </w:p>
        </w:tc>
        <w:tc>
          <w:p>
            <w:r>
              <w:t xml:space="preserve">LFP</w:t>
            </w:r>
          </w:p>
        </w:tc>
      </w:tr>
      <w:tr>
        <w:tc>
          <w:tcPr>
            <w:shd w:fill="F3F4F6" w:val="solid"/>
          </w:tcPr>
          <w:p>
            <w:r>
              <w:t xml:space="preserve">China</w:t>
            </w:r>
          </w:p>
        </w:tc>
        <w:tc>
          <w:tcPr>
            <w:shd w:fill="F3F4F6" w:val="solid"/>
          </w:tcPr>
          <w:p>
            <w:pPr>
              <w:jc w:val="right"/>
            </w:pPr>
            <w:r>
              <w:t xml:space="preserve">1.4</w:t>
            </w:r>
          </w:p>
        </w:tc>
        <w:tc>
          <w:tcPr>
            <w:shd w:fill="F3F4F6" w:val="solid"/>
          </w:tcPr>
          <w:p>
            <w:pPr>
              <w:jc w:val="right"/>
            </w:pPr>
            <w:r>
              <w:t xml:space="preserve">+22%</w:t>
            </w:r>
          </w:p>
        </w:tc>
        <w:tc>
          <w:tcPr>
            <w:shd w:fill="F3F4F6" w:val="solid"/>
          </w:tcPr>
          <w:p>
            <w:r>
              <w:t xml:space="preserve">LFP</w:t>
            </w:r>
          </w:p>
        </w:tc>
      </w:tr>
      <w:tr>
        <w:tc>
          <w:p>
            <w:r>
              <w:t xml:space="preserve">Europe</w:t>
            </w:r>
          </w:p>
        </w:tc>
        <w:tc>
          <w:p>
            <w:pPr>
              <w:jc w:val="right"/>
            </w:pPr>
            <w:r>
              <w:t xml:space="preserve">0.6</w:t>
            </w:r>
          </w:p>
        </w:tc>
        <w:tc>
          <w:p>
            <w:pPr>
              <w:jc w:val="right"/>
            </w:pPr>
            <w:r>
              <w:t xml:space="preserve">+38%</w:t>
            </w:r>
          </w:p>
        </w:tc>
        <w:tc>
          <w:p>
            <w:r>
              <w:t xml:space="preserve">NMC</w:t>
            </w:r>
          </w:p>
        </w:tc>
      </w:tr>
      <w:tr>
        <w:tc>
          <w:tcPr>
            <w:shd w:fill="F3F4F6" w:val="solid"/>
          </w:tcPr>
          <w:p>
            <w:r>
              <w:t xml:space="preserve">Rest of World</w:t>
            </w:r>
          </w:p>
        </w:tc>
        <w:tc>
          <w:tcPr>
            <w:shd w:fill="F3F4F6" w:val="solid"/>
          </w:tcPr>
          <w:p>
            <w:pPr>
              <w:jc w:val="right"/>
            </w:pPr>
            <w:r>
              <w:t xml:space="preserve">0.3</w:t>
            </w:r>
          </w:p>
        </w:tc>
        <w:tc>
          <w:tcPr>
            <w:shd w:fill="F3F4F6" w:val="solid"/>
          </w:tcPr>
          <w:p>
            <w:pPr>
              <w:jc w:val="right"/>
            </w:pPr>
            <w:r>
              <w:t xml:space="preserve">+19%</w:t>
            </w:r>
          </w:p>
        </w:tc>
        <w:tc>
          <w:tcPr>
            <w:shd w:fill="F3F4F6" w:val="solid"/>
          </w:tcPr>
          <w:p>
            <w:r>
              <w:t xml:space="preserve">Mixed</w:t>
            </w:r>
          </w:p>
        </w:tc>
      </w:tr>
    </w:tbl>
    <w:p>
      <w:pPr>
        <w:pStyle w:val="Heading1"/>
        <w:spacing w:after="120" w:before="240"/>
      </w:pPr>
      <w:r>
        <w:t xml:space="preserve">Risks to 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Permitting delays</w:t>
      </w:r>
      <w:r>
        <w:t xml:space="preserve">: interconnection queues remain the single largest bottleneck to deployment timing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Raw material pricing</w:t>
      </w:r>
      <w:r>
        <w:t xml:space="preserve">: lithium carbonate prices have stabilized but remain sensitive to South American supply disruptions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Policy exposure</w:t>
      </w:r>
      <w:r>
        <w:t xml:space="preserve">: investment tax credit adders are scheduled for review in the next legislative cycle</w:t>
      </w:r>
    </w:p>
    <w:p>
      <w:r>
        <w:br w:type="page"/>
      </w:r>
    </w:p>
    <w:p>
      <w:pPr>
        <w:pStyle w:val="Heading1"/>
        <w:spacing w:after="120" w:before="240"/>
      </w:pPr>
      <w:r>
        <w:t xml:space="preserve">Appendix: Methodology</w:t>
      </w:r>
    </w:p>
    <w:p>
      <w:pPr>
        <w:spacing w:after="160"/>
        <w:jc w:val="both"/>
      </w:pPr>
      <w:r>
        <w:t xml:space="preserve">Figures are aggregated from public interconnection filings, project financing disclosures, and manufacturer shipment data. Regional totals exclude behind-the-meter residential storage, which is tracked separately. All figures are preliminary and subject to revision as Q2 filings are finalized.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</w:lvl>
    <w:lvl w:ilvl="2" w15:tentative="1">
      <w:start w:val="1"/>
      <w:numFmt w:val="lowerRoman"/>
      <w:lvlText w:val="%3."/>
      <w:lvlJc w:val="start"/>
    </w:lvl>
    <w:lvl w:ilvl="3" w15:tentative="1">
      <w:start w:val="1"/>
      <w:numFmt w:val="decimal"/>
      <w:lvlText w:val="%4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A4D48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0A4D48"/>
      <w:sz w:val="28"/>
      <w:szCs w:val="28"/>
    </w:rPr>
  </w:style>
  <w:style w:type="paragraph" w:styleId="Heading3">
    <w:name w:val="Heading 3"/>
    <w:basedOn w:val="Normal"/>
    <w:next w:val="Normal"/>
    <w:qFormat/>
    <w:rPr>
      <w:b/>
      <w:bCs/>
      <w:color w:val="0A4D4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2026-08-10T18:25:44.826Z</dcterms:created>
  <dcterms:modified xsi:type="dcterms:W3CDTF">2026-08-10T18:25:44.829Z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