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Equity Signal Score (PESS)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and methodological description of a proprietary scoring algorithm; it is not investment advice, a legal opinion, or a valuation report in itself.</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60"/>
      </w:pPr>
      <w:r>
        <w:t xml:space="preserve">The </w:t>
      </w:r>
      <w:r>
        <w:rPr>
          <w:b/>
          <w:bCs/>
        </w:rPr>
        <w:t xml:space="preserve">Prabhakar Equity Signal Score (PESS)</w:t>
      </w:r>
      <w:r>
        <w:t xml:space="preserve"> is a proprietary, six-pillar, weighted cross-sectional scoring methodology for screening and ranking publicly listed equities against a defined sector or peer universe. Developed by Nishant Prabhakar and specified at version 1.0 (dated 2026-08-10), PESS converts scattered valuation multiples, fundamental accounting data, price history, and ownership signals into a single comparable 0–100 composite score, together with a named tier and an explicit confidence rating that reflects how complete the underlying data actually was.</w:t>
      </w:r>
    </w:p>
    <w:p>
      <w:pPr>
        <w:spacing w:after="160"/>
      </w:pPr>
      <w:r>
        <w:t xml:space="preserve">The problem PESS solves is consistency at scale: an analyst manually screening fifty stocks tends to produce fifty independently-reasoned, differently-weighted opinions, each vulnerable to recency bias, narrative attachment, or simple fatigue. PESS forces the same six questions — is it cheap, is it good, is it growing, is the market already moving on it, what are insiders and the ownership base doing, and what could go wrong — to be answered the same way, against the same named formulas, for every name in a universe, producing a result that is directly comparable across companies and reproducible across time.</w:t>
      </w:r>
    </w:p>
    <w:p>
      <w:pPr>
        <w:spacing w:after="160"/>
      </w:pPr>
      <w:r>
        <w:rPr>
          <w:b/>
          <w:bCs/>
        </w:rPr>
        <w:t xml:space="preserve">Novelty claim.</w:t>
      </w:r>
      <w:r>
        <w:t xml:space="preserve"> PESS's novelty is not in inventing new financial ratios — the pillar-level building blocks (valuation multiples, ROIC, the Altman Z-Score, 12-1 price momentum, the Beneish M-Score) are drawn deliberately from established, externally-attributed literature and forensic-accounting practice. The proprietary contribution is the specific selection, weighting, and combination of those inputs into one composite formula (a fixed 20/20/20/15/10/15 pillar-weight structure), the percentile-rank cross-sectional construction that anchors most sub-scores to a live peer universe rather than to an absolute threshold, the deductive (start-at-100, subtract) construction of the risk pillar, the explicit Likert-anchor rubrics used to convert qualitative judgments into numbers consistently, and the attached data-completeness/confidence framework that makes missing or unverified inputs visible in the output rather than silently absorbed into a plausible-looking number. That specific, disclosed, versioned combination — not any single ratio inside it — is the asset under review.</w:t>
      </w:r>
    </w:p>
    <w:p>
      <w:pPr>
        <w:pStyle w:val="Heading1"/>
        <w:spacing w:after="120" w:before="240"/>
      </w:pPr>
      <w:r>
        <w:t xml:space="preserve">Purpose and Positioning</w:t>
      </w:r>
    </w:p>
    <w:p>
      <w:pPr>
        <w:pStyle w:val="Heading2"/>
        <w:spacing w:after="120" w:before="240"/>
      </w:pPr>
      <w:r>
        <w:t xml:space="preserve">1. Purpose and positioning</w:t>
      </w:r>
    </w:p>
    <w:p>
      <w:pPr>
        <w:spacing w:after="160"/>
      </w:pPr>
      <w:r>
        <w:t xml:space="preserve">PESS is a </w:t>
      </w:r>
      <w:r>
        <w:rPr>
          <w:b/>
          <w:bCs/>
        </w:rPr>
        <w:t xml:space="preserve">cross-sectional screening and ranking tool</w:t>
      </w:r>
      <w:r>
        <w:t xml:space="preserve">, not a price model. As specified in the governing methodology document, it exists to do three things quickly and consistently across a stock universe:</w:t>
      </w:r>
    </w:p>
    <w:p>
      <w:pPr>
        <w:pStyle w:val="ListParagraph"/>
        <w:numPr>
          <w:ilvl w:val="0"/>
          <w:numId w:val="1"/>
        </w:numPr>
        <w:spacing w:after="60"/>
      </w:pPr>
      <w:r>
        <w:t xml:space="preserve">Convert scattered valuation multiples, fundamentals, price history, and ownership data into one comparable number, ranked against a peer/sector universe rather than against an absolute anchor.</w:t>
      </w:r>
    </w:p>
    <w:p>
      <w:pPr>
        <w:pStyle w:val="ListParagraph"/>
        <w:numPr>
          <w:ilvl w:val="0"/>
          <w:numId w:val="1"/>
        </w:numPr>
        <w:spacing w:after="60"/>
      </w:pPr>
      <w:r>
        <w:t xml:space="preserve">Force the same six questions to get answered for every name in a universe, in the same way, so screening 50 stocks produces a consistent, comparable list instead of 50 independently-vibed opinions.</w:t>
      </w:r>
    </w:p>
    <w:p>
      <w:pPr>
        <w:pStyle w:val="ListParagraph"/>
        <w:numPr>
          <w:ilvl w:val="0"/>
          <w:numId w:val="1"/>
        </w:numPr>
        <w:spacing w:after="60"/>
      </w:pPr>
      <w:r>
        <w:t xml:space="preserve">Surface which specific pillar is driving the score — so "why is this on the shortlist" has a specific answer ("87th percentile quality, cheap on a blended multiple") instead of "the model likes it."</w:t>
      </w:r>
    </w:p>
    <w:p>
      <w:pPr>
        <w:spacing w:after="160"/>
      </w:pPr>
      <w:r>
        <w:t xml:space="preserve">It is deliberately </w:t>
      </w:r>
      <w:r>
        <w:rPr>
          <w:b/>
          <w:bCs/>
        </w:rPr>
        <w:t xml:space="preserve">not</w:t>
      </w:r>
      <w:r>
        <w:t xml:space="preserve"> a black box: every sub-score is a named, auditable formula against a named input. If an input is unknown, the algorithm says so and degrades its confidence rating rather than guessing silently.</w:t>
      </w:r>
    </w:p>
    <w:p>
      <w:pPr>
        <w:spacing w:after="160"/>
      </w:pPr>
      <w:r>
        <w:rPr>
          <w:b/>
          <w:bCs/>
        </w:rPr>
        <w:t xml:space="preserve">What the PESS is not</w:t>
      </w:r>
      <w:r>
        <w:t xml:space="preserve">: a price-target model, a market-timing signal, or investment advice. It does not forecast returns, does not tell you when to buy or sell, and produces a screening rank within a universe, not a standalone verdict on any one stock in isolation — a PESS of 80 means "near the top of the peer set you compared it against," not "will go up." Real valuation work and independent judgment are meant to run in parallel; the PESS indicates which names in a universe are worth spending that time on.</w:t>
      </w:r>
    </w:p>
    <w:p>
      <w:pPr>
        <w:spacing w:after="160"/>
      </w:pPr>
      <w:r>
        <w:rPr>
          <w:b/>
          <w:bCs/>
        </w:rPr>
        <w:t xml:space="preserve">A note on how to read the score.</w:t>
      </w:r>
      <w:r>
        <w:t xml:space="preserve"> PESS resolves to a single number on a 0–100 scale with named tiers (see the next section), which makes it look, superficially, like an absolute score in the same family as some of the other Prabhakar scoring methodologies used elsewhere in this practice. It is not. Four of its six pillars, and most of the sub-metrics within them, are populated by percentile ranks computed against a specific, dated sector or peer universe — not by absolute thresholds. The composite number is therefore only meaningful in reference to the peer universe used to build it: a PESS of 72 against a tightly-scoped set of twenty-five direct sub-industry comparables and a PESS of 72 against a loosely-scoped GICS sector of two hundred names are not measuring the same thing, even though the two outputs are numerically identical. This is a structural feature of the methodology, not a limitation to be engineered away, and it is treated as such throughout this document.</w:t>
      </w:r>
    </w:p>
    <w:p>
      <w:pPr>
        <w:pStyle w:val="Heading1"/>
        <w:spacing w:after="120" w:before="240"/>
      </w:pPr>
      <w:r>
        <w:t xml:space="preserve">Methodology at a Glance</w:t>
      </w:r>
    </w:p>
    <w:p>
      <w:pPr>
        <w:pStyle w:val="Heading2"/>
        <w:spacing w:after="120" w:before="240"/>
      </w:pPr>
      <w:r>
        <w:t xml:space="preserve">2. Structure at a glance</w:t>
      </w:r>
    </w:p>
    <w:p>
      <w:pPr>
        <w:spacing w:after="160"/>
      </w:pPr>
      <w:r>
        <w:t xml:space="preserve">Six weighted pillars, each scored 0–100, rolled into one composite. Most pillars score by percentile rank against a sector/peer universe — a company's raw P/E or ROIC means little on its own; where it sits relative to comparable companies right now is the actual signal.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Valuation</w:t>
            </w:r>
          </w:p>
        </w:tc>
        <w:tc>
          <w:p>
            <w:r>
              <w:t xml:space="preserve">20%</w:t>
            </w:r>
          </w:p>
        </w:tc>
        <w:tc>
          <w:p>
            <w:r>
              <w:t xml:space="preserve">Is this cheap or expensive versus its peer set, right now?</w:t>
            </w:r>
          </w:p>
        </w:tc>
      </w:tr>
      <w:tr>
        <w:tc>
          <w:tcPr>
            <w:shd w:fill="F3F4F6" w:val="solid"/>
          </w:tcPr>
          <w:p>
            <w:r>
              <w:t xml:space="preserve">P2. Quality</w:t>
            </w:r>
          </w:p>
        </w:tc>
        <w:tc>
          <w:tcPr>
            <w:shd w:fill="F3F4F6" w:val="solid"/>
          </w:tcPr>
          <w:p>
            <w:r>
              <w:t xml:space="preserve">20%</w:t>
            </w:r>
          </w:p>
        </w:tc>
        <w:tc>
          <w:tcPr>
            <w:shd w:fill="F3F4F6" w:val="solid"/>
          </w:tcPr>
          <w:p>
            <w:r>
              <w:t xml:space="preserve">Is the underlying business — returns, margin stability, balance sheet — actually good?</w:t>
            </w:r>
          </w:p>
        </w:tc>
      </w:tr>
      <w:tr>
        <w:tc>
          <w:p>
            <w:r>
              <w:t xml:space="preserve">P3. Growth</w:t>
            </w:r>
          </w:p>
        </w:tc>
        <w:tc>
          <w:p>
            <w:r>
              <w:t xml:space="preserve">20%</w:t>
            </w:r>
          </w:p>
        </w:tc>
        <w:tc>
          <w:p>
            <w:r>
              <w:t xml:space="preserve">Is it growing, and is that growth real (organic) or borrowed (M&amp;A/one-off)?</w:t>
            </w:r>
          </w:p>
        </w:tc>
      </w:tr>
      <w:tr>
        <w:tc>
          <w:tcPr>
            <w:shd w:fill="F3F4F6" w:val="solid"/>
          </w:tcPr>
          <w:p>
            <w:r>
              <w:t xml:space="preserve">P4. Momentum</w:t>
            </w:r>
          </w:p>
        </w:tc>
        <w:tc>
          <w:tcPr>
            <w:shd w:fill="F3F4F6" w:val="solid"/>
          </w:tcPr>
          <w:p>
            <w:r>
              <w:t xml:space="preserve">15%</w:t>
            </w:r>
          </w:p>
        </w:tc>
        <w:tc>
          <w:tcPr>
            <w:shd w:fill="F3F4F6" w:val="solid"/>
          </w:tcPr>
          <w:p>
            <w:r>
              <w:t xml:space="preserve">Is the market and the sell-side already turning positive or negative on this name?</w:t>
            </w:r>
          </w:p>
        </w:tc>
      </w:tr>
      <w:tr>
        <w:tc>
          <w:p>
            <w:r>
              <w:t xml:space="preserve">P5. Ownership &amp; Sentiment</w:t>
            </w:r>
          </w:p>
        </w:tc>
        <w:tc>
          <w:p>
            <w:r>
              <w:t xml:space="preserve">10%</w:t>
            </w:r>
          </w:p>
        </w:tc>
        <w:tc>
          <w:p>
            <w:r>
              <w:t xml:space="preserve">What are insiders, institutions, and short-sellers doing?</w:t>
            </w:r>
          </w:p>
        </w:tc>
      </w:tr>
      <w:tr>
        <w:tc>
          <w:tcPr>
            <w:shd w:fill="F3F4F6" w:val="solid"/>
          </w:tcPr>
          <w:p>
            <w:r>
              <w:t xml:space="preserve">P6. Risk &amp; Red Flags</w:t>
            </w:r>
          </w:p>
        </w:tc>
        <w:tc>
          <w:tcPr>
            <w:shd w:fill="F3F4F6" w:val="solid"/>
          </w:tcPr>
          <w:p>
            <w:r>
              <w:t xml:space="preserve">15%</w:t>
            </w:r>
          </w:p>
        </w:tc>
        <w:tc>
          <w:tcPr>
            <w:shd w:fill="F3F4F6" w:val="solid"/>
          </w:tcPr>
          <w:p>
            <w:r>
              <w:t xml:space="preserve">What could blow this up — leverage, manipulation risk, volatility, litigation?</w:t>
            </w:r>
          </w:p>
        </w:tc>
      </w:tr>
    </w:tbl>
    <w:p>
      <w:pPr>
        <w:spacing w:after="160"/>
      </w:pPr>
      <w:r>
        <w:rPr>
          <w:b/>
          <w:bCs/>
        </w:rPr>
        <w:t xml:space="preserve">Composite formula:</w:t>
      </w:r>
    </w:p>
    <w:p>
      <w:pPr>
        <w:spacing w:after="160"/>
        <w:jc w:val="center"/>
      </w:pPr>
      <w:r>
        <w:t xml:space="preserve">PESS = 0.20·P1 + 0.20·P2 + 0.20·P3 + 0.15·P4 + 0.10·P5 + 0.15·P6</w:t>
      </w:r>
    </w:p>
    <w:p>
      <w:pPr>
        <w:spacing w:after="160"/>
      </w:pPr>
      <w:r>
        <w:rPr>
          <w:b/>
          <w:bCs/>
        </w:rPr>
        <w:t xml:space="preserve">Weighting rationale.</w:t>
      </w:r>
      <w:r>
        <w:t xml:space="preserve"> Valuation, quality, and growth are weighted equally at 20% each and together are 60% of the score by design — these are the three classic, evidence-backed cross-sectional factors (cheap, good, growing) that most factor-investing research finds durable across market regimes. Momentum gets a real but secondary 15% — it works, but decays fast and reverses hard, so it shouldn't dominate a screen the way valuation or quality does. Ownership/sentiment is intentionally the smallest pillar at 10% — it's a real but noisy signal (see the short-interest caveat under P5 below), useful as a tiebreaker, not a thesis. Risk &amp; Red Flags is weighted 15% and deductive, because a single credible red flag (litigation, manipulation risk) should be able to move a name a full tier on its own, the same way it would in a real diligence conversation.</w:t>
      </w:r>
    </w:p>
    <w:p>
      <w:pPr>
        <w:pStyle w:val="Heading2"/>
        <w:spacing w:after="120" w:before="240"/>
      </w:pPr>
      <w:r>
        <w:t xml:space="preserve">3. Score bands / tiers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PESS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Top decile / High conviction</w:t>
            </w:r>
          </w:p>
        </w:tc>
        <w:tc>
          <w:p>
            <w:r>
              <w:t xml:space="preserve">Priority shortlist; deepest research first</w:t>
            </w:r>
          </w:p>
        </w:tc>
      </w:tr>
      <w:tr>
        <w:tc>
          <w:tcPr>
            <w:shd w:fill="F3F4F6" w:val="solid"/>
          </w:tcPr>
          <w:p>
            <w:r>
              <w:t xml:space="preserve">65–79</w:t>
            </w:r>
          </w:p>
        </w:tc>
        <w:tc>
          <w:tcPr>
            <w:shd w:fill="F3F4F6" w:val="solid"/>
          </w:tcPr>
          <w:p>
            <w:r>
              <w:t xml:space="preserve">Attractive</w:t>
            </w:r>
          </w:p>
        </w:tc>
        <w:tc>
          <w:tcPr>
            <w:shd w:fill="F3F4F6" w:val="solid"/>
          </w:tcPr>
          <w:p>
            <w:r>
              <w:t xml:space="preserve">Add to watchlist; underwrite further</w:t>
            </w:r>
          </w:p>
        </w:tc>
      </w:tr>
      <w:tr>
        <w:tc>
          <w:p>
            <w:r>
              <w:t xml:space="preserve">50–64</w:t>
            </w:r>
          </w:p>
        </w:tc>
        <w:tc>
          <w:p>
            <w:r>
              <w:t xml:space="preserve">Neutral / Hold</w:t>
            </w:r>
          </w:p>
        </w:tc>
        <w:tc>
          <w:p>
            <w:r>
              <w:t xml:space="preserve">No action either direction; re-screen next cycle</w:t>
            </w:r>
          </w:p>
        </w:tc>
      </w:tr>
      <w:tr>
        <w:tc>
          <w:tcPr>
            <w:shd w:fill="F3F4F6" w:val="solid"/>
          </w:tcPr>
          <w:p>
            <w:r>
              <w:t xml:space="preserve">35–49</w:t>
            </w:r>
          </w:p>
        </w:tc>
        <w:tc>
          <w:tcPr>
            <w:shd w:fill="F3F4F6" w:val="solid"/>
          </w:tcPr>
          <w:p>
            <w:r>
              <w:t xml:space="preserve">Weak / Avoid new positions</w:t>
            </w:r>
          </w:p>
        </w:tc>
        <w:tc>
          <w:tcPr>
            <w:shd w:fill="F3F4F6" w:val="solid"/>
          </w:tcPr>
          <w:p>
            <w:r>
              <w:t xml:space="preserve">Don't initiate; review existing positions for trims</w:t>
            </w:r>
          </w:p>
        </w:tc>
      </w:tr>
      <w:tr>
        <w:tc>
          <w:p>
            <w:r>
              <w:t xml:space="preserve">0–34</w:t>
            </w:r>
          </w:p>
        </w:tc>
        <w:tc>
          <w:p>
            <w:r>
              <w:t xml:space="preserve">Red flag / Exit review</w:t>
            </w:r>
          </w:p>
        </w:tc>
        <w:tc>
          <w:p>
            <w:r>
              <w:t xml:space="preserve">Existing positions should get an active exit review</w:t>
            </w:r>
          </w:p>
        </w:tc>
      </w:tr>
    </w:tbl>
    <w:p>
      <w:pPr>
        <w:spacing w:after="160"/>
      </w:pPr>
      <w:r>
        <w:t xml:space="preserve">These bands assume high-confidence inputs (see the Confidence and Data-Quality Framework section below) and a peer universe that is actually comparable (see Known Limitations). Under low confidence, or a thin/loosely matched peer set, the tier should be treated as directional only, with the band widened by ±10 points before acting on it.</w:t>
      </w:r>
    </w:p>
    <w:p>
      <w:r>
        <w:br w:type="page"/>
      </w:r>
    </w:p>
    <w:p>
      <w:pPr>
        <w:pStyle w:val="Heading1"/>
        <w:spacing w:after="120" w:before="240"/>
      </w:pPr>
      <w:r>
        <w:t xml:space="preserve">Detailed Factor Formulas</w:t>
      </w:r>
    </w:p>
    <w:p>
      <w:pPr>
        <w:spacing w:after="160"/>
      </w:pPr>
      <w:r>
        <w:t xml:space="preserve">All sub-scores are clamped to [0, 100] after computation unless stated otherwise. clamp(x, lo, hi) = min(max(x, lo), hi). lerp = piecewise-linear interpolation between named anchor points.</w:t>
      </w:r>
    </w:p>
    <w:p>
      <w:pPr>
        <w:spacing w:after="160"/>
      </w:pPr>
      <w:r>
        <w:rPr>
          <w:b/>
          <w:bCs/>
        </w:rPr>
        <w:t xml:space="preserve">A note on percentile inputs.</w:t>
      </w:r>
      <w:r>
        <w:t xml:space="preserve"> Fields named *Percentile throughout this section (e.g. valuation.blendedMultiplePercentile) are not computed by the reference implementation script. Computing a real cross-sectional percentile requires building an actual, dated, well-scoped peer/sector universe and ranking the company within it — that is real analytical work, and it is the analyst's job to do it before the score is computed, the same way sourcing a sector comp set is the analyst's job in the sibling private-equity methodology. The scoring engine scores an already-computed percentile; it does not infer one from a raw peer list, and it cannot detect a badly-scoped peer set.</w:t>
      </w:r>
    </w:p>
    <w:p>
      <w:pPr>
        <w:pStyle w:val="Heading2"/>
        <w:spacing w:after="120" w:before="240"/>
      </w:pPr>
      <w:r>
        <w:t xml:space="preserve">P1. Valuation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Blended valuation multiple percentile (equal blend of P/E, EV/EBITDA, P/FCF z-scores vs. sector peers)</w:t>
            </w:r>
          </w:p>
        </w:tc>
        <w:tc>
          <w:p>
            <w:r>
              <w:t xml:space="preserve">100%</w:t>
            </w:r>
          </w:p>
        </w:tc>
        <w:tc>
          <w:p>
            <w:r>
              <w:t xml:space="preserve">score = clamp(100 − blendedMultiplePercentile, 0, 100)</w:t>
            </w:r>
          </w:p>
        </w:tc>
      </w:tr>
    </w:tbl>
    <w:p>
      <w:pPr>
        <w:spacing w:after="160"/>
        <w:jc w:val="center"/>
      </w:pPr>
      <w:r>
        <w:t xml:space="preserve">P1 = 100 − percentile</w:t>
      </w:r>
      <w:r>
        <w:rPr>
          <w:i/>
          <w:iCs/>
        </w:rPr>
        <w:t xml:space="preserve">rank</w:t>
      </w:r>
      <w:r>
        <w:t xml:space="preserve">of</w:t>
      </w:r>
      <w:r>
        <w:rPr>
          <w:i/>
          <w:iCs/>
        </w:rPr>
        <w:t xml:space="preserve">blended</w:t>
      </w:r>
      <w:r>
        <w:t xml:space="preserve">multiple</w:t>
      </w:r>
    </w:p>
    <w:p>
      <w:pPr>
        <w:spacing w:after="160"/>
      </w:pPr>
      <w:r>
        <w:rPr>
          <w:b/>
          <w:bCs/>
        </w:rPr>
        <w:t xml:space="preserve">Why inverted.</w:t>
      </w:r>
      <w:r>
        <w:t xml:space="preserve"> The percentile input is "how expensive is this stock relative to peers" (0 = cheapest in the peer set, 100 = most expensive). Being at the 10th percentile of valuation multiples — i.e. cheap — should score ~90, not ~10, so the score is 100 − percentile. This is the entire formula for P1; there is no separate weighting to derive because the blend across P/E, EV/EBITDA, and P/FCF happens before the scoring engine sees the number — the analyst blends the three z-scores into one multiple percentile upstream, as a required input.</w:t>
      </w:r>
    </w:p>
    <w:p>
      <w:pPr>
        <w:pStyle w:val="Heading2"/>
        <w:spacing w:after="120" w:before="240"/>
      </w:pPr>
      <w:r>
        <w:t xml:space="preserve">P2. Quality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ROIC percentile vs. sector peers</w:t>
            </w:r>
          </w:p>
        </w:tc>
        <w:tc>
          <w:p>
            <w:r>
              <w:t xml:space="preserve">35%</w:t>
            </w:r>
          </w:p>
        </w:tc>
        <w:tc>
          <w:p>
            <w:r>
              <w:t xml:space="preserve">roicPercentile directly as score</w:t>
            </w:r>
          </w:p>
        </w:tc>
      </w:tr>
      <w:tr>
        <w:tc>
          <w:tcPr>
            <w:shd w:fill="F3F4F6" w:val="solid"/>
          </w:tcPr>
          <w:p>
            <w:r>
              <w:t xml:space="preserve">b. Gross-margin stability percentile (inverse of 5yr margin coefficient-of-variation, percentile-ranked vs. peers)</w:t>
            </w:r>
          </w:p>
        </w:tc>
        <w:tc>
          <w:tcPr>
            <w:shd w:fill="F3F4F6" w:val="solid"/>
          </w:tcPr>
          <w:p>
            <w:r>
              <w:t xml:space="preserve">30%</w:t>
            </w:r>
          </w:p>
        </w:tc>
        <w:tc>
          <w:tcPr>
            <w:shd w:fill="F3F4F6" w:val="solid"/>
          </w:tcPr>
          <w:p>
            <w:r>
              <w:t xml:space="preserve">marginStabilityPercentile directly as score</w:t>
            </w:r>
          </w:p>
        </w:tc>
      </w:tr>
      <w:tr>
        <w:tc>
          <w:p>
            <w:r>
              <w:t xml:space="preserve">c. Altman Z-Score, banded</w:t>
            </w:r>
          </w:p>
        </w:tc>
        <w:tc>
          <w:p>
            <w:r>
              <w:t xml:space="preserve">35%</w:t>
            </w:r>
          </w:p>
        </w:tc>
        <w:tc>
          <w:p>
            <w:r>
              <w:t xml:space="preserve">Compute real Z-Score, then lerp anchors: 1.0→10, 1.81→40, 2.99→70, 4.5→90, 6.0→100</w:t>
            </w:r>
          </w:p>
        </w:tc>
      </w:tr>
    </w:tbl>
    <w:p>
      <w:pPr>
        <w:spacing w:after="160"/>
        <w:jc w:val="center"/>
      </w:pPr>
      <w:r>
        <w:t xml:space="preserve">P2 = 0.35a + 0.30b + 0.35c</w:t>
      </w:r>
    </w:p>
    <w:p>
      <w:pPr>
        <w:spacing w:after="160"/>
      </w:pPr>
      <w:r>
        <w:t xml:space="preserve">The Altman Z-Score is Edward Altman's real, established 1968 balance-sheet-strength formula — cited here as a genuine external input, not a Prabhakar invention:</w:t>
      </w:r>
    </w:p>
    <w:p>
      <w:pPr>
        <w:spacing w:after="160"/>
        <w:jc w:val="center"/>
      </w:pPr>
      <w:r>
        <w:t xml:space="preserve">Z = 1.2·(WorkingCapital/TotalAssets) + 1.4·(RetainedEarnings/TotalAssets) + 3.3·(EBIT/TotalAssets) + 0.6·(MarketValueEquity/TotalLiabilities) + 1.0·(Sales/TotalAssets)</w:t>
      </w:r>
    </w:p>
    <w:p>
      <w:pPr>
        <w:spacing w:after="160"/>
      </w:pPr>
      <w:r>
        <w:t xml:space="preserve">Standard bands: Z &lt; 1.81 is the distress zone, 1.81–2.99 is the grey zone, Z &gt; 2.99 is the safe zone. Unlike the percentile fields above, the Z-Score is computed directly by the reference implementation from raw balance-sheet line items (quality.altmanZInputs.*) — it is an absolute, cross-company-comparable formula by construction, so no separate peer-percentile step is needed before banding it.</w:t>
      </w:r>
    </w:p>
    <w:p>
      <w:pPr>
        <w:pStyle w:val="Heading2"/>
        <w:spacing w:after="120" w:before="240"/>
      </w:pPr>
      <w:r>
        <w:t xml:space="preserve">P3. Growth</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Revenue growth trend percentile vs. sector peers</w:t>
            </w:r>
          </w:p>
        </w:tc>
        <w:tc>
          <w:p>
            <w:r>
              <w:t xml:space="preserve">50%</w:t>
            </w:r>
          </w:p>
        </w:tc>
        <w:tc>
          <w:p>
            <w:r>
              <w:t xml:space="preserve">revenueGrowthPercentile directly as score</w:t>
            </w:r>
          </w:p>
        </w:tc>
      </w:tr>
      <w:tr>
        <w:tc>
          <w:tcPr>
            <w:shd w:fill="F3F4F6" w:val="solid"/>
          </w:tcPr>
          <w:p>
            <w:r>
              <w:t xml:space="preserve">b. EPS growth trend percentile vs. sector peers</w:t>
            </w:r>
          </w:p>
        </w:tc>
        <w:tc>
          <w:tcPr>
            <w:shd w:fill="F3F4F6" w:val="solid"/>
          </w:tcPr>
          <w:p>
            <w:r>
              <w:t xml:space="preserve">50%</w:t>
            </w:r>
          </w:p>
        </w:tc>
        <w:tc>
          <w:tcPr>
            <w:shd w:fill="F3F4F6" w:val="solid"/>
          </w:tcPr>
          <w:p>
            <w:r>
              <w:t xml:space="preserve">epsGrowthPercentile directly as score</w:t>
            </w:r>
          </w:p>
        </w:tc>
      </w:tr>
    </w:tbl>
    <w:p>
      <w:pPr>
        <w:spacing w:after="160"/>
        <w:jc w:val="center"/>
      </w:pPr>
      <w:r>
        <w:t xml:space="preserve">base = 0.50a + 0.50b
P3 = clamp(base − 15, 0, 100)  if growthQualityFlag is true, else base</w:t>
      </w:r>
    </w:p>
    <w:p>
      <w:pPr>
        <w:spacing w:after="160"/>
      </w:pPr>
      <w:r>
        <w:rPr>
          <w:b/>
          <w:bCs/>
        </w:rPr>
        <w:t xml:space="preserve">Growth-quality flag.</w:t>
      </w:r>
      <w:r>
        <w:t xml:space="preserve"> If growth is judged to be driven mainly by acquisitions or one-off items rather than organic performance, a flat −15 point penalty is applied to the blended base score. This is a binary flag, not a graded rubric, deliberately — the analyst has to make a real call ("is this organic") and state it, rather than the model quietly averaging away the distinction. A company growing 20% organically and a company growing 20% through a string of acquisitions are not the same investment case even though the raw growth percentile looks identical.</w:t>
      </w:r>
    </w:p>
    <w:p>
      <w:pPr>
        <w:pStyle w:val="Heading2"/>
        <w:spacing w:after="120" w:before="240"/>
      </w:pPr>
      <w:r>
        <w:t xml:space="preserve">P4. Momentum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Price momentum percentile (12-month return excluding the most recent month)</w:t>
            </w:r>
          </w:p>
        </w:tc>
        <w:tc>
          <w:p>
            <w:r>
              <w:t xml:space="preserve">60%</w:t>
            </w:r>
          </w:p>
        </w:tc>
        <w:tc>
          <w:p>
            <w:r>
              <w:t xml:space="preserve">priceMomentumPercentile directly as score</w:t>
            </w:r>
          </w:p>
        </w:tc>
      </w:tr>
      <w:tr>
        <w:tc>
          <w:tcPr>
            <w:shd w:fill="F3F4F6" w:val="solid"/>
          </w:tcPr>
          <w:p>
            <w:r>
              <w:t xml:space="preserve">b. Estimate-revision momentum percentile (analysts raising vs. cutting estimates)</w:t>
            </w:r>
          </w:p>
        </w:tc>
        <w:tc>
          <w:tcPr>
            <w:shd w:fill="F3F4F6" w:val="solid"/>
          </w:tcPr>
          <w:p>
            <w:r>
              <w:t xml:space="preserve">40%</w:t>
            </w:r>
          </w:p>
        </w:tc>
        <w:tc>
          <w:tcPr>
            <w:shd w:fill="F3F4F6" w:val="solid"/>
          </w:tcPr>
          <w:p>
            <w:r>
              <w:t xml:space="preserve">estimateRevisionPercentile directly as score</w:t>
            </w:r>
          </w:p>
        </w:tc>
      </w:tr>
    </w:tbl>
    <w:p>
      <w:pPr>
        <w:spacing w:after="160"/>
        <w:jc w:val="center"/>
      </w:pPr>
      <w:r>
        <w:t xml:space="preserve">P4 = 0.60a + 0.40b</w:t>
      </w:r>
    </w:p>
    <w:p>
      <w:pPr>
        <w:spacing w:after="160"/>
      </w:pPr>
      <w:r>
        <w:t xml:space="preserve">"12-1" momentum (12-month return, excluding the most recent month) is a well-known convention in the academic and practitioner momentum-factor literature (Jegadeesh &amp; Titman, and standard in most commercial factor models) — the most recent month is excluded specifically because short-term reversal effects tend to work against 1-month-old momentum, muddying the signal if included raw. This convention is cited here as an established practice, not a Prabhakar invention; only the weighting of it within PESS is proprietary.</w:t>
      </w:r>
    </w:p>
    <w:p>
      <w:pPr>
        <w:pStyle w:val="Heading2"/>
        <w:spacing w:after="120" w:before="240"/>
      </w:pPr>
      <w:r>
        <w:t xml:space="preserve">P5. Ownership &amp; Sentiment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Insider net-buying/selling trend (1–5 rubric)</w:t>
            </w:r>
          </w:p>
        </w:tc>
        <w:tc>
          <w:p>
            <w:r>
              <w:t xml:space="preserve">40%</w:t>
            </w:r>
          </w:p>
        </w:tc>
        <w:tc>
          <w:p>
            <w:r>
              <w:t xml:space="preserve">likertToScore(rubricValue)</w:t>
            </w:r>
          </w:p>
        </w:tc>
      </w:tr>
      <w:tr>
        <w:tc>
          <w:tcPr>
            <w:shd w:fill="F3F4F6" w:val="solid"/>
          </w:tcPr>
          <w:p>
            <w:r>
              <w:t xml:space="preserve">b. Institutional-ownership trend</w:t>
            </w:r>
          </w:p>
        </w:tc>
        <w:tc>
          <w:tcPr>
            <w:shd w:fill="F3F4F6" w:val="solid"/>
          </w:tcPr>
          <w:p>
            <w:r>
              <w:t xml:space="preserve">30%</w:t>
            </w:r>
          </w:p>
        </w:tc>
        <w:tc>
          <w:tcPr>
            <w:shd w:fill="F3F4F6" w:val="solid"/>
          </w:tcPr>
          <w:p>
            <w:r>
              <w:t xml:space="preserve">Likert-mapped: decreasing→20, flat→55, increasing→85</w:t>
            </w:r>
          </w:p>
        </w:tc>
      </w:tr>
      <w:tr>
        <w:tc>
          <w:p>
            <w:r>
              <w:t xml:space="preserve">c. Short interest as % of float (inverse)</w:t>
            </w:r>
          </w:p>
        </w:tc>
        <w:tc>
          <w:p>
            <w:r>
              <w:t xml:space="preserve">30%</w:t>
            </w:r>
          </w:p>
        </w:tc>
        <w:tc>
          <w:p>
            <w:r>
              <w:t xml:space="preserve">lerp anchors: 0%→65, 5%→60, 10%→50, 20%→35, 30%→20</w:t>
            </w:r>
          </w:p>
        </w:tc>
      </w:tr>
    </w:tbl>
    <w:p>
      <w:pPr>
        <w:spacing w:after="160"/>
        <w:jc w:val="center"/>
      </w:pPr>
      <w:r>
        <w:t xml:space="preserve">P5 = 0.40a + 0.30b + 0.30c</w:t>
      </w:r>
    </w:p>
    <w:p>
      <w:pPr>
        <w:spacing w:after="160"/>
      </w:pPr>
      <w:r>
        <w:rPr>
          <w:b/>
          <w:bCs/>
        </w:rPr>
        <w:t xml:space="preserve">Why short interest is only a 30%-weighted sub-component of a 10%-weighted pillar (i.e. a 3% share of the total score).</w:t>
      </w:r>
      <w:r>
        <w:t xml:space="preserve"> High short interest is directional only, not a clean bearish signal. Heavily-shorted names can mean-revert hard on short squeezes, so treating short interest as a strong standalone signal would be actively misleading. It's included because it is real, observable information — but deliberately kept small enough that it can nudge P5, not drive the composite score.</w:t>
      </w:r>
    </w:p>
    <w:p>
      <w:pPr>
        <w:pStyle w:val="Heading2"/>
        <w:spacing w:after="120" w:before="240"/>
      </w:pPr>
      <w:r>
        <w:t xml:space="preserve">P6. Risk &amp; Red Flags (deductive — starts at 100, subtracts)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Flag</w:t>
            </w:r>
          </w:p>
        </w:tc>
        <w:tc>
          <w:tcPr>
            <w:shd w:fill="1B2A4A" w:val="solid"/>
          </w:tcPr>
          <w:p>
            <w:r>
              <w:rPr>
                <w:b/>
                <w:bCs/>
                <w:color w:val="FFFFFF"/>
              </w:rPr>
              <w:t xml:space="preserve">Deduction</w:t>
            </w:r>
          </w:p>
        </w:tc>
      </w:tr>
      <w:tr>
        <w:tc>
          <w:p>
            <w:r>
              <w:t xml:space="preserve">Leverage above sector norm (Net Debt/EBITDA vs. sector median)</w:t>
            </w:r>
          </w:p>
        </w:tc>
        <w:tc>
          <w:p>
            <w:r>
              <w:t xml:space="preserve">clamp((leverage − sectorMedianLeverage) × 10, 0, 25)</w:t>
            </w:r>
          </w:p>
        </w:tc>
      </w:tr>
      <w:tr>
        <w:tc>
          <w:tcPr>
            <w:shd w:fill="F3F4F6" w:val="solid"/>
          </w:tcPr>
          <w:p>
            <w:r>
              <w:t xml:space="preserve">Beneish M-Score above the standard −1.78 manipulation threshold</w:t>
            </w:r>
          </w:p>
        </w:tc>
        <w:tc>
          <w:tcPr>
            <w:shd w:fill="F3F4F6" w:val="solid"/>
          </w:tcPr>
          <w:p>
            <w:r>
              <w:t xml:space="preserve">−25</w:t>
            </w:r>
          </w:p>
        </w:tc>
      </w:tr>
      <w:tr>
        <w:tc>
          <w:p>
            <w:r>
              <w:t xml:space="preserve">Beta elevated vs. sector median</w:t>
            </w:r>
          </w:p>
        </w:tc>
        <w:tc>
          <w:p>
            <w:r>
              <w:t xml:space="preserve">clamp((beta − sectorMedianBeta) × 20, 0, 15)</w:t>
            </w:r>
          </w:p>
        </w:tc>
      </w:tr>
      <w:tr>
        <w:tc>
          <w:tcPr>
            <w:shd w:fill="F3F4F6" w:val="solid"/>
          </w:tcPr>
          <w:p>
            <w:r>
              <w:t xml:space="preserve">Material pending litigation or regulatory action</w:t>
            </w:r>
          </w:p>
        </w:tc>
        <w:tc>
          <w:tcPr>
            <w:shd w:fill="F3F4F6" w:val="solid"/>
          </w:tcPr>
          <w:p>
            <w:r>
              <w:t xml:space="preserve">−20</w:t>
            </w:r>
          </w:p>
        </w:tc>
      </w:tr>
    </w:tbl>
    <w:p>
      <w:pPr>
        <w:spacing w:after="160"/>
        <w:jc w:val="center"/>
      </w:pPr>
      <w:r>
        <w:t xml:space="preserve">P6 = clamp(100 − sum(triggered deductions), 0, 100)</w:t>
      </w:r>
    </w:p>
    <w:p>
      <w:pPr>
        <w:spacing w:after="160"/>
      </w:pPr>
      <w:r>
        <w:t xml:space="preserve">The Beneish M-Score is Messod Beneish's real, established 1999 earnings-manipulation forensic-accounting formula — cited here as a genuine external input, not a Prabhakar invention:</w:t>
      </w:r>
    </w:p>
    <w:p>
      <w:pPr>
        <w:spacing w:after="160"/>
        <w:jc w:val="center"/>
      </w:pPr>
      <w:r>
        <w:t xml:space="preserve">M = −4.84 + 0.920·DSRI + 0.528·GMI + 0.404·AQI + 0.892·SGI + 0.115·DEPI − 0.172·SGAI + 4.679·TATA − 0.327·LVGI</w:t>
      </w:r>
    </w:p>
    <w:p>
      <w:pPr>
        <w:spacing w:after="160"/>
      </w:pPr>
      <w:r>
        <w:t xml:space="preserve">Where DSRI, GMI, AQI, SGI, DEPI, SGAI, TATA, and LVGI are the eight standard Beneish ratio inputs, each derived by the analyst from two years of financial statements (day-sales-in-receivables index, gross-margin index, asset-quality index, sales-growth index, depreciation index, SG&amp;A index, total-accruals-to-total-assets, and leverage index, respectively — see any standard forensic-accounting reference for the individual ratio definitions). The standard published threshold is M &gt; −1.78 flags elevated manipulation risk; the reference implementation computes M directly from the eight ratios and applies the flat −25 deduction if that threshold is crossed.</w:t>
      </w:r>
    </w:p>
    <w:p>
      <w:pPr>
        <w:pStyle w:val="Heading1"/>
        <w:spacing w:after="120" w:before="240"/>
      </w:pPr>
      <w:r>
        <w:t xml:space="preserve">Qualitative Rubrics / Calibration Anchors</w:t>
      </w:r>
    </w:p>
    <w:p>
      <w:pPr>
        <w:pStyle w:val="Heading2"/>
        <w:spacing w:after="120" w:before="240"/>
      </w:pPr>
      <w:r>
        <w:t xml:space="preserve">5. Qualitative rubrics (Likert → score)</w:t>
      </w:r>
    </w:p>
    <w:p>
      <w:pPr>
        <w:spacing w:after="160"/>
      </w:pPr>
      <w:r>
        <w:t xml:space="preserve">Used for P5a (insider trend) and any other 1–5 qualitative input. These are anchors, not vibes — the methodology requires writing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Heavy, sustained insider selling; no offsetting buying</w:t>
            </w:r>
          </w:p>
        </w:tc>
      </w:tr>
      <w:tr>
        <w:tc>
          <w:tcPr>
            <w:shd w:fill="F3F4F6" w:val="solid"/>
          </w:tcPr>
          <w:p>
            <w:r>
              <w:t xml:space="preserve">2</w:t>
            </w:r>
          </w:p>
        </w:tc>
        <w:tc>
          <w:tcPr>
            <w:shd w:fill="F3F4F6" w:val="solid"/>
          </w:tcPr>
          <w:p>
            <w:r>
              <w:t xml:space="preserve">35</w:t>
            </w:r>
          </w:p>
        </w:tc>
        <w:tc>
          <w:tcPr>
            <w:shd w:fill="F3F4F6" w:val="solid"/>
          </w:tcPr>
          <w:p>
            <w:r>
              <w:t xml:space="preserve">Net selling — more sellers/volume than buyers over the lookback window</w:t>
            </w:r>
          </w:p>
        </w:tc>
      </w:tr>
      <w:tr>
        <w:tc>
          <w:p>
            <w:r>
              <w:t xml:space="preserve">3</w:t>
            </w:r>
          </w:p>
        </w:tc>
        <w:tc>
          <w:p>
            <w:r>
              <w:t xml:space="preserve">60</w:t>
            </w:r>
          </w:p>
        </w:tc>
        <w:tc>
          <w:p>
            <w:r>
              <w:t xml:space="preserve">Neutral — routine, small transactions or no meaningful signal either way</w:t>
            </w:r>
          </w:p>
        </w:tc>
      </w:tr>
      <w:tr>
        <w:tc>
          <w:tcPr>
            <w:shd w:fill="F3F4F6" w:val="solid"/>
          </w:tcPr>
          <w:p>
            <w:r>
              <w:t xml:space="preserve">4</w:t>
            </w:r>
          </w:p>
        </w:tc>
        <w:tc>
          <w:tcPr>
            <w:shd w:fill="F3F4F6" w:val="solid"/>
          </w:tcPr>
          <w:p>
            <w:r>
              <w:t xml:space="preserve">80</w:t>
            </w:r>
          </w:p>
        </w:tc>
        <w:tc>
          <w:tcPr>
            <w:shd w:fill="F3F4F6" w:val="solid"/>
          </w:tcPr>
          <w:p>
            <w:r>
              <w:t xml:space="preserve">Net buying — more buyers/volume than sellers over the lookback window</w:t>
            </w:r>
          </w:p>
        </w:tc>
      </w:tr>
      <w:tr>
        <w:tc>
          <w:p>
            <w:r>
              <w:t xml:space="preserve">5</w:t>
            </w:r>
          </w:p>
        </w:tc>
        <w:tc>
          <w:p>
            <w:r>
              <w:t xml:space="preserve">100</w:t>
            </w:r>
          </w:p>
        </w:tc>
        <w:tc>
          <w:p>
            <w:r>
              <w:t xml:space="preserve">Heavy, sustained insider buying, especially from multiple insiders or the CEO/CFO</w:t>
            </w:r>
          </w:p>
        </w:tc>
      </w:tr>
    </w:tbl>
    <w:p>
      <w:pPr>
        <w:spacing w:after="160"/>
      </w:pPr>
      <w:r>
        <w:t xml:space="preserve">likertToScore: linear interpolation is used for non-integer averages.</w:t>
      </w:r>
    </w:p>
    <w:p>
      <w:pPr>
        <w:spacing w:after="160"/>
      </w:pPr>
      <w:r>
        <w:rPr>
          <w:b/>
          <w:bCs/>
        </w:rPr>
        <w:t xml:space="preserve">Insider net-buying/selling trend (P5a)</w:t>
      </w:r>
      <w:r>
        <w:t xml:space="preserve"> is judged over a consistent lookback window (90 days is a reasonable default) — counting distinct insiders and transaction value, not just transaction count, since one large CFO purchase is a stronger signal than several small option-exercise-driven sales.</w:t>
      </w:r>
    </w:p>
    <w:p>
      <w:pPr>
        <w:pStyle w:val="Heading1"/>
        <w:spacing w:after="120" w:before="240"/>
      </w:pPr>
      <w:r>
        <w:t xml:space="preserve">Confidence and Data-Quality Framework</w:t>
      </w:r>
    </w:p>
    <w:p>
      <w:pPr>
        <w:pStyle w:val="Heading2"/>
        <w:spacing w:after="120" w:before="240"/>
      </w:pPr>
      <w:r>
        <w:t xml:space="preserve">6. Confidence and missing data</w:t>
      </w:r>
    </w:p>
    <w:p>
      <w:pPr>
        <w:spacing w:after="160"/>
      </w:pPr>
      <w:r>
        <w:t xml:space="preserve">Every pillar has a required input list. Before computing, the number of required fields across all six pillars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data would resolve the biggest gaps first</w:t>
            </w:r>
          </w:p>
        </w:tc>
      </w:tr>
    </w:tbl>
    <w:p>
      <w:pPr>
        <w:spacing w:after="160"/>
      </w:pPr>
      <w:r>
        <w:t xml:space="preserve">Never silently substitute a default value for a missing required field and present the result as if it were measured. If a value is genuinely unknown, it is passed as null and the completeness penalty is allowed to apply — a lower-confidence real answer beats a confident wrong one. This matters more here than in most scoring contexts: a *Percentile field with no real peer universe behind it is not "unknown," it is actively fabricated, and the algorithm has no way to distinguish a careful percentile from an invented one — that responsibility sits entirely with whoever populates the input.</w:t>
      </w:r>
    </w:p>
    <w:p>
      <w:r>
        <w:br w:type="page"/>
      </w:r>
    </w:p>
    <w:p>
      <w:pPr>
        <w:pStyle w:val="Heading1"/>
        <w:spacing w:after="120" w:before="240"/>
      </w:pPr>
      <w:r>
        <w:t xml:space="preserve">Worked Example</w:t>
      </w:r>
    </w:p>
    <w:p>
      <w:pPr>
        <w:pStyle w:val="Heading2"/>
        <w:spacing w:after="120" w:before="240"/>
      </w:pPr>
      <w:r>
        <w:t xml:space="preserve">7. Worked example</w:t>
      </w:r>
    </w:p>
    <w:p>
      <w:pPr>
        <w:spacing w:after="160"/>
      </w:pPr>
      <w:r>
        <w:t xml:space="preserve">Fictional mid-cap industrial-products company, screened against a sector peer universe of roughly 25 listed comparables. The full input file matches the reference implementation's example-input.json; running the reference score script against that file reproduces the numbers below exactly, since they are copied directly from that output.</w:t>
      </w:r>
    </w:p>
    <w:p>
      <w:pPr>
        <w:pStyle w:val="ListParagraph"/>
        <w:numPr>
          <w:ilvl w:val="0"/>
          <w:numId w:val="1"/>
        </w:numPr>
        <w:spacing w:after="60"/>
      </w:pPr>
      <w:r>
        <w:t xml:space="preserve">Blended valuation multiple at the 35th percentile of the peer set (i.e. relatively cheap)</w:t>
      </w:r>
    </w:p>
    <w:p>
      <w:pPr>
        <w:pStyle w:val="ListParagraph"/>
        <w:numPr>
          <w:ilvl w:val="0"/>
          <w:numId w:val="1"/>
        </w:numPr>
        <w:spacing w:after="60"/>
      </w:pPr>
      <w:r>
        <w:t xml:space="preserve">ROIC at the 72nd percentile, margin stability at the 68th percentile; Altman Z-Score inputs: working capital $150M, total assets $1,000M, retained earnings $300M, EBIT $120M, market value of equity $900M, total liabilities $600M, sales $950M</w:t>
      </w:r>
    </w:p>
    <w:p>
      <w:pPr>
        <w:pStyle w:val="ListParagraph"/>
        <w:numPr>
          <w:ilvl w:val="0"/>
          <w:numId w:val="1"/>
        </w:numPr>
        <w:spacing w:after="60"/>
      </w:pPr>
      <w:r>
        <w:t xml:space="preserve">Revenue growth at the 78th percentile, EPS growth at the 82nd percentile, growth judged organic (no growth-quality flag)</w:t>
      </w:r>
    </w:p>
    <w:p>
      <w:pPr>
        <w:pStyle w:val="ListParagraph"/>
        <w:numPr>
          <w:ilvl w:val="0"/>
          <w:numId w:val="1"/>
        </w:numPr>
        <w:spacing w:after="60"/>
      </w:pPr>
      <w:r>
        <w:t xml:space="preserve">Price momentum (12-1) at the 55th percentile, estimate-revision momentum at the 60th percentile</w:t>
      </w:r>
    </w:p>
    <w:p>
      <w:pPr>
        <w:pStyle w:val="ListParagraph"/>
        <w:numPr>
          <w:ilvl w:val="0"/>
          <w:numId w:val="1"/>
        </w:numPr>
        <w:spacing w:after="60"/>
      </w:pPr>
      <w:r>
        <w:t xml:space="preserve">Insider trend rubric = 4 (net buying), institutional ownership trend = increasing, short interest 3.5% of float</w:t>
      </w:r>
    </w:p>
    <w:p>
      <w:pPr>
        <w:pStyle w:val="ListParagraph"/>
        <w:numPr>
          <w:ilvl w:val="0"/>
          <w:numId w:val="1"/>
        </w:numPr>
        <w:spacing w:after="60"/>
      </w:pPr>
      <w:r>
        <w:t xml:space="preserve">Net Debt/EBITDA 2.8x vs. sector median 2.0x, beta 1.15 vs. sector median 1.00, no material pending litigation, Beneish inputs consistent with normal (non-manipulator) accruals</w:t>
      </w:r>
    </w:p>
    <w:p>
      <w:pPr>
        <w:spacing w:after="160"/>
      </w:pPr>
      <w:r>
        <w:t xml:space="preserve">P1 = 100 − 35 = 65.0</w:t>
      </w:r>
    </w:p>
    <w:p>
      <w:pPr>
        <w:pStyle w:val="ListParagraph"/>
        <w:numPr>
          <w:ilvl w:val="0"/>
          <w:numId w:val="1"/>
        </w:numPr>
        <w:spacing w:after="60"/>
      </w:pPr>
      <w:r>
        <w:t xml:space="preserve">Altman Z = 1.2(150/1000) + 1.4(300/1000) + 3.3(120/1000) + 0.6(900/600) + 1.0(950/1000)</w:t>
      </w:r>
    </w:p>
    <w:p>
      <w:pPr>
        <w:pStyle w:val="ListParagraph"/>
        <w:numPr>
          <w:ilvl w:val="0"/>
          <w:numId w:val="1"/>
        </w:numPr>
        <w:spacing w:after="60"/>
      </w:pPr>
      <w:r>
        <w:t xml:space="preserve">= 0.18 + 0.42 + 0.396 + 0.9 + 0.95 = 2.846 (grey zone)</w:t>
      </w:r>
    </w:p>
    <w:p>
      <w:pPr>
        <w:pStyle w:val="ListParagraph"/>
        <w:numPr>
          <w:ilvl w:val="0"/>
          <w:numId w:val="1"/>
        </w:numPr>
        <w:spacing w:after="60"/>
      </w:pPr>
      <w:r>
        <w:t xml:space="preserve">c = lerp(2.846, [1.81,40]→[2.99,70]) = 40 + (2.846−1.81)/(2.99−1.81)×30 = 66.34</w:t>
      </w:r>
    </w:p>
    <w:p>
      <w:pPr>
        <w:pStyle w:val="ListParagraph"/>
        <w:numPr>
          <w:ilvl w:val="0"/>
          <w:numId w:val="1"/>
        </w:numPr>
        <w:spacing w:after="60"/>
      </w:pPr>
      <w:r>
        <w:t xml:space="preserve">P2 = 0.35(72) + 0.30(68) + 0.35(66.34) = 25.2 + 20.4 + 23.22 = 68.82</w:t>
      </w:r>
    </w:p>
    <w:p>
      <w:pPr>
        <w:spacing w:after="160"/>
      </w:pPr>
      <w:r>
        <w:t xml:space="preserve">P3 = 0.50(78) + 0.50(82) = 80.0 (no growth-quality penalty)</w:t>
      </w:r>
    </w:p>
    <w:p>
      <w:pPr>
        <w:spacing w:after="160"/>
      </w:pPr>
      <w:r>
        <w:t xml:space="preserve">P4 = 0.60(55) + 0.40(60) = 57.0</w:t>
      </w:r>
    </w:p>
    <w:p>
      <w:pPr>
        <w:pStyle w:val="ListParagraph"/>
        <w:numPr>
          <w:ilvl w:val="0"/>
          <w:numId w:val="1"/>
        </w:numPr>
        <w:spacing w:after="60"/>
      </w:pPr>
      <w:r>
        <w:t xml:space="preserve">a = likert(4) = 80   b = "increasing" = 85</w:t>
      </w:r>
    </w:p>
    <w:p>
      <w:pPr>
        <w:pStyle w:val="ListParagraph"/>
        <w:numPr>
          <w:ilvl w:val="0"/>
          <w:numId w:val="1"/>
        </w:numPr>
        <w:spacing w:after="60"/>
      </w:pPr>
      <w:r>
        <w:t xml:space="preserve">c = lerp(3.5%, [0,65]→[5,60]) = 65 + (3.5/5)×(60−65) = 61.5</w:t>
      </w:r>
    </w:p>
    <w:p>
      <w:pPr>
        <w:pStyle w:val="ListParagraph"/>
        <w:numPr>
          <w:ilvl w:val="0"/>
          <w:numId w:val="1"/>
        </w:numPr>
        <w:spacing w:after="60"/>
      </w:pPr>
      <w:r>
        <w:t xml:space="preserve">P5 = 0.40(80) + 0.30(85) + 0.30(61.5) = 32 + 25.5 + 18.45 = 75.95</w:t>
      </w:r>
    </w:p>
    <w:p>
      <w:pPr>
        <w:pStyle w:val="ListParagraph"/>
        <w:numPr>
          <w:ilvl w:val="0"/>
          <w:numId w:val="1"/>
        </w:numPr>
        <w:spacing w:after="60"/>
      </w:pPr>
      <w:r>
        <w:t xml:space="preserve">Beneish M = −4.84 + 0.92(1.05) + 0.528(1.02) + 0.404(1.01) + 0.892(1.10) + 0.115(1.0) − 0.172(1.0) + 4.679(0.02) − 0.327(1.0)</w:t>
      </w:r>
    </w:p>
    <w:p>
      <w:pPr>
        <w:pStyle w:val="ListParagraph"/>
        <w:numPr>
          <w:ilvl w:val="0"/>
          <w:numId w:val="1"/>
        </w:numPr>
        <w:spacing w:after="60"/>
      </w:pPr>
      <w:r>
        <w:t xml:space="preserve">= −2.24 (below −1.78 threshold → no manipulation deduction)</w:t>
      </w:r>
    </w:p>
    <w:p>
      <w:pPr>
        <w:pStyle w:val="ListParagraph"/>
        <w:numPr>
          <w:ilvl w:val="0"/>
          <w:numId w:val="1"/>
        </w:numPr>
        <w:spacing w:after="60"/>
      </w:pPr>
      <w:r>
        <w:t xml:space="preserve">leverage deduction = clamp((2.8−2.0)×10, 0, 25) = 8.0</w:t>
      </w:r>
    </w:p>
    <w:p>
      <w:pPr>
        <w:pStyle w:val="ListParagraph"/>
        <w:numPr>
          <w:ilvl w:val="0"/>
          <w:numId w:val="1"/>
        </w:numPr>
        <w:spacing w:after="60"/>
      </w:pPr>
      <w:r>
        <w:t xml:space="preserve">beta deduction = clamp((1.15−1.00)×20, 0, 15) = 3.0</w:t>
      </w:r>
    </w:p>
    <w:p>
      <w:pPr>
        <w:pStyle w:val="ListParagraph"/>
        <w:numPr>
          <w:ilvl w:val="0"/>
          <w:numId w:val="1"/>
        </w:numPr>
        <w:spacing w:after="60"/>
      </w:pPr>
      <w:r>
        <w:t xml:space="preserve">P6 = 100 − 8.0 − 3.0 = 89.0</w:t>
      </w:r>
    </w:p>
    <w:p>
      <w:pPr>
        <w:pStyle w:val="ListParagraph"/>
        <w:numPr>
          <w:ilvl w:val="0"/>
          <w:numId w:val="1"/>
        </w:numPr>
        <w:spacing w:after="60"/>
      </w:pPr>
      <w:r>
        <w:t xml:space="preserve">PESS = 0.20(65.0) + 0.20(68.82) + 0.20(80.0) + 0.15(57.0) + 0.10(75.95) + 0.15(89.0)</w:t>
      </w:r>
    </w:p>
    <w:p>
      <w:pPr>
        <w:pStyle w:val="ListParagraph"/>
        <w:numPr>
          <w:ilvl w:val="0"/>
          <w:numId w:val="1"/>
        </w:numPr>
        <w:spacing w:after="60"/>
      </w:pPr>
      <w:r>
        <w:t xml:space="preserve">= 13.0 + 13.76 + 16.0 + 8.55 + 7.60 + 13.35 = 72.3</w:t>
      </w:r>
    </w:p>
    <w:p>
      <w:pPr>
        <w:spacing w:after="160"/>
      </w:pPr>
      <w:r>
        <w:rPr>
          <w:b/>
          <w:bCs/>
        </w:rPr>
        <w:t xml:space="preserve">Result: PESS 72.3 — Attractive tier, High confidence (100% complete).</w:t>
      </w:r>
    </w:p>
    <w:p>
      <w:pPr>
        <w:spacing w:after="160"/>
      </w:pPr>
      <w:r>
        <w:t xml:space="preserve">Momentum (57.0) is the softest pillar here — the stock isn't unloved, but it isn't attracting price or estimate momentum either, which fits a name that's cheap and high-quality but not yet catalyzed. Valuation (65.0) and Quality (68.8) both point the same direction: cheap relative to peers, with a genuine quality underpinning (72nd-percentile ROIC, a grey-zone-but-solid Altman Z-Score of 2.85). Risk (89.0) is clean aside from modestly elevated leverage and beta versus the sector — neither large enough on its own to change the tier, but both worth monitoring if either widens further against peers on the next re-screen.</w:t>
      </w:r>
    </w:p>
    <w:p>
      <w:pPr>
        <w:pStyle w:val="Heading1"/>
        <w:spacing w:after="120" w:before="240"/>
      </w:pPr>
      <w:r>
        <w:t xml:space="preserve">Comparative Positioning</w:t>
      </w:r>
    </w:p>
    <w:p>
      <w:pPr>
        <w:spacing w:after="160"/>
      </w:pPr>
      <w:r>
        <w:t xml:space="preserve">PESS sits inside a long-established discipline rather than inventing a new one. Multi-factor equity investing — decomposing a stock's expected behavior into value, quality, growth, and momentum exposures and scoring or weighting a universe against them — is a mainstream, decades-old tradition in both academic asset-pricing research and commercial factor investing. Value and momentum in particular trace to a substantial body of published cross-sectional return literature; profitability/quality and growth are similarly well-represented factor categories in the multi-factor models used across the asset-management industry. PESS's pillar taxonomy (valuation, quality, growth, momentum, ownership/sentiment, risk) maps onto that same standard vocabulary — it does not claim to have discovered a new category of return driver.</w:t>
      </w:r>
    </w:p>
    <w:p>
      <w:pPr>
        <w:spacing w:after="160"/>
      </w:pPr>
      <w:r>
        <w:t xml:space="preserve">PESS also sits in a tradition of *named, checkable* analyst scoring models — models whose entire value proposition rests on producing the same number from the same inputs, every time, regardless of who is running the calculation. The Altman Z-Score and the Piotroski F-Score for balance-sheet and fundamental strength, and the Beneish M-Score for accounting-manipulation risk, are the best-known examples of this genre, and PESS deliberately borrows two of them directly (Altman Z inside P2, Beneish M inside P6) rather than approximating them. What distinguishes a model like this from an unstructured analyst view is precisely that it is checkable: a third party with the same inputs and the same specification document should be able to reproduce the same output, which is the property this whitepaper and the underlying methodology document are both written to preserve.</w:t>
      </w:r>
    </w:p>
    <w:p>
      <w:pPr>
        <w:spacing w:after="160"/>
      </w:pPr>
      <w:r>
        <w:t xml:space="preserve">PESS's specific contribution relative to that tradition is (a) the particular six-pillar taxonomy and 20/20/20/15/10/15 weighting scheme chosen for a general listed-equity screening use case, (b) the consistent construction of most sub-scores as percentile ranks against a live, analyst-defined peer universe rather than fixed absolute thresholds, (c) the deductive, start-at-100 construction of the risk pillar so that a single credible red flag can move a name a full tier, and (d) the attached confidence/completeness framework that makes the reliability of an individual score legible alongside the score itself. No claim is made, and none should be inferred, that PESS has been empirically backtested against historical returns or that any specific factor combination in this document has been shown to generate excess returns — PESS is a screening and ranking framework built from well-documented factor categories and cited external formulas, not a track record.</w:t>
      </w:r>
    </w:p>
    <w:p>
      <w:r>
        <w:br w:type="page"/>
      </w:r>
    </w:p>
    <w:p>
      <w:pPr>
        <w:pStyle w:val="Heading1"/>
        <w:spacing w:after="120" w:before="240"/>
      </w:pPr>
      <w:r>
        <w:t xml:space="preserve">Intellectual Property and Defensibility Posture</w:t>
      </w:r>
    </w:p>
    <w:p>
      <w:pPr>
        <w:spacing w:after="160"/>
      </w:pPr>
      <w:r>
        <w:t xml:space="preserve">PESS is documented as a </w:t>
      </w:r>
      <w:r>
        <w:rPr>
          <w:b/>
          <w:bCs/>
        </w:rPr>
        <w:t xml:space="preserve">proprietary, trade-secret methodology</w:t>
      </w:r>
      <w:r>
        <w:t xml:space="preserve"> — named, versioned, and specified precisely enough to be defensible as original work product. What follows is a factual description of that posture, not legal advice.</w:t>
      </w:r>
    </w:p>
    <w:p>
      <w:pPr>
        <w:spacing w:after="160"/>
      </w:pPr>
      <w:r>
        <w:rPr>
          <w:b/>
          <w:bCs/>
        </w:rPr>
        <w:t xml:space="preserve">Trade secret protection applies now</w:t>
      </w:r>
      <w:r>
        <w:t xml:space="preserve">, automatically, simply by virtue of the methodology being original, non-public, and treated as confidential (as this document's own confidentiality marking is intended to evidence). That is the primary protection this document, the underlying algorithm.md specification, and the reference implementation are written to support. Trade-secret status is not a registration — it is maintained by the owner's own confidentiality practices, including access controls, marking, and non-disclosure arrangements with anyone who reviews the specification.</w:t>
      </w:r>
    </w:p>
    <w:p>
      <w:pPr>
        <w:spacing w:after="160"/>
      </w:pPr>
      <w:r>
        <w:rPr>
          <w:b/>
          <w:bCs/>
        </w:rPr>
        <w:t xml:space="preserve">Patent eligibility is a separate, and harder, question.</w:t>
      </w:r>
      <w:r>
        <w:t xml:space="preserve">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the computation runs, not merely "a new way to weight financial ratios." PESS, as currently specified, is a pure scoring model: six weighted financial-ratio pillars combined into a composite number. That places it, honestly, closer to the class of methodologies that are more naturally trade secrets than patent candidates as currently written, in contrast to a methodology with a genuinely novel computational mechanism and a measurable, non-obvious technical output (for example, a routing or optimization algorithm with a concrete, measurable result). This is not a defect specific to PESS — it is the general shape of the challenge that financial scoring formulas face under current U.S. patent-eligibility doctrine.</w:t>
      </w:r>
    </w:p>
    <w:p>
      <w:pPr>
        <w:spacing w:after="160"/>
      </w:pPr>
      <w:r>
        <w:rPr>
          <w:b/>
          <w:bCs/>
        </w:rPr>
        <w:t xml:space="preserve">Factors that support defensibility as a trade secret</w:t>
      </w:r>
      <w:r>
        <w:t xml:space="preserve"> include the specificity of the specification (exact weights, exact formulas, exact anchor values, rather than a general description of "a multi-factor equity score"); the version control applied to it (a dated v1.0 specification with an explicit changelog convention, so that "PESS 72" is guaranteed to mean the same thing every time it is quoted, rather than drifting silently); and the reproducibility of the output (a literal, runnable reference implementation that a third party can execute against disclosed inputs to verify the specification is being followed, and that the specification document itself is treated as the source of truth if the two ever disagree). Together, these are the kinds of concrete, demonstrable facts a trade-secret or licensing counterparty, or an IP valuer, would look for as evidence that a methodology is a genuine, maintained asset rather than an informal or after-the-fact description of ordinary analyst judgment.</w:t>
      </w:r>
    </w:p>
    <w:p>
      <w:pPr>
        <w:spacing w:after="160"/>
      </w:pPr>
      <w:r>
        <w:rPr>
          <w:b/>
          <w:bCs/>
        </w:rPr>
        <w:t xml:space="preserve">"Patentable" in this document, where the word appears at all, means "specified with enough novelty and precision to be a serious patent-counsel conversation,"</w:t>
      </w:r>
      <w:r>
        <w:t xml:space="preserve"> not "patented" or "guaranteed patentable." Actually obtaining a patent requires filing, examination, and often narrowing claims to survive prior-art and eligibility challenges. A qualified patent attorney should be engaged before any reliance is placed on patent protection for this methodology in a commercial context. Nothing in this document should be read as legal advice on patent eligibility, trade-secret sufficiency, or any other intellectual-property question; it is a factual description of the methodology's specification and posture, prepared to inform, not substitute for, qualified legal and valuation counsel.</w:t>
      </w:r>
    </w:p>
    <w:p>
      <w:pPr>
        <w:pStyle w:val="Heading1"/>
        <w:spacing w:after="120" w:before="240"/>
      </w:pPr>
      <w:r>
        <w:t xml:space="preserve">Known Limitations</w:t>
      </w:r>
    </w:p>
    <w:p>
      <w:pPr>
        <w:pStyle w:val="Heading2"/>
        <w:spacing w:after="120" w:before="240"/>
      </w:pPr>
      <w:r>
        <w:t xml:space="preserve">8. Known limitations</w:t>
      </w:r>
    </w:p>
    <w:p>
      <w:pPr>
        <w:pStyle w:val="ListParagraph"/>
        <w:numPr>
          <w:ilvl w:val="0"/>
          <w:numId w:val="1"/>
        </w:numPr>
        <w:spacing w:after="60"/>
      </w:pPr>
      <w:r>
        <w:t xml:space="preserve">Percentile scoring is only as good as the peer universe chosen. A mis-scoped, too-narrow, or stale comp set will silently bias P1–P4 in either direction — a "72nd percentile ROIC" means nothing if the peer set mixes companies from different sub-industries or growth stages. The peer universe's composition, size, and as-of date should always be recorded alongside the score, the same discipline the sibling private-equity methodology applies to sector comps.</w:t>
      </w:r>
    </w:p>
    <w:p>
      <w:pPr>
        <w:pStyle w:val="ListParagraph"/>
        <w:numPr>
          <w:ilvl w:val="0"/>
          <w:numId w:val="1"/>
        </w:numPr>
        <w:spacing w:after="60"/>
      </w:pPr>
      <w:r>
        <w:t xml:space="preserve">Momentum factors decay fast and need frequent re-scoring. Unlike quality or balance-sheet strength, a momentum percentile computed a month ago can already be stale — momentum is one of the fastest-decaying, fastest-reversing factors in the cross-sectional literature. P4 should be treated as perishable; a PESS run more than a few weeks old should not be acted on without refreshing at minimum the momentum and short-interest inputs.</w:t>
      </w:r>
    </w:p>
    <w:p>
      <w:pPr>
        <w:pStyle w:val="ListParagraph"/>
        <w:numPr>
          <w:ilvl w:val="0"/>
          <w:numId w:val="1"/>
        </w:numPr>
        <w:spacing w:after="60"/>
      </w:pPr>
      <w:r>
        <w:t xml:space="preserve">Accounting-quality proxies can miss sophisticated fraud. The Beneish M-Score is a real, validated forensic tool, but it is a statistical screen built on historical fraud cases, not a guarantee — it can miss novel manipulation techniques and can also false-positive on legitimate high-growth companies whose accruals patterns happen to resemble manipulator profiles. An M-Score flag should be treated as "warrants a closer look," not as a proven finding.</w:t>
      </w:r>
    </w:p>
    <w:p>
      <w:pPr>
        <w:pStyle w:val="ListParagraph"/>
        <w:numPr>
          <w:ilvl w:val="0"/>
          <w:numId w:val="1"/>
        </w:numPr>
        <w:spacing w:after="60"/>
      </w:pPr>
      <w:r>
        <w:t xml:space="preserve">Factor models crowd and underperform during regime shifts. Valuation, quality, growth, and momentum are real, historically durable factors, but they are also widely known and widely traded — during sharp regime shifts or factor rotations (e.g. a violent value-to-growth or quality-to-junk rotation), a high PESS name can underperform for an extended stretch precisely because it's crowded with other systematic strategies making the same bet. The PESS ranks a universe as of today; it does not know when the market's factor regime is about to change.</w:t>
      </w:r>
    </w:p>
    <w:p>
      <w:pPr>
        <w:pStyle w:val="ListParagraph"/>
        <w:numPr>
          <w:ilvl w:val="0"/>
          <w:numId w:val="1"/>
        </w:numPr>
        <w:spacing w:after="60"/>
      </w:pPr>
      <w:r>
        <w:t xml:space="preserve">The model rewards clean, well-sourced data. A genuinely strong business with an unclear or thinly-covered peer set will score lower on confidence, not on merit — this should not be conflated with a merit judgment when presenting results.</w:t>
      </w:r>
    </w:p>
    <w:p>
      <w:pPr>
        <w:pStyle w:val="Heading1"/>
        <w:spacing w:after="120" w:before="240"/>
      </w:pPr>
      <w:r>
        <w:t xml:space="preserve">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algorithm is that "PESS 72" means the same thing every time it's quoted. Silent tuning defeats that, and would also undermine the reproducibility evidence described in the Intellectual Property and Defensibility Posture section above.</w:t>
      </w:r>
    </w:p>
    <w:p>
      <w:pPr>
        <w:pStyle w:val="Heading1"/>
        <w:spacing w:after="120" w:before="240"/>
      </w:pPr>
      <w:r>
        <w:t xml:space="preserve">Reference Implementation</w:t>
      </w:r>
    </w:p>
    <w:p>
      <w:pPr>
        <w:spacing w:after="160"/>
      </w:pPr>
      <w:r>
        <w:t xml:space="preserve">The governing specification (algorithm.md) is paired with scripts/score.js, a literal, runnable implementation of every formula described in this document — the specification states explicitly that if the two ever disagree, the specification is correct and the script has a bug, which is itself a statement about which artifact is authoritative. A third party can execute the reference implementation against a disclosed input file and reproduce the exact numeric output described in the Worked Example section of this document. That reproducibility is not incidental — for a proprietary methodology under valuation, licensing, or diligence review, the ability to demonstrate, mechanically and independently of the author, that a specific set of inputs deterministically produces a specific, documented output is itself valuation-relevant evidence: it distinguishes a maintained, checkable asset from an informal description of judgment that cannot be verified or transferred.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2026-08-10T15:57:14.928Z</dcterms:created>
  <dcterms:modified xsi:type="dcterms:W3CDTF">2026-08-10T15:57:14.929Z</dcterms:modified>
</cp:coreProperties>
</file>

<file path=docProps/custom.xml><?xml version="1.0" encoding="utf-8"?>
<Properties xmlns="http://schemas.openxmlformats.org/officeDocument/2006/custom-properties" xmlns:vt="http://schemas.openxmlformats.org/officeDocument/2006/docPropsVTypes"/>
</file>