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Prabhakar India Macro Regime Index (PIMRI)</w:t>
      </w:r>
    </w:p>
    <w:p>
      <w:pPr>
        <w:spacing w:after="160"/>
        <w:jc w:val="center"/>
      </w:pPr>
      <w:r>
        <w:rPr>
          <w:b/>
          <w:bCs/>
        </w:rPr>
        <w:t xml:space="preserve">Confidential — Proprietary Methodology.</w:t>
      </w:r>
      <w:r>
        <w:t xml:space="preserve"> Author/Owner: Nishant Prabhakar. Version 1.0 (2026-08-10). This document is prepared to support valuation, licensing, or IP-diligence review of the methodology described within. It is a specification and positioning document, not investment advice.</w:t>
      </w:r>
    </w:p>
    <w:p>
      <w:pPr>
        <w:pStyle w:val="Heading1"/>
        <w:spacing w:after="120" w:before="24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1. Executive Summary</w:t>
      </w:r>
    </w:p>
    <w:p>
      <w:pPr>
        <w:spacing w:after="160"/>
      </w:pPr>
      <w:r>
        <w:t xml:space="preserve">The </w:t>
      </w:r>
      <w:r>
        <w:rPr>
          <w:b/>
          <w:bCs/>
        </w:rPr>
        <w:t xml:space="preserve">Prabhakar India Macro Regime Index (PIMRI)</w:t>
      </w:r>
      <w:r>
        <w:t xml:space="preserve"> is a proprietary, six-pillar weighted composite methodology, developed by Nishant Prabhakar, that converts India's principal official macroeconomic releases — GDP, IIP, CPI, PMI, RBI monetary and external-sector data, CGA fiscal accounts, and FPI/FDI flow data — into a single 0–100 composite score, a </w:t>
      </w:r>
      <w:r>
        <w:rPr>
          <w:b/>
          <w:bCs/>
        </w:rPr>
        <w:t xml:space="preserve">named macro regime</w:t>
      </w:r>
      <w:r>
        <w:t xml:space="preserve">, and an attached </w:t>
      </w:r>
      <w:r>
        <w:rPr>
          <w:b/>
          <w:bCs/>
        </w:rPr>
        <w:t xml:space="preserve">asset-allocation tilt</w:t>
      </w:r>
      <w:r>
        <w:t xml:space="preserve">. Version 1.0 was specified on 2026-08-10.</w:t>
      </w:r>
    </w:p>
    <w:p>
      <w:pPr>
        <w:spacing w:after="160"/>
      </w:pPr>
      <w:r>
        <w:t xml:space="preserve">PIMRI exists to answer a recurring practical problem: a portfolio conversation about India's macro backdrop is usually reconstructed from scratch each quarter, from whichever data points the speaker happens to have in front of them, described in whatever language feels appropriate that day. That produces a narrative that drifts — the same underlying data can support very different stories depending on who is telling it and what they emphasize. PIMRI forces the same six questions (growth, inflation/policy, external balance, fiscal position, credit/liquidity, capital flows) to be answered the same way, against the same named formulas, every time — so two independent readings of the same quarter's data land on the same number and the same regime label.</w:t>
      </w:r>
    </w:p>
    <w:p>
      <w:pPr>
        <w:spacing w:after="160"/>
      </w:pPr>
      <w:r>
        <w:rPr>
          <w:b/>
          <w:bCs/>
        </w:rPr>
        <w:t xml:space="preserve">Novelty claim.</w:t>
      </w:r>
      <w:r>
        <w:t xml:space="preserve"> The differentiator that matters most for this asset is structural, not numerical: PIMRI does not stop at producing a comparable score the way a generic composite index might. It classifies that score into one of five </w:t>
      </w:r>
      <w:r>
        <w:rPr>
          <w:b/>
          <w:bCs/>
        </w:rPr>
        <w:t xml:space="preserve">named regimes</w:t>
      </w:r>
      <w:r>
        <w:t xml:space="preserve"> — each with its own historical character and, critically, its own </w:t>
      </w:r>
      <w:r>
        <w:rPr>
          <w:b/>
          <w:bCs/>
        </w:rPr>
        <w:t xml:space="preserve">concrete asset-allocation tilt</w:t>
      </w:r>
      <w:r>
        <w:t xml:space="preserve"> already attached. "Slowdown / Caution" is not merely a diagnosis that growth is decelerating; per the methodology it comes bundled with a specific instruction — trim cyclicals and small-caps, rotate toward quality large-caps and defensive sectors, raise cash. That is the core design choice that separates this methodology from a plain macro dashboard: the output is not just a number, it is a number, a name, and an actionable tilt, delivered as one indivisible unit, every time the algorithm runs.</w:t>
      </w:r>
    </w:p>
    <w:p>
      <w:pPr>
        <w:spacing w:after="160"/>
      </w:pPr>
      <w:r>
        <w:t xml:space="preserve">The methodology is fully specified — every weight, formula, anchor point, and regime boundary is documented in the authoritative specification (`reference/algorithm.md`) and mirrored in a literal, runnable reference implementation (`scripts/score.js`). It is deliberately not a black box: every sub-score traces to a named formula against a named, sourced input, and a documented confidence framework (Section 6 of this document) makes missing or estimated data visible in the output rather than silently absorbed into a falsely confident number.</w:t>
      </w:r>
    </w:p>
    <w:p>
      <w:pPr>
        <w:pStyle w:val="Heading1"/>
        <w:spacing w:after="120" w:before="240"/>
      </w:pPr>
      <w:r>
        <w:t xml:space="preserve">2. Purpose and Positioning</w:t>
      </w:r>
    </w:p>
    <w:p>
      <w:pPr>
        <w:spacing w:after="160"/>
      </w:pPr>
      <w:r>
        <w:t xml:space="preserve">PIMRI is named deliberately in the tradition of established macro composite indices — the Chicago Fed National Activity Index, the OECD Composite Leading Indicators — where the point of a named, published methodology is that it becomes a fixed reference point across time. "PIMRI 84" or "PIMRI in Slowdown/Caution" is intended to mean the same thing in Q1 as it does in Q4, regardless of who ran the numbers. A macro narrative built from scratch every quarter drifts with whoever is telling it; a named, versioned composite is designed specifically not to.</w:t>
      </w:r>
    </w:p>
    <w:p>
      <w:pPr>
        <w:spacing w:after="160"/>
      </w:pPr>
      <w:r>
        <w:t xml:space="preserve">The methodology classifies India's macro cycle into one of five named regimes, not just a score, so that a portfolio conversation can move directly from "where are we in the cycle" to "what should that mean for the book." Asset-allocation tilts are attached to each regime for exactly this reason — see Section 5 for the full regime table.</w:t>
      </w:r>
    </w:p>
    <w:p>
      <w:pPr>
        <w:spacing w:after="160"/>
      </w:pPr>
      <w:r>
        <w:t xml:space="preserve">It exists to do three things quickly and consistently, quarter over quarter:</w:t>
      </w:r>
    </w:p>
    <w:p>
      <w:pPr>
        <w:pStyle w:val="ListParagraph"/>
        <w:numPr>
          <w:ilvl w:val="0"/>
          <w:numId w:val="2"/>
        </w:numPr>
        <w:spacing w:after="60"/>
      </w:pPr>
      <w:r>
        <w:t xml:space="preserve">Convert scattered official releases (GDP, IIP, CPI, PMI, RBI data, CGA fiscal data, FPI/FDI flows) into one comparable composite and one named regime label.</w:t>
      </w:r>
    </w:p>
    <w:p>
      <w:pPr>
        <w:pStyle w:val="ListParagraph"/>
        <w:numPr>
          <w:ilvl w:val="0"/>
          <w:numId w:val="2"/>
        </w:numPr>
        <w:spacing w:after="60"/>
      </w:pPr>
      <w:r>
        <w:t xml:space="preserve">Force the same six questions — growth, inflation/policy, external balance, fiscal position, credit/liquidity, capital flows — to get answered the same way every quarter, so two readings of the same quarter land on the same regime.</w:t>
      </w:r>
    </w:p>
    <w:p>
      <w:pPr>
        <w:pStyle w:val="ListParagraph"/>
        <w:numPr>
          <w:ilvl w:val="0"/>
          <w:numId w:val="2"/>
        </w:numPr>
        <w:spacing w:after="60"/>
      </w:pPr>
      <w:r>
        <w:t xml:space="preserve">Attach a concrete, actionable asset-allocation tilt to the regime, not just a diagnosis — "Slowdown/Caution" should tell a reader what to trim, not just that things are slowing.</w:t>
      </w:r>
    </w:p>
    <w:p>
      <w:pPr>
        <w:spacing w:after="160"/>
      </w:pPr>
      <w:r>
        <w:t xml:space="preserve">It is deliberately not a black box: every sub-score is a named, auditable formula against a named, sourced input. If an input is unknown, the algorithm says so and degrades its confidence rating rather than guessing silently (see Section 6).</w:t>
      </w:r>
    </w:p>
    <w:p>
      <w:pPr>
        <w:pStyle w:val="Heading2"/>
        <w:spacing w:after="120" w:before="240"/>
      </w:pPr>
      <w:r>
        <w:t xml:space="preserve">2.1 What the PIMRI is not</w:t>
      </w:r>
    </w:p>
    <w:p>
      <w:pPr>
        <w:pStyle w:val="ListParagraph"/>
        <w:numPr>
          <w:ilvl w:val="0"/>
          <w:numId w:val="1"/>
        </w:numPr>
        <w:spacing w:after="60"/>
      </w:pPr>
      <w:r>
        <w:rPr>
          <w:b/>
          <w:bCs/>
        </w:rPr>
        <w:t xml:space="preserve">Not a GDP forecast model.</w:t>
      </w:r>
      <w:r>
        <w:t xml:space="preserve"> It classifies the current reading of the cycle using data already released; it does not project next quarter's growth number.</w:t>
      </w:r>
    </w:p>
    <w:p>
      <w:pPr>
        <w:pStyle w:val="ListParagraph"/>
        <w:numPr>
          <w:ilvl w:val="0"/>
          <w:numId w:val="1"/>
        </w:numPr>
        <w:spacing w:after="60"/>
      </w:pPr>
      <w:r>
        <w:rPr>
          <w:b/>
          <w:bCs/>
        </w:rPr>
        <w:t xml:space="preserve">Not a market-timing signal on its own.</w:t>
      </w:r>
      <w:r>
        <w:t xml:space="preserve"> A regime label describes the macro backdrop, not an entry/exit trigger for any specific trade. Equity and rate markets frequently move on expectations well before an official release confirms a regime shift — PIMRI frames the macro backdrop behind a decision, not the decision rule itself.</w:t>
      </w:r>
    </w:p>
    <w:p>
      <w:pPr>
        <w:pStyle w:val="ListParagraph"/>
        <w:numPr>
          <w:ilvl w:val="0"/>
          <w:numId w:val="1"/>
        </w:numPr>
        <w:spacing w:after="60"/>
      </w:pPr>
      <w:r>
        <w:rPr>
          <w:b/>
          <w:bCs/>
        </w:rPr>
        <w:t xml:space="preserve">Not a substitute for reading the actual release notes.</w:t>
      </w:r>
      <w:r>
        <w:t xml:space="preserve"> GDP and IIP data in particular carry base-effect and revision noise that a single composite number cannot fully strip out (see Section 10).</w:t>
      </w:r>
    </w:p>
    <w:p>
      <w:pPr>
        <w:pStyle w:val="Heading1"/>
        <w:spacing w:after="120" w:before="240"/>
      </w:pPr>
      <w:r>
        <w:t xml:space="preserve">3. Methodology at a Glance</w:t>
      </w:r>
    </w:p>
    <w:p>
      <w:pPr>
        <w:spacing w:after="160"/>
      </w:pPr>
      <w:r>
        <w:t xml:space="preserve">PIMRI is built from six weighted pillars, each independently scored on a 0–100 scale, then combined into a single composite via a fixed linear weighting scheme: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Pillar</w:t>
            </w:r>
          </w:p>
        </w:tc>
        <w:tc>
          <w:tcPr>
            <w:shd w:fill="1B2A4A" w:val="solid"/>
          </w:tcPr>
          <w:p>
            <w:r>
              <w:rPr>
                <w:b/>
                <w:bCs/>
                <w:color w:val="FFFFFF"/>
              </w:rPr>
              <w:t xml:space="preserve">Weight</w:t>
            </w:r>
          </w:p>
        </w:tc>
        <w:tc>
          <w:tcPr>
            <w:shd w:fill="1B2A4A" w:val="solid"/>
          </w:tcPr>
          <w:p>
            <w:r>
              <w:rPr>
                <w:b/>
                <w:bCs/>
                <w:color w:val="FFFFFF"/>
              </w:rPr>
              <w:t xml:space="preserve">What it answers</w:t>
            </w:r>
          </w:p>
        </w:tc>
      </w:tr>
      <w:tr>
        <w:tc>
          <w:p>
            <w:r>
              <w:t xml:space="preserve">P1. Growth Momentum</w:t>
            </w:r>
          </w:p>
        </w:tc>
        <w:tc>
          <w:p>
            <w:pPr>
              <w:jc w:val="center"/>
            </w:pPr>
            <w:r>
              <w:t xml:space="preserve">25%</w:t>
            </w:r>
          </w:p>
        </w:tc>
        <w:tc>
          <w:p>
            <w:r>
              <w:t xml:space="preserve">Is the real economy actually accelerating, or just printing a favorable base effect?</w:t>
            </w:r>
          </w:p>
        </w:tc>
      </w:tr>
      <w:tr>
        <w:tc>
          <w:tcPr>
            <w:shd w:fill="F3F4F6" w:val="solid"/>
          </w:tcPr>
          <w:p>
            <w:r>
              <w:t xml:space="preserve">P2. Inflation &amp; Monetary Stance</w:t>
            </w:r>
          </w:p>
        </w:tc>
        <w:tc>
          <w:tcPr>
            <w:shd w:fill="F3F4F6" w:val="solid"/>
          </w:tcPr>
          <w:p>
            <w:pPr>
              <w:jc w:val="center"/>
            </w:pPr>
            <w:r>
              <w:t xml:space="preserve">20%</w:t>
            </w:r>
          </w:p>
        </w:tc>
        <w:tc>
          <w:tcPr>
            <w:shd w:fill="F3F4F6" w:val="solid"/>
          </w:tcPr>
          <w:p>
            <w:r>
              <w:t xml:space="preserve">Is inflation near target and is policy calibrated for it, or fighting the wrong battle?</w:t>
            </w:r>
          </w:p>
        </w:tc>
      </w:tr>
      <w:tr>
        <w:tc>
          <w:p>
            <w:r>
              <w:t xml:space="preserve">P3. External Sector Health</w:t>
            </w:r>
          </w:p>
        </w:tc>
        <w:tc>
          <w:p>
            <w:pPr>
              <w:jc w:val="center"/>
            </w:pPr>
            <w:r>
              <w:t xml:space="preserve">20%</w:t>
            </w:r>
          </w:p>
        </w:tc>
        <w:tc>
          <w:p>
            <w:r>
              <w:t xml:space="preserve">Is India's external position resilient to a global shock, or exposed?</w:t>
            </w:r>
          </w:p>
        </w:tc>
      </w:tr>
      <w:tr>
        <w:tc>
          <w:tcPr>
            <w:shd w:fill="F3F4F6" w:val="solid"/>
          </w:tcPr>
          <w:p>
            <w:r>
              <w:t xml:space="preserve">P4. Fiscal Health</w:t>
            </w:r>
          </w:p>
        </w:tc>
        <w:tc>
          <w:tcPr>
            <w:shd w:fill="F3F4F6" w:val="solid"/>
          </w:tcPr>
          <w:p>
            <w:pPr>
              <w:jc w:val="center"/>
            </w:pPr>
            <w:r>
              <w:t xml:space="preserve">15%</w:t>
            </w:r>
          </w:p>
        </w:tc>
        <w:tc>
          <w:tcPr>
            <w:shd w:fill="F3F4F6" w:val="solid"/>
          </w:tcPr>
          <w:p>
            <w:r>
              <w:t xml:space="preserve">Is the deficit on the glide path, and is it buying growth or just financing consumption?</w:t>
            </w:r>
          </w:p>
        </w:tc>
      </w:tr>
      <w:tr>
        <w:tc>
          <w:p>
            <w:r>
              <w:t xml:space="preserve">P5. Credit &amp; Liquidity</w:t>
            </w:r>
          </w:p>
        </w:tc>
        <w:tc>
          <w:p>
            <w:pPr>
              <w:jc w:val="center"/>
            </w:pPr>
            <w:r>
              <w:t xml:space="preserve">10%</w:t>
            </w:r>
          </w:p>
        </w:tc>
        <w:tc>
          <w:p>
            <w:r>
              <w:t xml:space="preserve">Is credit flowing at a healthy pace, or is the system either starved or overheating?</w:t>
            </w:r>
          </w:p>
        </w:tc>
      </w:tr>
      <w:tr>
        <w:tc>
          <w:tcPr>
            <w:shd w:fill="F3F4F6" w:val="solid"/>
          </w:tcPr>
          <w:p>
            <w:r>
              <w:t xml:space="preserve">P6. Capital Flows &amp; Market Confidence</w:t>
            </w:r>
          </w:p>
        </w:tc>
        <w:tc>
          <w:tcPr>
            <w:shd w:fill="F3F4F6" w:val="solid"/>
          </w:tcPr>
          <w:p>
            <w:pPr>
              <w:jc w:val="center"/>
            </w:pPr>
            <w:r>
              <w:t xml:space="preserve">10%</w:t>
            </w:r>
          </w:p>
        </w:tc>
        <w:tc>
          <w:tcPr>
            <w:shd w:fill="F3F4F6" w:val="solid"/>
          </w:tcPr>
          <w:p>
            <w:r>
              <w:t xml:space="preserve">Is global capital voting for India right now?</w:t>
            </w:r>
          </w:p>
        </w:tc>
      </w:tr>
    </w:tbl>
    <w:p>
      <w:pPr>
        <w:spacing w:after="160"/>
      </w:pPr>
      <w:r>
        <w:t xml:space="preserve">The composite formula is:</w:t>
      </w:r>
    </w:p>
    <w:p>
      <w:pPr>
        <w:spacing w:after="160"/>
        <w:jc w:val="center"/>
      </w:pPr>
      <w:r>
        <w:rPr>
          <w:b/>
          <w:bCs/>
        </w:rPr>
        <w:t xml:space="preserve">PIMRI = 0.25·P1 + 0.20·P2 + 0.20·P3 + 0.15·P4 + 0.10·P5 + 0.10·P6</w:t>
      </w:r>
    </w:p>
    <w:p>
      <w:pPr>
        <w:spacing w:after="160"/>
      </w:pPr>
      <w:r>
        <w:t xml:space="preserve">The resulting 0–100 composite is then mapped to one of five named regimes, each carrying a specific asset-allocation tilt (Section 5), and reported alongside a confidence rating that reflects how much of the required input set was actually available (Section 6).</w:t>
      </w:r>
    </w:p>
    <w:p>
      <w:pPr>
        <w:pStyle w:val="Heading2"/>
        <w:spacing w:after="120" w:before="240"/>
      </w:pPr>
      <w:r>
        <w:t xml:space="preserve">3.1 Weighting rationale</w:t>
      </w:r>
    </w:p>
    <w:p>
      <w:pPr>
        <w:spacing w:after="160"/>
      </w:pPr>
      <w:r>
        <w:t xml:space="preserve">P1 and P2 together are 45% of the score by design — growth momentum and the inflation/policy backdrop are the two variables that most directly drive the regime a business cycle is actually in, and both are released frequently enough (monthly PMI/CPI/IIP, quarterly GDP) to keep the composite current. External and fiscal health (35% combined) are the structural buffers that determine how much room policy has to respond to a shock — real but slower-moving, so weighted meaningfully but below the current-cycle pillars. Credit/liquidity and capital flows (20% combined) are faster-moving but noisier month to month, so they are weighted lowest individually even though a sharp move in either can flip a regime call quickly — which is precisely why they are still tracked every quarter rather than dropped.</w:t>
      </w:r>
    </w:p>
    <w:p>
      <w:pPr>
        <w:spacing w:after="160"/>
      </w:pPr>
      <w:r>
        <w:t xml:space="preserve">All sub-scores are clamped to the range [0, 100] after computation unless stated otherwise. Two mathematical primitives recur throughout the pillar formulas and are defined once here: `clamp(x, lo, hi) = min(max(x, lo), hi)`, and `lerp`, piecewise-linear interpolation between named anchor points. Anchors need not be monotonic in y — several of PIMRI's curves are deliberately tent-shaped (rising, then falling), which is simply a `lerp` whose anchor sequence rises then falls rather than moving in one direction throughout.</w:t>
      </w:r>
    </w:p>
    <w:p>
      <w:pPr>
        <w:pStyle w:val="Heading1"/>
        <w:spacing w:after="120" w:before="240"/>
      </w:pPr>
      <w:r>
        <w:t xml:space="preserve">4. Detailed Pillar Formulas</w:t>
      </w:r>
    </w:p>
    <w:p>
      <w:pPr>
        <w:spacing w:after="160"/>
      </w:pPr>
      <w:r>
        <w:t xml:space="preserve">This section transcribes every sub-metric, weight, and formula for all six pillars exactly as specified in the authoritative methodology document, together with the rationale for each design choice — why a curve is shaped the way it is, and why an anchor sits where it sits.</w:t>
      </w:r>
    </w:p>
    <w:p>
      <w:pPr>
        <w:pStyle w:val="Heading2"/>
        <w:spacing w:after="120" w:before="240"/>
      </w:pPr>
      <w:r>
        <w:t xml:space="preserve">4.1 P1. Growth Momentum</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P1</w:t>
            </w:r>
          </w:p>
        </w:tc>
        <w:tc>
          <w:tcPr>
            <w:shd w:fill="1B2A4A" w:val="solid"/>
          </w:tcPr>
          <w:p>
            <w:r>
              <w:rPr>
                <w:b/>
                <w:bCs/>
                <w:color w:val="FFFFFF"/>
              </w:rPr>
              <w:t xml:space="preserve">Formula</w:t>
            </w:r>
          </w:p>
        </w:tc>
      </w:tr>
      <w:tr>
        <w:tc>
          <w:p>
            <w:r>
              <w:t xml:space="preserve">a. Real GDP YoY vs. trend growth (~6.5%)</w:t>
            </w:r>
          </w:p>
        </w:tc>
        <w:tc>
          <w:p>
            <w:pPr>
              <w:jc w:val="center"/>
            </w:pPr>
            <w:r>
              <w:t xml:space="preserve">40%</w:t>
            </w:r>
          </w:p>
        </w:tc>
        <w:tc>
          <w:p>
            <w:r>
              <w:t xml:space="preserve">lerp anchors: −2%→5, 0%→20, 3%→35, 6.5% (trend)→60, 9%→85, ≥12%→100</w:t>
            </w:r>
          </w:p>
        </w:tc>
      </w:tr>
      <w:tr>
        <w:tc>
          <w:tcPr>
            <w:shd w:fill="F3F4F6" w:val="solid"/>
          </w:tcPr>
          <w:p>
            <w:r>
              <w:t xml:space="preserve">b. IIP (Index of Industrial Production) YoY growth</w:t>
            </w:r>
          </w:p>
        </w:tc>
        <w:tc>
          <w:tcPr>
            <w:shd w:fill="F3F4F6" w:val="solid"/>
          </w:tcPr>
          <w:p>
            <w:pPr>
              <w:jc w:val="center"/>
            </w:pPr>
            <w:r>
              <w:t xml:space="preserve">25%</w:t>
            </w:r>
          </w:p>
        </w:tc>
        <w:tc>
          <w:tcPr>
            <w:shd w:fill="F3F4F6" w:val="solid"/>
          </w:tcPr>
          <w:p>
            <w:r>
              <w:t xml:space="preserve">lerp anchors: −6%→5, 0%→25, 4%→55, 7%→75, 10%→90, ≥14%→100</w:t>
            </w:r>
          </w:p>
        </w:tc>
      </w:tr>
      <w:tr>
        <w:tc>
          <w:p>
            <w:r>
              <w:t xml:space="preserve">c. Composite PMI (avg. of Manufacturing PMI and Services PMI)</w:t>
            </w:r>
          </w:p>
        </w:tc>
        <w:tc>
          <w:p>
            <w:pPr>
              <w:jc w:val="center"/>
            </w:pPr>
            <w:r>
              <w:t xml:space="preserve">35%</w:t>
            </w:r>
          </w:p>
        </w:tc>
        <w:tc>
          <w:p>
            <w:r>
              <w:t xml:space="preserve">clamp(50 + (compositePmi − 50) × 3, 0, 100)</w:t>
            </w:r>
          </w:p>
        </w:tc>
      </w:tr>
    </w:tbl>
    <w:p>
      <w:pPr>
        <w:spacing w:after="160"/>
        <w:jc w:val="center"/>
      </w:pPr>
      <w:r>
        <w:rPr>
          <w:b/>
          <w:bCs/>
        </w:rPr>
        <w:t xml:space="preserve">P1 = 0.40a + 0.25b + 0.35c</w:t>
      </w:r>
    </w:p>
    <w:p>
      <w:pPr>
        <w:spacing w:after="160"/>
      </w:pPr>
      <w:r>
        <w:rPr>
          <w:b/>
          <w:bCs/>
        </w:rPr>
        <w:t xml:space="preserve">Why 6.5% is the GDP anchor, not a higher or lower number.</w:t>
      </w:r>
      <w:r>
        <w:t xml:space="preserve"> 6.5% is used here as India's approximate real potential/trend growth rate — the rate consistent with neither a positive nor negative output gap. Printing exactly at trend is "good, not remarkable" (score 60), mirroring how the sibling Prabhakar Deal Quality Index (PDQI) treats paying the sector-median multiple as fair-but-unremarkable. Growth meaningfully above trend is what actually signals an expansion regime, not merely growth that is merely positive.</w:t>
      </w:r>
    </w:p>
    <w:p>
      <w:pPr>
        <w:spacing w:after="160"/>
      </w:pPr>
      <w:r>
        <w:rPr>
          <w:b/>
          <w:bCs/>
        </w:rPr>
        <w:t xml:space="preserve">Why the composite PMI is anchored at the real neutral line of 50.</w:t>
      </w:r>
      <w:r>
        <w:t xml:space="preserve"> 50 is the textbook expansion/contraction threshold for a diffusion-index PMI, so using it as the score's own neutral point (score 50 at PMI 50) keeps the sub-score legible against the number analysts already read in isolation. The ×3 multiplier means a composite PMI of 60 scores 80, and a composite PMI of 40 scores 20 — steep enough that a sustained cross of the 50 line moves this sub-score meaningfully within a single print.</w:t>
      </w:r>
    </w:p>
    <w:p>
      <w:pPr>
        <w:pStyle w:val="Heading2"/>
        <w:spacing w:after="120" w:before="240"/>
      </w:pPr>
      <w:r>
        <w:t xml:space="preserve">4.2 P2. Inflation &amp; Monetary Stance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P2</w:t>
            </w:r>
          </w:p>
        </w:tc>
        <w:tc>
          <w:tcPr>
            <w:shd w:fill="1B2A4A" w:val="solid"/>
          </w:tcPr>
          <w:p>
            <w:r>
              <w:rPr>
                <w:b/>
                <w:bCs/>
                <w:color w:val="FFFFFF"/>
              </w:rPr>
              <w:t xml:space="preserve">Formula</w:t>
            </w:r>
          </w:p>
        </w:tc>
      </w:tr>
      <w:tr>
        <w:tc>
          <w:p>
            <w:r>
              <w:t xml:space="preserve">a. CPI inflation vs. RBI target band</w:t>
            </w:r>
          </w:p>
        </w:tc>
        <w:tc>
          <w:p>
            <w:pPr>
              <w:jc w:val="center"/>
            </w:pPr>
            <w:r>
              <w:t xml:space="preserve">60%</w:t>
            </w:r>
          </w:p>
        </w:tc>
        <w:tc>
          <w:p>
            <w:r>
              <w:t xml:space="preserve">lerp (tent) anchors: 0%→20, 2%→55, 4% (target)→100, 6%→55, 8%→20, ≥12%→5</w:t>
            </w:r>
          </w:p>
        </w:tc>
      </w:tr>
      <w:tr>
        <w:tc>
          <w:tcPr>
            <w:shd w:fill="F3F4F6" w:val="solid"/>
          </w:tcPr>
          <w:p>
            <w:r>
              <w:t xml:space="preserve">b. Real repo rate (repo rate − CPI YoY)</w:t>
            </w:r>
          </w:p>
        </w:tc>
        <w:tc>
          <w:tcPr>
            <w:shd w:fill="F3F4F6" w:val="solid"/>
          </w:tcPr>
          <w:p>
            <w:pPr>
              <w:jc w:val="center"/>
            </w:pPr>
            <w:r>
              <w:t xml:space="preserve">40%</w:t>
            </w:r>
          </w:p>
        </w:tc>
        <w:tc>
          <w:tcPr>
            <w:shd w:fill="F3F4F6" w:val="solid"/>
          </w:tcPr>
          <w:p>
            <w:r>
              <w:t xml:space="preserve">lerp (tent) anchors: −3%→25, 0%→55, 1.5%→90, 3%→70, 5%→45, ≥8%→15</w:t>
            </w:r>
          </w:p>
        </w:tc>
      </w:tr>
    </w:tbl>
    <w:p>
      <w:pPr>
        <w:spacing w:after="160"/>
        <w:jc w:val="center"/>
      </w:pPr>
      <w:r>
        <w:rPr>
          <w:b/>
          <w:bCs/>
        </w:rPr>
        <w:t xml:space="preserve">P2 = 0.60a + 0.40b</w:t>
      </w:r>
    </w:p>
    <w:p>
      <w:pPr>
        <w:spacing w:after="160"/>
      </w:pPr>
      <w:r>
        <w:rPr>
          <w:b/>
          <w:bCs/>
        </w:rPr>
        <w:t xml:space="preserve">Why (a) is a tent, not a simple "lower is better" curve.</w:t>
      </w:r>
      <w:r>
        <w:t xml:space="preserve"> The RBI's inflation-targeting mandate is a 4% target with a 2–6% tolerance band, not an "as low as possible" mandate. CPI sitting at 4% is the best possible reading (score 100); CPI drifting toward either edge of the 2–6% band is progressively worse, and CPI below 2% is treated as a demand-weakness signal — nearly as concerning as CPI pushing past 6% on the high side, not a free pass. This is the same shape as an athlete's target heart-rate zone, not a golf score.</w:t>
      </w:r>
    </w:p>
    <w:p>
      <w:pPr>
        <w:spacing w:after="160"/>
      </w:pPr>
      <w:r>
        <w:rPr>
          <w:b/>
          <w:bCs/>
        </w:rPr>
        <w:t xml:space="preserve">Why (b) is also a tent.</w:t>
      </w:r>
      <w:r>
        <w:t xml:space="preserve"> A real repo rate that is too negative (policy too loose relative to inflation) risks entrenching inflation expectations; a real repo rate that is too high (policy too tight) chokes credit and investment. The peak at 1.5% real reflects the historical range the RBI has tended to treat as a "neutral-to-mildly-restrictive" real rate for India — moderately positive, not aggressively so.</w:t>
      </w:r>
    </w:p>
    <w:p>
      <w:pPr>
        <w:pStyle w:val="Heading2"/>
        <w:spacing w:after="120" w:before="240"/>
      </w:pPr>
      <w:r>
        <w:t xml:space="preserve">4.3 P3. External Sector Health</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P3</w:t>
            </w:r>
          </w:p>
        </w:tc>
        <w:tc>
          <w:tcPr>
            <w:shd w:fill="1B2A4A" w:val="solid"/>
          </w:tcPr>
          <w:p>
            <w:r>
              <w:rPr>
                <w:b/>
                <w:bCs/>
                <w:color w:val="FFFFFF"/>
              </w:rPr>
              <w:t xml:space="preserve">Formula</w:t>
            </w:r>
          </w:p>
        </w:tc>
      </w:tr>
      <w:tr>
        <w:tc>
          <w:p>
            <w:r>
              <w:t xml:space="preserve">a. Current Account Deficit (CAD) as % of GDP</w:t>
            </w:r>
          </w:p>
        </w:tc>
        <w:tc>
          <w:p>
            <w:pPr>
              <w:jc w:val="center"/>
            </w:pPr>
            <w:r>
              <w:t xml:space="preserve">40%</w:t>
            </w:r>
          </w:p>
        </w:tc>
        <w:tc>
          <w:p>
            <w:r>
              <w:t xml:space="preserve">lerp (tent) anchors: −3% (surplus)→65, 0%→90, 1.25% (comfort zone)→100, 2.5%→75, 4%→45, ≥6%→15</w:t>
            </w:r>
          </w:p>
        </w:tc>
      </w:tr>
      <w:tr>
        <w:tc>
          <w:tcPr>
            <w:shd w:fill="F3F4F6" w:val="solid"/>
          </w:tcPr>
          <w:p>
            <w:r>
              <w:t xml:space="preserve">b. FX reserve adequacy (months of import cover)</w:t>
            </w:r>
          </w:p>
        </w:tc>
        <w:tc>
          <w:tcPr>
            <w:shd w:fill="F3F4F6" w:val="solid"/>
          </w:tcPr>
          <w:p>
            <w:pPr>
              <w:jc w:val="center"/>
            </w:pPr>
            <w:r>
              <w:t xml:space="preserve">35%</w:t>
            </w:r>
          </w:p>
        </w:tc>
        <w:tc>
          <w:tcPr>
            <w:shd w:fill="F3F4F6" w:val="solid"/>
          </w:tcPr>
          <w:p>
            <w:r>
              <w:t xml:space="preserve">lerp anchors: 3mo→10, 6mo→40, 9mo→80, 12mo→95, ≥15mo→100</w:t>
            </w:r>
          </w:p>
        </w:tc>
      </w:tr>
      <w:tr>
        <w:tc>
          <w:p>
            <w:r>
              <w:t xml:space="preserve">c. INR realized volatility (trailing 3-month annualized, %)</w:t>
            </w:r>
          </w:p>
        </w:tc>
        <w:tc>
          <w:p>
            <w:pPr>
              <w:jc w:val="center"/>
            </w:pPr>
            <w:r>
              <w:t xml:space="preserve">25%</w:t>
            </w:r>
          </w:p>
        </w:tc>
        <w:tc>
          <w:p>
            <w:r>
              <w:t xml:space="preserve">inverse lerp anchors: 2%→100, 5%→80, 8%→55, 12%→30, ≥18%→10</w:t>
            </w:r>
          </w:p>
        </w:tc>
      </w:tr>
    </w:tbl>
    <w:p>
      <w:pPr>
        <w:spacing w:after="160"/>
        <w:jc w:val="center"/>
      </w:pPr>
      <w:r>
        <w:rPr>
          <w:b/>
          <w:bCs/>
        </w:rPr>
        <w:t xml:space="preserve">P3 = 0.40a + 0.35b + 0.25c</w:t>
      </w:r>
    </w:p>
    <w:p>
      <w:pPr>
        <w:spacing w:after="160"/>
      </w:pPr>
      <w:r>
        <w:t xml:space="preserve">Sign convention for (a): a positive value is a deficit (imports of goods+services+transfers exceed exports); a negative value is a current account surplus. India's historical comfort zone for a sustainable CAD is roughly 1–1.5% of GDP — wide enough to fund productive investment via manageable external financing, not so wide that it depends on fickle portfolio inflows. A large surplus scores slightly below the comfort-zone peak (65 at −3% vs. 100 at 1.25%) because an unusually large surplus more often reflects weak domestic demand (import compression) than genuine export strength.</w:t>
      </w:r>
    </w:p>
    <w:p>
      <w:pPr>
        <w:pStyle w:val="Heading2"/>
        <w:spacing w:after="120" w:before="240"/>
      </w:pPr>
      <w:r>
        <w:t xml:space="preserve">4.4 P4. Fiscal Health</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shd w:fill="1B2A4A" w:val="solid"/>
          </w:tcPr>
          <w:p>
            <w:r>
              <w:rPr>
                <w:b/>
                <w:bCs/>
                <w:color w:val="FFFFFF"/>
              </w:rPr>
              <w:t xml:space="preserve">Component</w:t>
            </w:r>
          </w:p>
        </w:tc>
        <w:tc>
          <w:tcPr>
            <w:shd w:fill="1B2A4A" w:val="solid"/>
          </w:tcPr>
          <w:p>
            <w:r>
              <w:rPr>
                <w:b/>
                <w:bCs/>
                <w:color w:val="FFFFFF"/>
              </w:rPr>
              <w:t xml:space="preserve">Formula</w:t>
            </w:r>
          </w:p>
        </w:tc>
      </w:tr>
      <w:tr>
        <w:tc>
          <w:p>
            <w:r>
              <w:t xml:space="preserve">Base: fiscal deficit vs. glide-path target</w:t>
            </w:r>
          </w:p>
        </w:tc>
        <w:tc>
          <w:p>
            <w:r>
              <w:t xml:space="preserve">overshootPts = actualDeficitPctGdp − targetDeficitPctGdp; base = clamp(80 − overshootPts × 25, 0, 100)</w:t>
            </w:r>
          </w:p>
        </w:tc>
      </w:tr>
      <w:tr>
        <w:tc>
          <w:tcPr>
            <w:shd w:fill="F3F4F6" w:val="solid"/>
          </w:tcPr>
          <w:p>
            <w:r>
              <w:t xml:space="preserve">Quality-of-deficit adjustment</w:t>
            </w:r>
          </w:p>
        </w:tc>
        <w:tc>
          <w:tcPr>
            <w:shd w:fill="F3F4F6" w:val="solid"/>
          </w:tcPr>
          <w:p>
            <w:r>
              <w:t xml:space="preserve">+10 if capex share of total central government spending is rising YoY (capex-driven deficits are more growth-supportive than revenue-expenditure-driven ones)</w:t>
            </w:r>
          </w:p>
        </w:tc>
      </w:tr>
    </w:tbl>
    <w:p>
      <w:pPr>
        <w:spacing w:after="160"/>
        <w:jc w:val="center"/>
      </w:pPr>
      <w:r>
        <w:rPr>
          <w:b/>
          <w:bCs/>
        </w:rPr>
        <w:t xml:space="preserve">P4 = clamp(base + qualityAdjustment, 0, 100)</w:t>
      </w:r>
    </w:p>
    <w:p>
      <w:pPr>
        <w:spacing w:after="160"/>
      </w:pPr>
      <w:r>
        <w:t xml:space="preserve">Hitting the budgeted/glide-path target exactly scores 80 — good, not perfect, mirroring the PDQI's treatment of "at the sector median" as fair-but-unremarkable. Beating the target pushes the base score above 80; missing it costs 25 points per percentage point of GDP overshot, which is a deliberately steep penalty — fiscal slippage is one of the fastest ways a government re-prices its own borrowing costs. The capex-quality bonus exists because two governments can print an identical headline deficit number with very different growth consequences: one financing productive capital formation, the other financing recurring revenue expenditure. Both count the same in the headline print; they should not count the same here.</w:t>
      </w:r>
    </w:p>
    <w:p>
      <w:pPr>
        <w:pStyle w:val="Heading2"/>
        <w:spacing w:after="120" w:before="240"/>
      </w:pPr>
      <w:r>
        <w:t xml:space="preserve">4.5 P5. Credit &amp; Liquidity</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P5</w:t>
            </w:r>
          </w:p>
        </w:tc>
        <w:tc>
          <w:tcPr>
            <w:shd w:fill="1B2A4A" w:val="solid"/>
          </w:tcPr>
          <w:p>
            <w:r>
              <w:rPr>
                <w:b/>
                <w:bCs/>
                <w:color w:val="FFFFFF"/>
              </w:rPr>
              <w:t xml:space="preserve">Formula</w:t>
            </w:r>
          </w:p>
        </w:tc>
      </w:tr>
      <w:tr>
        <w:tc>
          <w:p>
            <w:r>
              <w:t xml:space="preserve">a. Non-food bank credit growth YoY</w:t>
            </w:r>
          </w:p>
        </w:tc>
        <w:tc>
          <w:p>
            <w:pPr>
              <w:jc w:val="center"/>
            </w:pPr>
            <w:r>
              <w:t xml:space="preserve">60%</w:t>
            </w:r>
          </w:p>
        </w:tc>
        <w:tc>
          <w:p>
            <w:r>
              <w:t xml:space="preserve">lerp anchors: 0%→15, 5%→40, 10%→75, 12.5%→95, 15%→95, 20%→65, 25%→35, ≥30%→15</w:t>
            </w:r>
          </w:p>
        </w:tc>
      </w:tr>
      <w:tr>
        <w:tc>
          <w:tcPr>
            <w:shd w:fill="F3F4F6" w:val="solid"/>
          </w:tcPr>
          <w:p>
            <w:r>
              <w:t xml:space="preserve">b. Banking-system liquidity stance</w:t>
            </w:r>
          </w:p>
        </w:tc>
        <w:tc>
          <w:tcPr>
            <w:shd w:fill="F3F4F6" w:val="solid"/>
          </w:tcPr>
          <w:p>
            <w:pPr>
              <w:jc w:val="center"/>
            </w:pPr>
            <w:r>
              <w:t xml:space="preserve">40%</w:t>
            </w:r>
          </w:p>
        </w:tc>
        <w:tc>
          <w:tcPr>
            <w:shd w:fill="F3F4F6" w:val="solid"/>
          </w:tcPr>
          <w:p>
            <w:r>
              <w:t xml:space="preserve">categorical map: deep</w:t>
            </w:r>
            <w:r>
              <w:rPr>
                <w:i/>
                <w:iCs/>
              </w:rPr>
              <w:t xml:space="preserve">deficit→15, deficit→35, neutral→60, comfortable</w:t>
            </w:r>
            <w:r>
              <w:t xml:space="preserve">surplus→90, excess_surplus→70</w:t>
            </w:r>
          </w:p>
        </w:tc>
      </w:tr>
    </w:tbl>
    <w:p>
      <w:pPr>
        <w:spacing w:after="160"/>
        <w:jc w:val="center"/>
      </w:pPr>
      <w:r>
        <w:rPr>
          <w:b/>
          <w:bCs/>
        </w:rPr>
        <w:t xml:space="preserve">P5 = 0.60a + 0.40b</w:t>
      </w:r>
    </w:p>
    <w:p>
      <w:pPr>
        <w:spacing w:after="160"/>
      </w:pPr>
      <w:r>
        <w:t xml:space="preserve">The credit-growth curve plateaus at its highest score across roughly 10–15% YoY — the range historically associated with credit supporting real-economy activity without outrunning it — and falls off on both sides: too-low growth signals a credit crunch or weak demand for credit, too-high growth (&gt;20%) risks the kind of credit-fueled excess that later shows up as asset-quality stress. The liquidity map is deliberately non-monotonic at the top end: excess</w:t>
      </w:r>
      <w:r>
        <w:rPr>
          <w:i/>
          <w:iCs/>
        </w:rPr>
        <w:t xml:space="preserve">surplus scores below comfortable</w:t>
      </w:r>
      <w:r>
        <w:t xml:space="preserve">surplus because liquidity that is persistently too abundant blunts monetary policy transmission (rate cuts/hikes take longer to reach the real economy when the system is already flush) — comfortable is better than excessive, not just better than tight.</w:t>
      </w:r>
    </w:p>
    <w:p>
      <w:pPr>
        <w:pStyle w:val="Heading2"/>
        <w:spacing w:after="120" w:before="240"/>
      </w:pPr>
      <w:r>
        <w:t xml:space="preserve">4.6 P6. Capital Flows &amp; Market Confidence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P6</w:t>
            </w:r>
          </w:p>
        </w:tc>
        <w:tc>
          <w:tcPr>
            <w:shd w:fill="1B2A4A" w:val="solid"/>
          </w:tcPr>
          <w:p>
            <w:r>
              <w:rPr>
                <w:b/>
                <w:bCs/>
                <w:color w:val="FFFFFF"/>
              </w:rPr>
              <w:t xml:space="preserve">Formula</w:t>
            </w:r>
          </w:p>
        </w:tc>
      </w:tr>
      <w:tr>
        <w:tc>
          <w:p>
            <w:r>
              <w:t xml:space="preserve">a. Net FPI flows (trailing 3-month net, USD bn)</w:t>
            </w:r>
          </w:p>
        </w:tc>
        <w:tc>
          <w:p>
            <w:pPr>
              <w:jc w:val="center"/>
            </w:pPr>
            <w:r>
              <w:t xml:space="preserve">45%</w:t>
            </w:r>
          </w:p>
        </w:tc>
        <w:tc>
          <w:p>
            <w:r>
              <w:t xml:space="preserve">lerp anchors: −15→10, −5→30, 0→55, 5→75, 10→90, ≥20→100</w:t>
            </w:r>
          </w:p>
        </w:tc>
      </w:tr>
      <w:tr>
        <w:tc>
          <w:tcPr>
            <w:shd w:fill="F3F4F6" w:val="solid"/>
          </w:tcPr>
          <w:p>
            <w:r>
              <w:t xml:space="preserve">b. Net FDI flows (trailing quarter net, USD bn)</w:t>
            </w:r>
          </w:p>
        </w:tc>
        <w:tc>
          <w:tcPr>
            <w:shd w:fill="F3F4F6" w:val="solid"/>
          </w:tcPr>
          <w:p>
            <w:pPr>
              <w:jc w:val="center"/>
            </w:pPr>
            <w:r>
              <w:t xml:space="preserve">35%</w:t>
            </w:r>
          </w:p>
        </w:tc>
        <w:tc>
          <w:tcPr>
            <w:shd w:fill="F3F4F6" w:val="solid"/>
          </w:tcPr>
          <w:p>
            <w:r>
              <w:t xml:space="preserve">lerp anchors: −2→15, 0→40, 3→60, 6→80, 10→95, ≥15→100</w:t>
            </w:r>
          </w:p>
        </w:tc>
      </w:tr>
      <w:tr>
        <w:tc>
          <w:p>
            <w:r>
              <w:t xml:space="preserve">c. Risk-premium proxy (sovereign CDS-equivalent spread, bps)</w:t>
            </w:r>
          </w:p>
        </w:tc>
        <w:tc>
          <w:p>
            <w:pPr>
              <w:jc w:val="center"/>
            </w:pPr>
            <w:r>
              <w:t xml:space="preserve">20%</w:t>
            </w:r>
          </w:p>
        </w:tc>
        <w:tc>
          <w:p>
            <w:r>
              <w:t xml:space="preserve">inverse lerp anchors: 40bps→100, 80bps→80, 120bps→55, 200bps→30, ≥300bps→10</w:t>
            </w:r>
          </w:p>
        </w:tc>
      </w:tr>
    </w:tbl>
    <w:p>
      <w:pPr>
        <w:spacing w:after="160"/>
        <w:jc w:val="center"/>
      </w:pPr>
      <w:r>
        <w:rPr>
          <w:b/>
          <w:bCs/>
        </w:rPr>
        <w:t xml:space="preserve">P6 = 0.45a + 0.35b + 0.20c</w:t>
      </w:r>
    </w:p>
    <w:p>
      <w:pPr>
        <w:spacing w:after="160"/>
      </w:pPr>
      <w:r>
        <w:t xml:space="preserve">Sub-component (c) has a qualitative fallback. A sovereign CDS-equivalent spread is not always readily to hand. When it is genuinely unavailable, the </w:t>
      </w:r>
      <w:r>
        <w:rPr>
          <w:b/>
          <w:bCs/>
        </w:rPr>
        <w:t xml:space="preserve">Policy Credibility &amp; Geopolitical Risk</w:t>
      </w:r>
      <w:r>
        <w:t xml:space="preserve"> rubric (Section 4.7) is used in its place — `likertToScore` converts the same 1–5 rating used there to a 0–100 score on the identical scale, so the sub-component slot is unaffected either way. This is the one sub-component in the whole model that runs on either a quantitative or a qualitative input by design, because it is the lowest-weighted piece (20% of a 10%-weighted pillar = 2% of the composite) and the input most likely to be missing on a given reporting day. The methodology requires recording, in the output, which form was actually used.</w:t>
      </w:r>
    </w:p>
    <w:p>
      <w:pPr>
        <w:pStyle w:val="Heading2"/>
        <w:spacing w:after="120" w:before="240"/>
      </w:pPr>
      <w:r>
        <w:t xml:space="preserve">4.7 Qualitative rubric (P6c fallback)</w:t>
      </w:r>
    </w:p>
    <w:p>
      <w:pPr>
        <w:spacing w:after="160"/>
      </w:pPr>
      <w:r>
        <w:t xml:space="preserve">Used for P6c as a fallback only when a sovereign risk-premium figure is not available. This rubric runs on named anchor descriptions, not unaided judgment — the analyst is required to write down which anchor description matches before picking a number.</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Value</w:t>
            </w:r>
          </w:p>
        </w:tc>
        <w:tc>
          <w:tcPr>
            <w:shd w:fill="1B2A4A" w:val="solid"/>
          </w:tcPr>
          <w:p>
            <w:r>
              <w:rPr>
                <w:b/>
                <w:bCs/>
                <w:color w:val="FFFFFF"/>
              </w:rPr>
              <w:t xml:space="preserve">Score</w:t>
            </w:r>
          </w:p>
        </w:tc>
        <w:tc>
          <w:tcPr>
            <w:shd w:fill="1B2A4A" w:val="solid"/>
          </w:tcPr>
          <w:p>
            <w:r>
              <w:rPr>
                <w:b/>
                <w:bCs/>
                <w:color w:val="FFFFFF"/>
              </w:rPr>
              <w:t xml:space="preserve">Anchor description</w:t>
            </w:r>
          </w:p>
        </w:tc>
      </w:tr>
      <w:tr>
        <w:tc>
          <w:p>
            <w:r>
              <w:t xml:space="preserve">1</w:t>
            </w:r>
          </w:p>
        </w:tc>
        <w:tc>
          <w:p>
            <w:pPr>
              <w:jc w:val="center"/>
            </w:pPr>
            <w:r>
              <w:t xml:space="preserve">10</w:t>
            </w:r>
          </w:p>
        </w:tc>
        <w:tc>
          <w:p>
            <w:r>
              <w:t xml:space="preserve">Acute stress — a major policy misstep, or an active geopolitical/election shock is actively repricing India risk</w:t>
            </w:r>
          </w:p>
        </w:tc>
      </w:tr>
      <w:tr>
        <w:tc>
          <w:tcPr>
            <w:shd w:fill="F3F4F6" w:val="solid"/>
          </w:tcPr>
          <w:p>
            <w:r>
              <w:t xml:space="preserve">2</w:t>
            </w:r>
          </w:p>
        </w:tc>
        <w:tc>
          <w:tcPr>
            <w:shd w:fill="F3F4F6" w:val="solid"/>
          </w:tcPr>
          <w:p>
            <w:pPr>
              <w:jc w:val="center"/>
            </w:pPr>
            <w:r>
              <w:t xml:space="preserve">35</w:t>
            </w:r>
          </w:p>
        </w:tc>
        <w:tc>
          <w:tcPr>
            <w:shd w:fill="F3F4F6" w:val="solid"/>
          </w:tcPr>
          <w:p>
            <w:r>
              <w:t xml:space="preserve">Elevated concern — meaningful uncertainty (fiscal slippage risk, a global risk-off episode, an adverse geopolitical development) weighing on sentiment</w:t>
            </w:r>
          </w:p>
        </w:tc>
      </w:tr>
      <w:tr>
        <w:tc>
          <w:p>
            <w:r>
              <w:t xml:space="preserve">3</w:t>
            </w:r>
          </w:p>
        </w:tc>
        <w:tc>
          <w:p>
            <w:pPr>
              <w:jc w:val="center"/>
            </w:pPr>
            <w:r>
              <w:t xml:space="preserve">60</w:t>
            </w:r>
          </w:p>
        </w:tc>
        <w:tc>
          <w:p>
            <w:r>
              <w:t xml:space="preserve">Neutral baseline — normal policy continuity, no major surprises priced in either direction</w:t>
            </w:r>
          </w:p>
        </w:tc>
      </w:tr>
      <w:tr>
        <w:tc>
          <w:tcPr>
            <w:shd w:fill="F3F4F6" w:val="solid"/>
          </w:tcPr>
          <w:p>
            <w:r>
              <w:t xml:space="preserve">4</w:t>
            </w:r>
          </w:p>
        </w:tc>
        <w:tc>
          <w:tcPr>
            <w:shd w:fill="F3F4F6" w:val="solid"/>
          </w:tcPr>
          <w:p>
            <w:pPr>
              <w:jc w:val="center"/>
            </w:pPr>
            <w:r>
              <w:t xml:space="preserve">80</w:t>
            </w:r>
          </w:p>
        </w:tc>
        <w:tc>
          <w:tcPr>
            <w:shd w:fill="F3F4F6" w:val="solid"/>
          </w:tcPr>
          <w:p>
            <w:r>
              <w:t xml:space="preserve">Supportive — credible policy path and reform momentum against a stable geopolitical backdrop</w:t>
            </w:r>
          </w:p>
        </w:tc>
      </w:tr>
      <w:tr>
        <w:tc>
          <w:p>
            <w:r>
              <w:t xml:space="preserve">5</w:t>
            </w:r>
          </w:p>
        </w:tc>
        <w:tc>
          <w:p>
            <w:pPr>
              <w:jc w:val="center"/>
            </w:pPr>
            <w:r>
              <w:t xml:space="preserve">100</w:t>
            </w:r>
          </w:p>
        </w:tc>
        <w:tc>
          <w:p>
            <w:r>
              <w:t xml:space="preserve">Highly supportive — active reform momentum plus a benign global backdrop, actively compressing India's risk premium</w:t>
            </w:r>
          </w:p>
        </w:tc>
      </w:tr>
    </w:tbl>
    <w:p>
      <w:pPr>
        <w:spacing w:after="160"/>
      </w:pPr>
      <w:r>
        <w:t xml:space="preserve">`likertToScore`: linear interpolation is used for non-integer averages (e.g. a rating of 3.5 → score 70). This is the same conversion function and scale used by the PDQI's qualitative rubrics — a deliberate consistency choice so that a 1–5 rating means the same thing across every skill in the Prabhakar methodology library.</w:t>
      </w:r>
    </w:p>
    <w:p>
      <w:pPr>
        <w:pStyle w:val="Heading1"/>
        <w:spacing w:after="120" w:before="240"/>
      </w:pPr>
      <w:r>
        <w:t xml:space="preserve">5. Regime Definitions and Asset-Allocation Tilts</w:t>
      </w:r>
    </w:p>
    <w:p>
      <w:pPr>
        <w:spacing w:after="160"/>
      </w:pPr>
      <w:r>
        <w:t xml:space="preserve">This is the core deliverable output of the methodology: the composite PIMRI score is mapped to one of five named regimes across the full 0–100 range, and each regime carries a specific, ready-to-use asset-allocation tilt. The regime names and boundaries are fixed as part of the versioned specification — changing a band boundary is a version bump (Section 11), not a silent adjustment.</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PIMRI</w:t>
            </w:r>
          </w:p>
        </w:tc>
        <w:tc>
          <w:tcPr>
            <w:shd w:fill="1B2A4A" w:val="solid"/>
          </w:tcPr>
          <w:p>
            <w:r>
              <w:rPr>
                <w:b/>
                <w:bCs/>
                <w:color w:val="FFFFFF"/>
              </w:rPr>
              <w:t xml:space="preserve">Regime</w:t>
            </w:r>
          </w:p>
        </w:tc>
        <w:tc>
          <w:tcPr>
            <w:shd w:fill="1B2A4A" w:val="solid"/>
          </w:tcPr>
          <w:p>
            <w:r>
              <w:rPr>
                <w:b/>
                <w:bCs/>
                <w:color w:val="FFFFFF"/>
              </w:rPr>
              <w:t xml:space="preserve">Asset-allocation tilt</w:t>
            </w:r>
          </w:p>
        </w:tc>
      </w:tr>
      <w:tr>
        <w:tc>
          <w:p>
            <w:pPr>
              <w:jc w:val="center"/>
            </w:pPr>
            <w:r>
              <w:t xml:space="preserve">80–100</w:t>
            </w:r>
          </w:p>
        </w:tc>
        <w:tc>
          <w:p>
            <w:r>
              <w:t xml:space="preserve">Expansion / Goldilocks</w:t>
            </w:r>
          </w:p>
        </w:tc>
        <w:tc>
          <w:p>
            <w:r>
              <w:t xml:space="preserve">Overweight equities, tilt toward cyclicals and small/mid-caps; risk-on across the book.</w:t>
            </w:r>
          </w:p>
        </w:tc>
      </w:tr>
      <w:tr>
        <w:tc>
          <w:tcPr>
            <w:shd w:fill="F3F4F6" w:val="solid"/>
          </w:tcPr>
          <w:p>
            <w:pPr>
              <w:jc w:val="center"/>
            </w:pPr>
            <w:r>
              <w:t xml:space="preserve">65–79</w:t>
            </w:r>
          </w:p>
        </w:tc>
        <w:tc>
          <w:tcPr>
            <w:shd w:fill="F3F4F6" w:val="solid"/>
          </w:tcPr>
          <w:p>
            <w:r>
              <w:t xml:space="preserve">Moderate Growth / Balanced Expansion</w:t>
            </w:r>
          </w:p>
        </w:tc>
        <w:tc>
          <w:tcPr>
            <w:shd w:fill="F3F4F6" w:val="solid"/>
          </w:tcPr>
          <w:p>
            <w:r>
              <w:t xml:space="preserve">Balanced allocation with a modest equity overweight; favor quality large-caps over high-beta names.</w:t>
            </w:r>
          </w:p>
        </w:tc>
      </w:tr>
      <w:tr>
        <w:tc>
          <w:p>
            <w:pPr>
              <w:jc w:val="center"/>
            </w:pPr>
            <w:r>
              <w:t xml:space="preserve">50–64</w:t>
            </w:r>
          </w:p>
        </w:tc>
        <w:tc>
          <w:p>
            <w:r>
              <w:t xml:space="preserve">Slowdown / Caution</w:t>
            </w:r>
          </w:p>
        </w:tc>
        <w:tc>
          <w:p>
            <w:r>
              <w:t xml:space="preserve">Trim cyclicals and small-caps, rotate toward quality large-caps and defensive sectors (IT, pharma, FMCG), raise cash buffer.</w:t>
            </w:r>
          </w:p>
        </w:tc>
      </w:tr>
      <w:tr>
        <w:tc>
          <w:tcPr>
            <w:shd w:fill="F3F4F6" w:val="solid"/>
          </w:tcPr>
          <w:p>
            <w:pPr>
              <w:jc w:val="center"/>
            </w:pPr>
            <w:r>
              <w:t xml:space="preserve">30–49</w:t>
            </w:r>
          </w:p>
        </w:tc>
        <w:tc>
          <w:tcPr>
            <w:shd w:fill="F3F4F6" w:val="solid"/>
          </w:tcPr>
          <w:p>
            <w:r>
              <w:t xml:space="preserve">Stress / Contraction</w:t>
            </w:r>
          </w:p>
        </w:tc>
        <w:tc>
          <w:tcPr>
            <w:shd w:fill="F3F4F6" w:val="solid"/>
          </w:tcPr>
          <w:p>
            <w:r>
              <w:t xml:space="preserve">Underweight equities; overweight defensives, duration (long-dated G-secs), and gold.</w:t>
            </w:r>
          </w:p>
        </w:tc>
      </w:tr>
      <w:tr>
        <w:tc>
          <w:p>
            <w:pPr>
              <w:jc w:val="center"/>
            </w:pPr>
            <w:r>
              <w:t xml:space="preserve">0–29</w:t>
            </w:r>
          </w:p>
        </w:tc>
        <w:tc>
          <w:p>
            <w:r>
              <w:t xml:space="preserve">Crisis / Deep Contraction</w:t>
            </w:r>
          </w:p>
        </w:tc>
        <w:tc>
          <w:p>
            <w:r>
              <w:t xml:space="preserve">Capital preservation: maximum defensive posture — gold, cash, and sovereign duration overweight; minimal equity exposure; consider INR hedges on residual foreign-asset exposure.</w:t>
            </w:r>
          </w:p>
        </w:tc>
      </w:tr>
    </w:tbl>
    <w:p>
      <w:pPr>
        <w:spacing w:after="160"/>
      </w:pPr>
      <w:r>
        <w:t xml:space="preserve">These bands assume high-confidence inputs (Section 6). Under low confidence, the regime should be treated as directional only, and the methodology specifically requires checking whether the composite sits within 8 points of a band edge before committing to the tilt on that basis alone — a score of 63 on Medium confidence is not meaningfully different from a 66, and the tilt language should reflect that rather than treating a boundary crossing as a hard regime change.</w:t>
      </w:r>
    </w:p>
    <w:p>
      <w:pPr>
        <w:spacing w:after="160"/>
      </w:pPr>
      <w:r>
        <w:t xml:space="preserve">It is this pairing — a bounded, auditable composite score on one side, and a fixed, named, actionable tilt on the other, joined by a versioned mapping table — that constitutes PIMRI's principal output. A user of the methodology receives a portfolio instruction, not merely a diagnosis.</w:t>
      </w:r>
    </w:p>
    <w:p>
      <w:pPr>
        <w:pStyle w:val="Heading1"/>
        <w:spacing w:after="120" w:before="240"/>
      </w:pPr>
      <w:r>
        <w:t xml:space="preserve">6. Confidence and Data-Quality Framework</w:t>
      </w:r>
    </w:p>
    <w:p>
      <w:pPr>
        <w:spacing w:after="160"/>
      </w:pPr>
      <w:r>
        <w:t xml:space="preserve">Every pillar has a required input list (documented in the reference implementation's `REQUIRED_FIELDS` constant). Before computing the composite, the methodology counts how many required fields across all six pillars are missing or explicitly marked "unknown":</w:t>
      </w:r>
    </w:p>
    <w:p>
      <w:pPr>
        <w:spacing w:after="160"/>
        <w:jc w:val="center"/>
      </w:pPr>
      <w:r>
        <w:rPr>
          <w:b/>
          <w:bCs/>
        </w:rPr>
        <w:t xml:space="preserve">completeness = 1 − (missingCount / totalRequiredFields)</w:t>
      </w:r>
    </w:p>
    <w:p>
      <w:pPr>
        <w:pStyle w:val="ListParagraph"/>
        <w:numPr>
          <w:ilvl w:val="0"/>
          <w:numId w:val="1"/>
        </w:numPr>
        <w:spacing w:after="60"/>
      </w:pPr>
      <w:r>
        <w:rPr>
          <w:b/>
          <w:bCs/>
        </w:rPr>
        <w:t xml:space="preserve">completeness ≥ 0.9 → High confidence.</w:t>
      </w:r>
      <w:r>
        <w:t xml:space="preserve"> Report the regime as-is.</w:t>
      </w:r>
    </w:p>
    <w:p>
      <w:pPr>
        <w:pStyle w:val="ListParagraph"/>
        <w:numPr>
          <w:ilvl w:val="0"/>
          <w:numId w:val="1"/>
        </w:numPr>
        <w:spacing w:after="60"/>
      </w:pPr>
      <w:r>
        <w:rPr>
          <w:b/>
          <w:bCs/>
        </w:rPr>
        <w:t xml:space="preserve">0.7 ≤ completeness &lt; 0.9 → Medium confidence.</w:t>
      </w:r>
      <w:r>
        <w:t xml:space="preserve"> Report the regime with a note listing which pillars used estimates or the qualitative fallback.</w:t>
      </w:r>
    </w:p>
    <w:p>
      <w:pPr>
        <w:pStyle w:val="ListParagraph"/>
        <w:numPr>
          <w:ilvl w:val="0"/>
          <w:numId w:val="1"/>
        </w:numPr>
        <w:spacing w:after="60"/>
      </w:pPr>
      <w:r>
        <w:rPr>
          <w:b/>
          <w:bCs/>
        </w:rPr>
        <w:t xml:space="preserve">completeness &lt; 0.7 → Low confidence.</w:t>
      </w:r>
      <w:r>
        <w:t xml:space="preserve"> Prefix the output "PRELIMINARY — insufficient data for a reliable regime call", and explicitly name which official releases would resolve the biggest gaps first (a missing GDP print is treated as a bigger gap than a missing CDS spread — the framework prioritizes closing growth/inflation data over capital-flows data).</w:t>
      </w:r>
    </w:p>
    <w:p>
      <w:pPr>
        <w:spacing w:after="160"/>
      </w:pPr>
      <w:r>
        <w:t xml:space="preserve">The methodology's design principle here is absolute: the algorithm must never silently substitute a default value for a missing required field and present the result as if it were measured. If a value is genuinely unknown, it is passed as null and the completeness penalty is allowed to apply — a lower-confidence real answer is treated as strictly preferable to a confident wrong one. This is the mechanism by which PIMRI keeps missing data visible in the final output rather than quietly absorbed into a falsely precise number.</w:t>
      </w:r>
    </w:p>
    <w:p>
      <w:r>
        <w:br w:type="page"/>
      </w:r>
    </w:p>
    <w:p>
      <w:pPr>
        <w:pStyle w:val="Heading1"/>
        <w:spacing w:after="120" w:before="240"/>
      </w:pPr>
      <w:r>
        <w:t xml:space="preserve">7. Worked Example</w:t>
      </w:r>
    </w:p>
    <w:p>
      <w:pPr>
        <w:spacing w:after="160"/>
      </w:pPr>
      <w:r>
        <w:t xml:space="preserve">The following is a hypothetical quarter, illustrative only — it is not an actual RBI/MOSPI release. The full input set is provided in `scripts/example-input.json`; running `node scripts/score.js scripts/example-input.json` reproduces the numbers below exactly, as they are copied directly from that script's output.</w:t>
      </w:r>
    </w:p>
    <w:p>
      <w:pPr>
        <w:pStyle w:val="Heading2"/>
        <w:spacing w:after="120" w:before="240"/>
      </w:pPr>
      <w:r>
        <w:t xml:space="preserve">7.1 Input data</w:t>
      </w:r>
    </w:p>
    <w:p>
      <w:pPr>
        <w:pStyle w:val="ListParagraph"/>
        <w:numPr>
          <w:ilvl w:val="0"/>
          <w:numId w:val="1"/>
        </w:numPr>
        <w:spacing w:after="60"/>
      </w:pPr>
      <w:r>
        <w:t xml:space="preserve">Real GDP YoY 7.2%, IIP YoY 5.8%, Manufacturing PMI 57.5, Services PMI 60.3 (composite 58.9)</w:t>
      </w:r>
    </w:p>
    <w:p>
      <w:pPr>
        <w:pStyle w:val="ListParagraph"/>
        <w:numPr>
          <w:ilvl w:val="0"/>
          <w:numId w:val="1"/>
        </w:numPr>
        <w:spacing w:after="60"/>
      </w:pPr>
      <w:r>
        <w:t xml:space="preserve">CPI YoY 3.6%, repo rate 6.00% (real repo rate 2.4%)</w:t>
      </w:r>
    </w:p>
    <w:p>
      <w:pPr>
        <w:pStyle w:val="ListParagraph"/>
        <w:numPr>
          <w:ilvl w:val="0"/>
          <w:numId w:val="1"/>
        </w:numPr>
        <w:spacing w:after="60"/>
      </w:pPr>
      <w:r>
        <w:t xml:space="preserve">CAD 1.1% of GDP, FX reserves 10.5 months of import cover, INR realized volatility 4.8% (trailing 3-month annualized)</w:t>
      </w:r>
    </w:p>
    <w:p>
      <w:pPr>
        <w:pStyle w:val="ListParagraph"/>
        <w:numPr>
          <w:ilvl w:val="0"/>
          <w:numId w:val="1"/>
        </w:numPr>
        <w:spacing w:after="60"/>
      </w:pPr>
      <w:r>
        <w:t xml:space="preserve">Fiscal deficit 4.4% of GDP vs. 4.5% budgeted target, capex share of spending rising YoY</w:t>
      </w:r>
    </w:p>
    <w:p>
      <w:pPr>
        <w:pStyle w:val="ListParagraph"/>
        <w:numPr>
          <w:ilvl w:val="0"/>
          <w:numId w:val="1"/>
        </w:numPr>
        <w:spacing w:after="60"/>
      </w:pPr>
      <w:r>
        <w:t xml:space="preserve">Non-food credit growth 12.8% YoY, liquidity stance "comfortable_surplus"</w:t>
      </w:r>
    </w:p>
    <w:p>
      <w:pPr>
        <w:pStyle w:val="ListParagraph"/>
        <w:numPr>
          <w:ilvl w:val="0"/>
          <w:numId w:val="1"/>
        </w:numPr>
        <w:spacing w:after="60"/>
      </w:pPr>
      <w:r>
        <w:t xml:space="preserve">Net FPI (trailing 3mo) +$6.2bn, net FDI (trailing quarter) +$8.5bn, sovereign risk-premium proxy 65bps</w:t>
      </w:r>
    </w:p>
    <w:p>
      <w:pPr>
        <w:pStyle w:val="Heading2"/>
        <w:spacing w:after="120" w:before="240"/>
      </w:pPr>
      <w:r>
        <w:t xml:space="preserve">7.2 Pillar-by-pillar computation</w:t>
      </w:r>
    </w:p>
    <w:p>
      <w:pPr>
        <w:spacing w:after="160"/>
      </w:pPr>
      <w:r>
        <w:t xml:space="preserve">P1 — Growth Momentum</w:t>
      </w:r>
    </w:p>
    <w:p>
      <w:pPr>
        <w:pStyle w:val="ListParagraph"/>
        <w:numPr>
          <w:ilvl w:val="0"/>
          <w:numId w:val="1"/>
        </w:numPr>
        <w:spacing w:after="60"/>
      </w:pPr>
      <w:r>
        <w:t xml:space="preserve">a = lerp(7.2, [6.5,60]→[9,85]) = 60 + (7.2−6.5)/(9−6.5)×25 = 67.0</w:t>
      </w:r>
    </w:p>
    <w:p>
      <w:pPr>
        <w:pStyle w:val="ListParagraph"/>
        <w:numPr>
          <w:ilvl w:val="0"/>
          <w:numId w:val="1"/>
        </w:numPr>
        <w:spacing w:after="60"/>
      </w:pPr>
      <w:r>
        <w:t xml:space="preserve">b = lerp(5.8, [4,55]→[7,75]) = 55 + (5.8−4)/(7−4)×20 = 67.0</w:t>
      </w:r>
    </w:p>
    <w:p>
      <w:pPr>
        <w:pStyle w:val="ListParagraph"/>
        <w:numPr>
          <w:ilvl w:val="0"/>
          <w:numId w:val="1"/>
        </w:numPr>
        <w:spacing w:after="60"/>
      </w:pPr>
      <w:r>
        <w:t xml:space="preserve">c = clamp(50 + (58.9−50)×3, 0, 100) = 76.7</w:t>
      </w:r>
    </w:p>
    <w:p>
      <w:pPr>
        <w:pStyle w:val="ListParagraph"/>
        <w:numPr>
          <w:ilvl w:val="0"/>
          <w:numId w:val="1"/>
        </w:numPr>
        <w:spacing w:after="60"/>
      </w:pPr>
      <w:r>
        <w:rPr>
          <w:b/>
          <w:bCs/>
        </w:rPr>
        <w:t xml:space="preserve">P1 = 0.40(67.0) + 0.25(67.0) + 0.35(76.7) = 70.4</w:t>
      </w:r>
    </w:p>
    <w:p>
      <w:pPr>
        <w:spacing w:after="160"/>
      </w:pPr>
      <w:r>
        <w:t xml:space="preserve">P2 — Inflation &amp; Monetary Stance</w:t>
      </w:r>
    </w:p>
    <w:p>
      <w:pPr>
        <w:pStyle w:val="ListParagraph"/>
        <w:numPr>
          <w:ilvl w:val="0"/>
          <w:numId w:val="1"/>
        </w:numPr>
        <w:spacing w:after="60"/>
      </w:pPr>
      <w:r>
        <w:t xml:space="preserve">a = lerp(3.6, [2,55]→[4,100]) = 55 + (3.6−2)/(4−2)×45 = 91.0</w:t>
      </w:r>
    </w:p>
    <w:p>
      <w:pPr>
        <w:pStyle w:val="ListParagraph"/>
        <w:numPr>
          <w:ilvl w:val="0"/>
          <w:numId w:val="1"/>
        </w:numPr>
        <w:spacing w:after="60"/>
      </w:pPr>
      <w:r>
        <w:t xml:space="preserve">b = lerp(2.4, [1.5,90]→[3,70]) = 90 + (2.4−1.5)/(3−1.5)×(70−90) = 78.0</w:t>
      </w:r>
    </w:p>
    <w:p>
      <w:pPr>
        <w:pStyle w:val="ListParagraph"/>
        <w:numPr>
          <w:ilvl w:val="0"/>
          <w:numId w:val="1"/>
        </w:numPr>
        <w:spacing w:after="60"/>
      </w:pPr>
      <w:r>
        <w:rPr>
          <w:b/>
          <w:bCs/>
        </w:rPr>
        <w:t xml:space="preserve">P2 = 0.60(91.0) + 0.40(78.0) = 85.8</w:t>
      </w:r>
    </w:p>
    <w:p>
      <w:pPr>
        <w:spacing w:after="160"/>
      </w:pPr>
      <w:r>
        <w:t xml:space="preserve">P3 — External Sector Health</w:t>
      </w:r>
    </w:p>
    <w:p>
      <w:pPr>
        <w:pStyle w:val="ListParagraph"/>
        <w:numPr>
          <w:ilvl w:val="0"/>
          <w:numId w:val="1"/>
        </w:numPr>
        <w:spacing w:after="60"/>
      </w:pPr>
      <w:r>
        <w:t xml:space="preserve">a = lerp(1.1, [0,90]→[1.25,100]) = 90 + (1.1−0)/(1.25−0)×10 = 98.8</w:t>
      </w:r>
    </w:p>
    <w:p>
      <w:pPr>
        <w:pStyle w:val="ListParagraph"/>
        <w:numPr>
          <w:ilvl w:val="0"/>
          <w:numId w:val="1"/>
        </w:numPr>
        <w:spacing w:after="60"/>
      </w:pPr>
      <w:r>
        <w:t xml:space="preserve">b = lerp(10.5, [9,80]→[12,95]) = 80 + (10.5−9)/(12−9)×15 = 87.5</w:t>
      </w:r>
    </w:p>
    <w:p>
      <w:pPr>
        <w:pStyle w:val="ListParagraph"/>
        <w:numPr>
          <w:ilvl w:val="0"/>
          <w:numId w:val="1"/>
        </w:numPr>
        <w:spacing w:after="60"/>
      </w:pPr>
      <w:r>
        <w:t xml:space="preserve">c = lerp(4.8, [2,100]→[5,80]) = 100 + (4.8−2)/(5−2)×(80−100) = 81.3</w:t>
      </w:r>
    </w:p>
    <w:p>
      <w:pPr>
        <w:pStyle w:val="ListParagraph"/>
        <w:numPr>
          <w:ilvl w:val="0"/>
          <w:numId w:val="1"/>
        </w:numPr>
        <w:spacing w:after="60"/>
      </w:pPr>
      <w:r>
        <w:rPr>
          <w:b/>
          <w:bCs/>
        </w:rPr>
        <w:t xml:space="preserve">P3 = 0.40(98.8) + 0.35(87.5) + 0.25(81.3) = 90.5</w:t>
      </w:r>
    </w:p>
    <w:p>
      <w:pPr>
        <w:spacing w:after="160"/>
      </w:pPr>
      <w:r>
        <w:t xml:space="preserve">P4 — Fiscal Health</w:t>
      </w:r>
    </w:p>
    <w:p>
      <w:pPr>
        <w:pStyle w:val="ListParagraph"/>
        <w:numPr>
          <w:ilvl w:val="0"/>
          <w:numId w:val="1"/>
        </w:numPr>
        <w:spacing w:after="60"/>
      </w:pPr>
      <w:r>
        <w:t xml:space="preserve">overshootPts = 4.4 − 4.5 = −0.1 → base = clamp(80 − (−0.1×25), 0, 100) = 82.5</w:t>
      </w:r>
    </w:p>
    <w:p>
      <w:pPr>
        <w:pStyle w:val="ListParagraph"/>
        <w:numPr>
          <w:ilvl w:val="0"/>
          <w:numId w:val="1"/>
        </w:numPr>
        <w:spacing w:after="60"/>
      </w:pPr>
      <w:r>
        <w:t xml:space="preserve">quality adjustment = +10 (capex share rising)</w:t>
      </w:r>
    </w:p>
    <w:p>
      <w:pPr>
        <w:pStyle w:val="ListParagraph"/>
        <w:numPr>
          <w:ilvl w:val="0"/>
          <w:numId w:val="1"/>
        </w:numPr>
        <w:spacing w:after="60"/>
      </w:pPr>
      <w:r>
        <w:rPr>
          <w:b/>
          <w:bCs/>
        </w:rPr>
        <w:t xml:space="preserve">P4 = clamp(82.5 + 10, 0, 100) = 92.5</w:t>
      </w:r>
    </w:p>
    <w:p>
      <w:pPr>
        <w:spacing w:after="160"/>
      </w:pPr>
      <w:r>
        <w:t xml:space="preserve">P5 — Credit &amp; Liquidity</w:t>
      </w:r>
    </w:p>
    <w:p>
      <w:pPr>
        <w:pStyle w:val="ListParagraph"/>
        <w:numPr>
          <w:ilvl w:val="0"/>
          <w:numId w:val="1"/>
        </w:numPr>
        <w:spacing w:after="60"/>
      </w:pPr>
      <w:r>
        <w:t xml:space="preserve">a = lerp(12.8, [12.5,95]→[15,95]) = 95.0 (flat segment)</w:t>
      </w:r>
    </w:p>
    <w:p>
      <w:pPr>
        <w:pStyle w:val="ListParagraph"/>
        <w:numPr>
          <w:ilvl w:val="0"/>
          <w:numId w:val="1"/>
        </w:numPr>
        <w:spacing w:after="60"/>
      </w:pPr>
      <w:r>
        <w:t xml:space="preserve">b = comfortable_surplus = 90</w:t>
      </w:r>
    </w:p>
    <w:p>
      <w:pPr>
        <w:pStyle w:val="ListParagraph"/>
        <w:numPr>
          <w:ilvl w:val="0"/>
          <w:numId w:val="1"/>
        </w:numPr>
        <w:spacing w:after="60"/>
      </w:pPr>
      <w:r>
        <w:rPr>
          <w:b/>
          <w:bCs/>
        </w:rPr>
        <w:t xml:space="preserve">P5 = 0.60(95.0) + 0.40(90) = 93.0</w:t>
      </w:r>
    </w:p>
    <w:p>
      <w:pPr>
        <w:spacing w:after="160"/>
      </w:pPr>
      <w:r>
        <w:t xml:space="preserve">P6 — Capital Flows &amp; Market Confidence</w:t>
      </w:r>
    </w:p>
    <w:p>
      <w:pPr>
        <w:pStyle w:val="ListParagraph"/>
        <w:numPr>
          <w:ilvl w:val="0"/>
          <w:numId w:val="1"/>
        </w:numPr>
        <w:spacing w:after="60"/>
      </w:pPr>
      <w:r>
        <w:t xml:space="preserve">a = lerp(6.2, [5,75]→[10,90]) = 75 + (6.2−5)/(10−5)×15 = 78.6</w:t>
      </w:r>
    </w:p>
    <w:p>
      <w:pPr>
        <w:pStyle w:val="ListParagraph"/>
        <w:numPr>
          <w:ilvl w:val="0"/>
          <w:numId w:val="1"/>
        </w:numPr>
        <w:spacing w:after="60"/>
      </w:pPr>
      <w:r>
        <w:t xml:space="preserve">b = lerp(8.5, [6,80]→[10,95]) = 80 + (8.5−6)/(10−6)×15 = 89.4</w:t>
      </w:r>
    </w:p>
    <w:p>
      <w:pPr>
        <w:pStyle w:val="ListParagraph"/>
        <w:numPr>
          <w:ilvl w:val="0"/>
          <w:numId w:val="1"/>
        </w:numPr>
        <w:spacing w:after="60"/>
      </w:pPr>
      <w:r>
        <w:t xml:space="preserve">c = lerp(65, [40,100]→[80,80]) = 100 + (65−40)/(80−40)×(80−100) = 87.5</w:t>
      </w:r>
    </w:p>
    <w:p>
      <w:pPr>
        <w:pStyle w:val="ListParagraph"/>
        <w:numPr>
          <w:ilvl w:val="0"/>
          <w:numId w:val="1"/>
        </w:numPr>
        <w:spacing w:after="60"/>
      </w:pPr>
      <w:r>
        <w:rPr>
          <w:b/>
          <w:bCs/>
        </w:rPr>
        <w:t xml:space="preserve">P6 = 0.45(78.6) + 0.35(89.4) + 0.20(87.5) = 84.2</w:t>
      </w:r>
    </w:p>
    <w:p>
      <w:pPr>
        <w:pStyle w:val="Heading2"/>
        <w:spacing w:after="120" w:before="240"/>
      </w:pPr>
      <w:r>
        <w:t xml:space="preserve">7.3 Composite and result</w:t>
      </w:r>
    </w:p>
    <w:p>
      <w:pPr>
        <w:spacing w:after="160"/>
        <w:jc w:val="center"/>
      </w:pPr>
      <w:r>
        <w:rPr>
          <w:b/>
          <w:bCs/>
        </w:rPr>
        <w:t xml:space="preserve">PIMRI = 0.25(70.4) + 0.20(85.8) + 0.20(90.5) + 0.15(92.5) + 0.10(93.0) + 0.10(84.2)
= 17.6 + 17.2 + 18.1 + 13.9 + 9.3 + 8.4 = 84.4</w:t>
      </w:r>
    </w:p>
    <w:p>
      <w:pPr>
        <w:spacing w:after="160"/>
      </w:pPr>
      <w:r>
        <w:rPr>
          <w:b/>
          <w:bCs/>
        </w:rPr>
        <w:t xml:space="preserve">Result: PIMRI 84.4 — Expansion / Goldilocks regime.</w:t>
      </w:r>
      <w:r>
        <w:t xml:space="preserve"> Asset-allocation tilt: overweight equities, tilt toward cyclicals and small/mid-caps. Growth (P1, 70.4) is the softest pillar relative to the rest of the composite — above-trend GDP and a strong composite PMI are doing the work, but IIP at 5.8% YoY is only middling on its own curve, worth checking against the next release for base-effect noise before treating the expansion call as fully confirmed. External health (P3, 90.5) and credit conditions (P5, 93.0) are the standout strengths this quarter.</w:t>
      </w:r>
    </w:p>
    <w:p>
      <w:pPr>
        <w:spacing w:after="160"/>
      </w:pPr>
      <w:r>
        <w:t xml:space="preserve">Note: this worked example is regenerated to match the actual script output as part of the methodology's own build-verification process — see Section 11 for the version this was last confirmed against.</w:t>
      </w:r>
    </w:p>
    <w:p>
      <w:pPr>
        <w:pStyle w:val="Heading1"/>
        <w:spacing w:after="120" w:before="240"/>
      </w:pPr>
      <w:r>
        <w:t xml:space="preserve">8. Comparative Positioning</w:t>
      </w:r>
    </w:p>
    <w:p>
      <w:pPr>
        <w:spacing w:after="160"/>
      </w:pPr>
      <w:r>
        <w:t xml:space="preserve">PIMRI sits within a well-established methodological tradition rather than inventing the idea of a macro composite from nothing. Composite leading-indicator frameworks — combining multiple official releases into a single index designed to lead or characterize the business cycle — have a long history at central banks and multilateral institutions, and business-cycle dating committees have long faced the same underlying problem PIMRI addresses: turning a scattered set of releases, each with its own lag and noise profile, into one defensible read on where the cycle currently stands. What varies across such frameworks is not the existence of a composite, but the specific choice of component indicators, the weighting scheme applied to them, and — most consequentially for a practitioner — whether the output stops at a number or is translated into something actionable.</w:t>
      </w:r>
    </w:p>
    <w:p>
      <w:pPr>
        <w:spacing w:after="160"/>
      </w:pPr>
      <w:r>
        <w:t xml:space="preserve">Two design choices distinguish PIMRI's positioning within that general tradition, without relying on any specific institutional citation or comparative statistic that cannot be independently verified from this document alone. First, the tent-shaped (non-monotonic) curves used for CPI, the real repo rate, the CAD, and non-food credit growth encode a specific view — shared by many practitioner frameworks but not universal — that certain macro variables have an interior optimum rather than a monotonic "more is better" or "less is better" relationship with regime health. A generic composite that scores inflation purely on a downward-sloping curve, for instance, would penalize disinflation toward zero as if it were unambiguously positive, which is not how an inflation-target regime actually functions. Second, and more distinctively, PIMRI does not stop at the score: the regime-to-tilt mapping in Section 5 is a first-class part of the specification, not an informal gloss applied after the fact by whoever is presenting the number. That combination — a fully auditable, tent-aware composite, bundled inseparably with a named regime and a concrete allocation instruction — is the specific methodological position PIMRI occupies relative to composite leading-indicator frameworks and named, checkable analyst frameworks generally.</w:t>
      </w:r>
    </w:p>
    <w:p>
      <w:pPr>
        <w:spacing w:after="160"/>
      </w:pPr>
      <w:r>
        <w:t xml:space="preserve">This section is offered as methodological positioning, not as a claim of superiority over, or equivalence to, any specific named index, institutional publication, or third-party track record. No such comparison is made or implied elsewhere in this document.</w:t>
      </w:r>
    </w:p>
    <w:p>
      <w:r>
        <w:br w:type="page"/>
      </w:r>
    </w:p>
    <w:p>
      <w:pPr>
        <w:pStyle w:val="Heading1"/>
        <w:spacing w:after="120" w:before="240"/>
      </w:pPr>
      <w:r>
        <w:t xml:space="preserve">9. Intellectual Property and Defensibility Posture</w:t>
      </w:r>
    </w:p>
    <w:p>
      <w:pPr>
        <w:spacing w:after="160"/>
      </w:pPr>
      <w:r>
        <w:t xml:space="preserve">PIMRI is documented here as a </w:t>
      </w:r>
      <w:r>
        <w:rPr>
          <w:b/>
          <w:bCs/>
        </w:rPr>
        <w:t xml:space="preserve">proprietary, trade-secret methodology</w:t>
      </w:r>
      <w:r>
        <w:t xml:space="preserve"> — named, versioned, and specified precisely enough to be defensible as original work product authored by Nishant Prabhakar. This section states plainly what that posture does and does not mean, and should be read alongside any formal IP opinion rather than in place of one.</w:t>
      </w:r>
    </w:p>
    <w:p>
      <w:pPr>
        <w:pStyle w:val="Heading2"/>
        <w:spacing w:after="120" w:before="240"/>
      </w:pPr>
      <w:r>
        <w:t xml:space="preserve">9.1 Trade secret protection</w:t>
      </w:r>
    </w:p>
    <w:p>
      <w:pPr>
        <w:spacing w:after="160"/>
      </w:pPr>
      <w:r>
        <w:t xml:space="preserve">Trade secret protection applies now, automatically, simply by the methodology being original, non-public, and treated as confidential. That is the primary protection this document, and the underlying specification and reference implementation, are written to support. The specificity of the specification is itself part of what makes that protection meaningful in practice: every weight, anchor point, and formula in Sections 3–6 is a concrete, non-obvious design choice (the 6.5% GDP trend anchor, the tent-shaped CPI curve peaking at 4%, the 25-points-per-percentage-point fiscal overshoot penalty, and so on) rather than a generic restatement of publicly known macro relationships.</w:t>
      </w:r>
    </w:p>
    <w:p>
      <w:pPr>
        <w:pStyle w:val="Heading2"/>
        <w:spacing w:after="120" w:before="240"/>
      </w:pPr>
      <w:r>
        <w:t xml:space="preserve">9.2 Patent eligibility — a separate, harder question</w:t>
      </w:r>
    </w:p>
    <w:p>
      <w:pPr>
        <w:spacing w:after="160"/>
      </w:pPr>
      <w:r>
        <w:t xml:space="preserve">Patent eligibility is a separate and materially harder question from trade secret protection, and this document takes no position that PIMRI, as currently specified, clears that bar. In the United States, abstract algorithms and pure business methods generally fail patent-eligibility review under the *Alice*/*Mayo* framework unless the claim ties the scoring method to a specific technical improvement — for example, a particular system architecture or a measurable efficiency gain in how the computation itself runs, not merely "a new way to weight financial or economic ratios." PIMRI, as written, is a pure scoring-and-classification methodology applied to macroeconomic inputs: it computes weighted sub-scores from named formulas and maps the result to a regime label and a tilt. That is squarely the kind of claim the *Alice*/*Mayo* framework tends to treat as an abstract idea rather than a patent-eligible technical process, absent a claim drafted around a specific technical implementation detail rather than the scoring logic itself.</w:t>
      </w:r>
    </w:p>
    <w:p>
      <w:pPr>
        <w:spacing w:after="160"/>
      </w:pPr>
      <w:r>
        <w:t xml:space="preserve">PIMRI is therefore, honestly, more naturally a trade-secret asset than a patent candidate as currently written. This mirrors the general position taken across the wider methodology library it belongs to: pure scoring/classification models are more naturally trade secrets, while a concrete computational method with a measurable physical or operational output (for example, a route-planning heuristic) sits closer to the kind of technical process that has cleared the eligibility bar before. "Patentable" language anywhere in this family of documents means "specified with enough novelty and precision to be a serious patent-counsel conversation," not "patented" or "guaranteed patentable." Actually obtaining a patent — if pursued — requires filing, examination, and often narrowing claims to survive prior-art and eligibility challenges; a patent attorney should be engaged before any commercial reliance is placed on patent protection for this methodology.</w:t>
      </w:r>
    </w:p>
    <w:p>
      <w:pPr>
        <w:pStyle w:val="Heading2"/>
        <w:spacing w:after="120" w:before="240"/>
      </w:pPr>
      <w:r>
        <w:t xml:space="preserve">9.3 Specificity, versioning, and reproducibility as defensibility factors</w:t>
      </w:r>
    </w:p>
    <w:p>
      <w:pPr>
        <w:spacing w:after="160"/>
      </w:pPr>
      <w:r>
        <w:t xml:space="preserve">Independent of the trade-secret/patent distinction, three properties of this methodology are directly relevant to how defensible it is as an asset, and to how a reviewer should weigh it in diligence:</w:t>
      </w:r>
    </w:p>
    <w:p>
      <w:pPr>
        <w:pStyle w:val="ListParagraph"/>
        <w:numPr>
          <w:ilvl w:val="0"/>
          <w:numId w:val="1"/>
        </w:numPr>
        <w:spacing w:after="60"/>
      </w:pPr>
      <w:r>
        <w:rPr>
          <w:b/>
          <w:bCs/>
        </w:rPr>
        <w:t xml:space="preserve">Specificity.</w:t>
      </w:r>
      <w:r>
        <w:t xml:space="preserve"> Every sub-score in Section 4 traces to a concrete formula against a named, sourced input — not a vague description of "considering growth and inflation." This level of specificity is what makes the trade-secret claim substantive rather than nominal, and is also the baseline any future patent claim would need to build on.</w:t>
      </w:r>
    </w:p>
    <w:p>
      <w:pPr>
        <w:pStyle w:val="ListParagraph"/>
        <w:numPr>
          <w:ilvl w:val="0"/>
          <w:numId w:val="1"/>
        </w:numPr>
        <w:spacing w:after="60"/>
      </w:pPr>
      <w:r>
        <w:rPr>
          <w:b/>
          <w:bCs/>
        </w:rPr>
        <w:t xml:space="preserve">Versioning.</w:t>
      </w:r>
      <w:r>
        <w:t xml:space="preserve"> The specification is explicitly versioned (Section 11) with the stated rule that any change to a weight, formula, or anchor value is a version bump with a changelog entry, not a silent tweak. This matters for defensibility because it creates a documented, dated record of the methodology's evolution — evidence of authorship, origination date, and deliberate (not accidental or copied) design choices.</w:t>
      </w:r>
    </w:p>
    <w:p>
      <w:pPr>
        <w:pStyle w:val="ListParagraph"/>
        <w:numPr>
          <w:ilvl w:val="0"/>
          <w:numId w:val="1"/>
        </w:numPr>
        <w:spacing w:after="60"/>
      </w:pPr>
      <w:r>
        <w:rPr>
          <w:b/>
          <w:bCs/>
        </w:rPr>
        <w:t xml:space="preserve">Reproducibility.</w:t>
      </w:r>
      <w:r>
        <w:t xml:space="preserve"> The methodology is paired with a literal, runnable reference implementation (`scripts/score.js`) that a reviewer can execute independently against the worked example in Section 7 and obtain the identical numbers. A methodology that can be run and checked, rather than merely described, is materially stronger evidence of a genuine, functioning asset than a narrative description alone.</w:t>
      </w:r>
    </w:p>
    <w:p>
      <w:pPr>
        <w:spacing w:after="160"/>
      </w:pPr>
      <w:r>
        <w:rPr>
          <w:b/>
          <w:bCs/>
        </w:rPr>
        <w:t xml:space="preserve">This is not investment advice, and PIMRI is not a guaranteed forecasting model.</w:t>
      </w:r>
      <w:r>
        <w:t xml:space="preserve"> It reflects one proprietary analytical framework for classifying macro conditions, built on documented, auditable formulas — not a validated predictive system with any claimed or implied forecasting track record. Any reader evaluating this asset for valuation, licensing, or diligence purposes should treat it accordingly: as a specified, reproducible piece of analytical methodology, not as a promise about future market or economic outcomes.</w:t>
      </w:r>
    </w:p>
    <w:p>
      <w:pPr>
        <w:pStyle w:val="Heading1"/>
        <w:spacing w:after="120" w:before="240"/>
      </w:pPr>
      <w:r>
        <w:t xml:space="preserve">10. Known Limitations</w:t>
      </w:r>
    </w:p>
    <w:p>
      <w:pPr>
        <w:spacing w:after="160"/>
      </w:pPr>
      <w:r>
        <w:t xml:space="preserve">The following limitations are transcribed faithfully from the authoritative specification and are not softened here. A defensibility assessment of this methodology should weigh these directly rather than treat the composite score as free of caveats.</w:t>
      </w:r>
    </w:p>
    <w:p>
      <w:pPr>
        <w:pStyle w:val="ListParagraph"/>
        <w:numPr>
          <w:ilvl w:val="0"/>
          <w:numId w:val="1"/>
        </w:numPr>
        <w:spacing w:after="60"/>
      </w:pPr>
      <w:r>
        <w:rPr>
          <w:b/>
          <w:bCs/>
        </w:rPr>
        <w:t xml:space="preserve">Official growth data is noisy and gets revised.</w:t>
      </w:r>
      <w:r>
        <w:t xml:space="preserve"> India's GDP and IIP releases are routinely revised — sometimes materially — in subsequent quarters as more complete data comes in. An early PIMRI read on a fresh GDP print is directionally useful but should be treated as provisional until at least the first revision.</w:t>
      </w:r>
    </w:p>
    <w:p>
      <w:pPr>
        <w:pStyle w:val="ListParagraph"/>
        <w:numPr>
          <w:ilvl w:val="0"/>
          <w:numId w:val="1"/>
        </w:numPr>
        <w:spacing w:after="60"/>
      </w:pPr>
      <w:r>
        <w:rPr>
          <w:b/>
          <w:bCs/>
        </w:rPr>
        <w:t xml:space="preserve">Monsoon and agricultural-output shocks aren't captured.</w:t>
      </w:r>
      <w:r>
        <w:t xml:space="preserve"> No pillar directly measures rainfall, kharif/rabi sowing, or agri-output, yet a poor monsoon materially affects rural demand and food inflation (which feeds back into P2's CPI reading) with a lag the composite doesn't isolate. A below-normal monsoon should be treated as a qualitative overlay on top of the score, not something the pillars already priced in.</w:t>
      </w:r>
    </w:p>
    <w:p>
      <w:pPr>
        <w:pStyle w:val="ListParagraph"/>
        <w:numPr>
          <w:ilvl w:val="0"/>
          <w:numId w:val="1"/>
        </w:numPr>
        <w:spacing w:after="60"/>
      </w:pPr>
      <w:r>
        <w:rPr>
          <w:b/>
          <w:bCs/>
        </w:rPr>
        <w:t xml:space="preserve">State-level heterogeneity is averaged away.</w:t>
      </w:r>
      <w:r>
        <w:t xml:space="preserve"> A national composite can read "Moderate Growth" while masking a state or region in outright contraction (or the reverse). For regionally concentrated exposure, the national PIMRI alone should not be relied upon.</w:t>
      </w:r>
    </w:p>
    <w:p>
      <w:pPr>
        <w:pStyle w:val="ListParagraph"/>
        <w:numPr>
          <w:ilvl w:val="0"/>
          <w:numId w:val="1"/>
        </w:numPr>
        <w:spacing w:after="60"/>
      </w:pPr>
      <w:r>
        <w:rPr>
          <w:b/>
          <w:bCs/>
        </w:rPr>
        <w:t xml:space="preserve">Global risk-off contagion can override domestic fundamentals in the short run.</w:t>
      </w:r>
      <w:r>
        <w:t xml:space="preserve"> P6 (capital flows) and P3's INR-volatility sub-component can move sharply on global events — a Fed repricing, a regional crisis, a broad emerging-market sell-off — that have nothing to do with India's own fundamentals. A weak P6/P3 print during a global risk-off episode is a liquidity/sentiment signal, not necessarily a domestic-fundamentals one, and should be reported as such rather than read as an India-specific downgrade.</w:t>
      </w:r>
    </w:p>
    <w:p>
      <w:pPr>
        <w:pStyle w:val="ListParagraph"/>
        <w:numPr>
          <w:ilvl w:val="0"/>
          <w:numId w:val="1"/>
        </w:numPr>
        <w:spacing w:after="60"/>
      </w:pPr>
      <w:r>
        <w:rPr>
          <w:b/>
          <w:bCs/>
        </w:rPr>
        <w:t xml:space="preserve">Release-calendar misalignment.</w:t>
      </w:r>
      <w:r>
        <w:t xml:space="preserve"> PMI is monthly and near-real-time; CPI and IIP lag by roughly a month; GDP lags by about two months and arrives quarterly. A single PIMRI read blends indicators of different vintages, which can make the composite look more current than its slowest-moving input actually is.</w:t>
      </w:r>
    </w:p>
    <w:p>
      <w:pPr>
        <w:pStyle w:val="Heading1"/>
        <w:spacing w:after="120" w:before="240"/>
      </w:pPr>
      <w:r>
        <w:t xml:space="preserve">11. Versioning and Change Control</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Version</w:t>
            </w:r>
          </w:p>
        </w:tc>
        <w:tc>
          <w:tcPr>
            <w:shd w:fill="1B2A4A" w:val="solid"/>
          </w:tcPr>
          <w:p>
            <w:r>
              <w:rPr>
                <w:b/>
                <w:bCs/>
                <w:color w:val="FFFFFF"/>
              </w:rPr>
              <w:t xml:space="preserve">Date</w:t>
            </w:r>
          </w:p>
        </w:tc>
        <w:tc>
          <w:tcPr>
            <w:shd w:fill="1B2A4A" w:val="solid"/>
          </w:tcPr>
          <w:p>
            <w:r>
              <w:rPr>
                <w:b/>
                <w:bCs/>
                <w:color w:val="FFFFFF"/>
              </w:rPr>
              <w:t xml:space="preserve">Change</w:t>
            </w:r>
          </w:p>
        </w:tc>
      </w:tr>
      <w:tr>
        <w:tc>
          <w:p>
            <w:r>
              <w:t xml:space="preserve">1.0</w:t>
            </w:r>
          </w:p>
        </w:tc>
        <w:tc>
          <w:p>
            <w:r>
              <w:t xml:space="preserve">2026-08-10</w:t>
            </w:r>
          </w:p>
        </w:tc>
        <w:tc>
          <w:p>
            <w:r>
              <w:t xml:space="preserve">Initial specification and reference implementation</w:t>
            </w:r>
          </w:p>
        </w:tc>
      </w:tr>
    </w:tbl>
    <w:p>
      <w:pPr>
        <w:spacing w:after="160"/>
      </w:pPr>
      <w:r>
        <w:t xml:space="preserve">Any change to a weight, formula, or anchor value is a version bump with an entry in this table — the whole point of a proprietary, named index is that "PIMRI 84" means the same thing every time it is quoted. Silent tuning defeats that purpose entirely, and is treated in this methodology's own design principles as a discipline failure, not a minor process gap.</w:t>
      </w:r>
    </w:p>
    <w:p>
      <w:pPr>
        <w:pStyle w:val="Heading1"/>
        <w:spacing w:after="120" w:before="240"/>
      </w:pPr>
      <w:r>
        <w:t xml:space="preserve">12. Reference Implementation</w:t>
      </w:r>
    </w:p>
    <w:p>
      <w:pPr>
        <w:spacing w:after="160"/>
      </w:pPr>
      <w:r>
        <w:t xml:space="preserve">The methodology is paired with `scripts/score.js`, a literal, runnable implementation of every formula documented in Section 4 of this specification. It is not a simplified illustration or a separate approximation of the methodology — it is the methodology, expressed as executable code, and the authoritative specification states explicitly that if the two documents ever disagree, the specification is correct and the script has a bug, not the reverse.</w:t>
      </w:r>
    </w:p>
    <w:p>
      <w:pPr>
        <w:spacing w:after="160"/>
      </w:pPr>
      <w:r>
        <w:t xml:space="preserve">For a valuation, licensing, or IP-diligence review, this reproducibility is itself relevant evidence, separate from the intellectual content of the formulas. A methodology that exists only as prose description invites the question of whether it can actually be run consistently by someone other than its author. A methodology paired with a deterministic, executable reference implementation — one that reproduces the exact worked example in Section 7 when run against the supplied `scripts/example-input.json` — answers that question directly: it is a genuine, functioning analytical asset, not merely a description of one.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lvl w:ilvl="2" w15:tentative="1">
      <w:start w:val="1"/>
      <w:numFmt w:val="lowerRoman"/>
      <w:lvlText w:val="%3."/>
      <w:lvlJc w:val="start"/>
    </w:lvl>
    <w:lvl w:ilvl="3" w15:tentative="1">
      <w:start w:val="1"/>
      <w:numFmt w:val="decimal"/>
      <w:lvlText w:val="%4."/>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21B30"/>
      <w:sz w:val="32"/>
      <w:szCs w:val="32"/>
    </w:rPr>
  </w:style>
  <w:style w:type="paragraph" w:styleId="Heading2">
    <w:name w:val="Heading 2"/>
    <w:basedOn w:val="Normal"/>
    <w:next w:val="Normal"/>
    <w:qFormat/>
    <w:rPr>
      <w:b/>
      <w:bCs/>
      <w:color w:val="121B30"/>
      <w:sz w:val="28"/>
      <w:szCs w:val="28"/>
    </w:rPr>
  </w:style>
  <w:style w:type="paragraph" w:styleId="Heading3">
    <w:name w:val="Heading 3"/>
    <w:basedOn w:val="Normal"/>
    <w:next w:val="Normal"/>
    <w:qFormat/>
    <w:rPr>
      <w:b/>
      <w:bCs/>
      <w:color w:val="121B3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2026-08-10T15:58:14.069Z</dcterms:created>
  <dcterms:modified xsi:type="dcterms:W3CDTF">2026-08-10T15:58:14.071Z</dcterms:modified>
</cp:coreProperties>
</file>

<file path=docProps/custom.xml><?xml version="1.0" encoding="utf-8"?>
<Properties xmlns="http://schemas.openxmlformats.org/officeDocument/2006/custom-properties" xmlns:vt="http://schemas.openxmlformats.org/officeDocument/2006/docPropsVTypes"/>
</file>