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Nishant Asset Viability Score (NAVS)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 It is not an offer, an investment recommendation, or legal, medical, or regulatory advice.</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w:t>
      </w:r>
      <w:r>
        <w:rPr>
          <w:b/>
          <w:bCs/>
        </w:rPr>
        <w:t xml:space="preserve">Nishant Asset Viability Score (NAVS)</w:t>
      </w:r>
      <w:r>
        <w:t xml:space="preserve"> is a proprietary, six-pillar weighted scoring methodology developed by Nishant Prabhakar for screening and prioritizing drug discovery and pharmaceutical pipeline assets. It converts the heterogeneous evidence package around a clinical or preclinical program — trial readouts, safety data, mechanistic rationale, competitive intelligence, and regulatory/IP status — into a single comparable number (0–100), a named tier, and an explicit confidence rating, so that a portfolio of assets at different stages and in different indications can be ranked and discussed against one consistent standard.</w:t>
      </w:r>
    </w:p>
    <w:p>
      <w:pPr>
        <w:spacing w:after="160"/>
      </w:pPr>
      <w:r>
        <w:t xml:space="preserve">NAVS exists to solve a specific, recurring problem in pipeline management: the same asset, reviewed by two different scientists or portfolio managers, tends to produce two different "vibes" — promising, concerning, worth watching — without a reproducible account of *why*. NAVS forces the same six questions to be answered, in the same way, against named formulas and named inputs, every time. The result is not a replacement for clinical judgment, biostatistics, or regulatory review — it is a triage layer that tells a reviewer which pillar is driving a given score, so the conversation becomes "the Phase 2 competitive density is the drag, not the biology" rather than an unstructured impression.</w:t>
      </w:r>
    </w:p>
    <w:p>
      <w:pPr>
        <w:spacing w:after="160"/>
      </w:pPr>
      <w:r>
        <w:rPr>
          <w:b/>
          <w:bCs/>
        </w:rPr>
        <w:t xml:space="preserve">Novelty claim.</w:t>
      </w:r>
      <w:r>
        <w:t xml:space="preserve"> NAVS's contribution is not any single input — probability-of-success base rates by clinical stage, statistical-significance screening, and relative safety benchmarking are all individually familiar to anyone in pharma portfolio management. The novelty lies in the specific, named, and versioned combination: the exact pillar weights (25/20/15/15/15/10), the evidence-quality gate that caps efficacy scores from uncontrolled or non-significant studies at 50 regardless of raw effect size, the non-monotonic population-size curve in the commercial pillar, the baseline-and-modify structure of the regulatory/IP pillar, and the completeness-based confidence framework that degrades rather than guesses when data is missing. Taken together, these choices constitute a specific, reproducible, checkable methodology — the kind of asset that is ordinarily evaluated as a trade secret rather than as public know-how.</w:t>
      </w:r>
    </w:p>
    <w:p>
      <w:pPr>
        <w:pStyle w:val="Heading1"/>
        <w:spacing w:after="120" w:before="240"/>
      </w:pPr>
      <w:r>
        <w:t xml:space="preserve">2. Purpose and Positioning</w:t>
      </w:r>
    </w:p>
    <w:p>
      <w:pPr>
        <w:pStyle w:val="Heading2"/>
        <w:spacing w:after="120" w:before="240"/>
      </w:pPr>
      <w:r>
        <w:t xml:space="preserve">1. Purpose and positioning</w:t>
      </w:r>
    </w:p>
    <w:p>
      <w:pPr>
        <w:spacing w:after="160"/>
      </w:pPr>
      <w:r>
        <w:t xml:space="preserve">The NAVS is a </w:t>
      </w:r>
      <w:r>
        <w:rPr>
          <w:b/>
          <w:bCs/>
        </w:rPr>
        <w:t xml:space="preserve">screening and prioritization tool</w:t>
      </w:r>
      <w:r>
        <w:t xml:space="preserve">, not a substitute for full clinical or regulatory diligence. It exists to do three things quickly and consistently across a pipeline:</w:t>
      </w:r>
    </w:p>
    <w:p>
      <w:pPr>
        <w:pStyle w:val="ListParagraph"/>
        <w:numPr>
          <w:ilvl w:val="0"/>
          <w:numId w:val="2"/>
        </w:numPr>
        <w:spacing w:after="60"/>
      </w:pPr>
      <w:r>
        <w:t xml:space="preserve">Convert a messy pile of trial readouts, competitive intelligence, and regulatory status into one comparable number for ranking assets against each other.</w:t>
      </w:r>
    </w:p>
    <w:p>
      <w:pPr>
        <w:pStyle w:val="ListParagraph"/>
        <w:numPr>
          <w:ilvl w:val="0"/>
          <w:numId w:val="2"/>
        </w:numPr>
        <w:spacing w:after="60"/>
      </w:pPr>
      <w:r>
        <w:t xml:space="preserve">Force the same six questions to get answered for every asset, in the same way, so two reviewers scoring the same program land on the same number (±5 points).</w:t>
      </w:r>
    </w:p>
    <w:p>
      <w:pPr>
        <w:pStyle w:val="ListParagraph"/>
        <w:numPr>
          <w:ilvl w:val="0"/>
          <w:numId w:val="2"/>
        </w:numPr>
        <w:spacing w:after="60"/>
      </w:pPr>
      <w:r>
        <w:t xml:space="preserve">Surface *which specific pillar* is weak, not just a vibe of "promising" — so the portfolio conversation is "the Phase 2 competitive density is the drag, not the biology" instead of "I like it."</w:t>
      </w:r>
    </w:p>
    <w:p>
      <w:pPr>
        <w:spacing w:after="160"/>
      </w:pPr>
      <w:r>
        <w:t xml:space="preserve">It is deliberately </w:t>
      </w:r>
      <w:r>
        <w:rPr>
          <w:b/>
          <w:bCs/>
        </w:rPr>
        <w:t xml:space="preserve">not</w:t>
      </w:r>
      <w:r>
        <w:t xml:space="preserve"> a black box: every sub-score is a named, auditable formula against a named input. If an input is unknown, the algorithm says so and degrades its confidence rating rather than guessing silently.</w:t>
      </w:r>
    </w:p>
    <w:p>
      <w:pPr>
        <w:spacing w:after="160"/>
      </w:pPr>
      <w:r>
        <w:rPr>
          <w:b/>
          <w:bCs/>
        </w:rPr>
        <w:t xml:space="preserve">What the NAVS is not</w:t>
      </w:r>
      <w:r>
        <w:t xml:space="preserve">: it is not a substitute for full clinical or regulatory diligence, not a clinical trial design tool, and not a probability-of-technical-and-regulatory-success (PTRS) model calibrated to a specific therapeutic area's real transition data — it uses aggregate cross-industry base rates (§4, P1 below) as a starting anchor, not a bespoke forecast. It scores the *asset's current evidence package*, not the trial that should be run next. Run real biostatistics, a formal PTRS model, and outside medical/regulatory review in parallel — the NAVS tells you which assets are worth spending that review budget on first.</w:t>
      </w:r>
    </w:p>
    <w:p>
      <w:pPr>
        <w:spacing w:after="160"/>
      </w:pPr>
      <w:r>
        <w:t xml:space="preserve">Named in the tradition of other analyst-attributed scoring models (the Altman Z-Score, the Piotroski F-Score) — the point of putting a name on a model is that the name becomes shorthand for a specific, checkable methodology, not a vibe. "NAVS 64" should mean the same thing regardless of who's asking or who's answering.</w:t>
      </w:r>
    </w:p>
    <w:p>
      <w:pPr>
        <w:pStyle w:val="Heading1"/>
        <w:spacing w:after="120" w:before="240"/>
      </w:pPr>
      <w:r>
        <w:t xml:space="preserve">3. Methodology at a Glance</w:t>
      </w:r>
    </w:p>
    <w:p>
      <w:pPr>
        <w:pStyle w:val="Heading2"/>
        <w:spacing w:after="120" w:before="240"/>
      </w:pPr>
      <w:r>
        <w:t xml:space="preserve">2. Structure at a glance</w:t>
      </w:r>
    </w:p>
    <w:p>
      <w:pPr>
        <w:spacing w:after="160"/>
      </w:pPr>
      <w:r>
        <w:t xml:space="preserve">Six weighted pillars, each scored 0–100, rolled into one composite: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Clinical Stage &amp; Historical Probability of Success</w:t>
            </w:r>
          </w:p>
        </w:tc>
        <w:tc>
          <w:p>
            <w:r>
              <w:t xml:space="preserve">25%</w:t>
            </w:r>
          </w:p>
        </w:tc>
        <w:tc>
          <w:p>
            <w:r>
              <w:t xml:space="preserve">How far along is it, and does the modality itself carry extra risk or precedent?</w:t>
            </w:r>
          </w:p>
        </w:tc>
      </w:tr>
      <w:tr>
        <w:tc>
          <w:tcPr>
            <w:shd w:fill="F3F4F6" w:val="solid"/>
          </w:tcPr>
          <w:p>
            <w:r>
              <w:t xml:space="preserve">P2. Efficacy Signal Strength</w:t>
            </w:r>
          </w:p>
        </w:tc>
        <w:tc>
          <w:tcPr>
            <w:shd w:fill="F3F4F6" w:val="solid"/>
          </w:tcPr>
          <w:p>
            <w:r>
              <w:t xml:space="preserve">20%</w:t>
            </w:r>
          </w:p>
        </w:tc>
        <w:tc>
          <w:tcPr>
            <w:shd w:fill="F3F4F6" w:val="solid"/>
          </w:tcPr>
          <w:p>
            <w:r>
              <w:t xml:space="preserve">Is the effect real, or just a big number from a small, uncontrolled study?</w:t>
            </w:r>
          </w:p>
        </w:tc>
      </w:tr>
      <w:tr>
        <w:tc>
          <w:p>
            <w:r>
              <w:t xml:space="preserve">P3. Safety &amp; Tolerability</w:t>
            </w:r>
          </w:p>
        </w:tc>
        <w:tc>
          <w:p>
            <w:r>
              <w:t xml:space="preserve">15%</w:t>
            </w:r>
          </w:p>
        </w:tc>
        <w:tc>
          <w:p>
            <w:r>
              <w:t xml:space="preserve">Is the therapeutic window competitive with what's already approved?</w:t>
            </w:r>
          </w:p>
        </w:tc>
      </w:tr>
      <w:tr>
        <w:tc>
          <w:tcPr>
            <w:shd w:fill="F3F4F6" w:val="solid"/>
          </w:tcPr>
          <w:p>
            <w:r>
              <w:t xml:space="preserve">P4. Target / Mechanism Validation</w:t>
            </w:r>
          </w:p>
        </w:tc>
        <w:tc>
          <w:tcPr>
            <w:shd w:fill="F3F4F6" w:val="solid"/>
          </w:tcPr>
          <w:p>
            <w:r>
              <w:t xml:space="preserve">15%</w:t>
            </w:r>
          </w:p>
        </w:tc>
        <w:tc>
          <w:tcPr>
            <w:shd w:fill="F3F4F6" w:val="solid"/>
          </w:tcPr>
          <w:p>
            <w:r>
              <w:t xml:space="preserve">Is the biology proven, or still a hypothesis?</w:t>
            </w:r>
          </w:p>
        </w:tc>
      </w:tr>
      <w:tr>
        <w:tc>
          <w:p>
            <w:r>
              <w:t xml:space="preserve">P5. Competitive &amp; Commercial Position</w:t>
            </w:r>
          </w:p>
        </w:tc>
        <w:tc>
          <w:p>
            <w:r>
              <w:t xml:space="preserve">15%</w:t>
            </w:r>
          </w:p>
        </w:tc>
        <w:tc>
          <w:p>
            <w:r>
              <w:t xml:space="preserve">Will this asset matter commercially by the time it could launch?</w:t>
            </w:r>
          </w:p>
        </w:tc>
      </w:tr>
      <w:tr>
        <w:tc>
          <w:tcPr>
            <w:shd w:fill="F3F4F6" w:val="solid"/>
          </w:tcPr>
          <w:p>
            <w:r>
              <w:t xml:space="preserve">P6. Regulatory &amp; IP Risk</w:t>
            </w:r>
          </w:p>
        </w:tc>
        <w:tc>
          <w:tcPr>
            <w:shd w:fill="F3F4F6" w:val="solid"/>
          </w:tcPr>
          <w:p>
            <w:r>
              <w:t xml:space="preserve">10%</w:t>
            </w:r>
          </w:p>
        </w:tc>
        <w:tc>
          <w:tcPr>
            <w:shd w:fill="F3F4F6" w:val="solid"/>
          </w:tcPr>
          <w:p>
            <w:r>
              <w:t xml:space="preserve">What could take the exclusivity or the pathway away?</w:t>
            </w:r>
          </w:p>
        </w:tc>
      </w:tr>
    </w:tbl>
    <w:p>
      <w:pPr>
        <w:spacing w:after="160"/>
      </w:pPr>
      <w:r>
        <w:rPr>
          <w:b/>
          <w:bCs/>
        </w:rPr>
        <w:t xml:space="preserve">Composite formula:</w:t>
      </w:r>
    </w:p>
    <w:p>
      <w:pPr>
        <w:spacing w:after="160"/>
        <w:jc w:val="center"/>
      </w:pPr>
      <w:r>
        <w:t xml:space="preserve">NAVS = 0.25·P1 + 0.20·P2 + 0.15·P3 + 0.15·P4 + 0.15·P5 + 0.10·P6</w:t>
      </w:r>
    </w:p>
    <w:p>
      <w:pPr>
        <w:spacing w:after="160"/>
      </w:pPr>
      <w:r>
        <w:rPr>
          <w:b/>
          <w:bCs/>
        </w:rPr>
        <w:t xml:space="preserve">Weighting rationale</w:t>
      </w:r>
      <w:r>
        <w:t xml:space="preserve">: P1 and P2 together are 45% of the score by design — stage-adjusted probability of success and the strength of the efficacy signal are the two variables with the most evidence behind them (they come from trial data, not from a slide), so they get the most weight. Safety, mechanism validation, and competitive position are real but each individually softer or more forward-looking, so they're weighted lower individually — though at 45% combined they still dominate the second half of the score, which is intentional: a clean mechanism, a tolerable safety profile, and a defensible commercial position are what turn a plausible Phase 2 readout into a launched, differentiated drug five years out. Regulatory/IP risk is weighted lowest (10%) because it is usually a modifier on an otherwise-good or otherwise-bad asset rather than the primary driver — but a bad enough IP problem can still sink an asset, which is why P6 includes a hard deduction, not just a small weight.</w:t>
      </w:r>
    </w:p>
    <w:p>
      <w:pPr>
        <w:pStyle w:val="Heading2"/>
        <w:spacing w:after="120" w:before="240"/>
      </w:pPr>
      <w:r>
        <w:t xml:space="preserve">3. Score bands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NAVS</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80–100</w:t>
            </w:r>
          </w:p>
        </w:tc>
        <w:tc>
          <w:p>
            <w:r>
              <w:t xml:space="preserve">Fast-track</w:t>
            </w:r>
          </w:p>
        </w:tc>
        <w:tc>
          <w:p>
            <w:r>
              <w:t xml:space="preserve">Prioritize resourcing; accelerate to next milestone</w:t>
            </w:r>
          </w:p>
        </w:tc>
      </w:tr>
      <w:tr>
        <w:tc>
          <w:tcPr>
            <w:shd w:fill="F3F4F6" w:val="solid"/>
          </w:tcPr>
          <w:p>
            <w:r>
              <w:t xml:space="preserve">65–79</w:t>
            </w:r>
          </w:p>
        </w:tc>
        <w:tc>
          <w:tcPr>
            <w:shd w:fill="F3F4F6" w:val="solid"/>
          </w:tcPr>
          <w:p>
            <w:r>
              <w:t xml:space="preserve">Advance</w:t>
            </w:r>
          </w:p>
        </w:tc>
        <w:tc>
          <w:tcPr>
            <w:shd w:fill="F3F4F6" w:val="solid"/>
          </w:tcPr>
          <w:p>
            <w:r>
              <w:t xml:space="preserve">Continue on current development plan</w:t>
            </w:r>
          </w:p>
        </w:tc>
      </w:tr>
      <w:tr>
        <w:tc>
          <w:p>
            <w:r>
              <w:t xml:space="preserve">50–64</w:t>
            </w:r>
          </w:p>
        </w:tc>
        <w:tc>
          <w:p>
            <w:r>
              <w:t xml:space="preserve">Monitor</w:t>
            </w:r>
          </w:p>
        </w:tc>
        <w:tc>
          <w:p>
            <w:r>
              <w:t xml:space="preserve">Continue, but flag the specific weak pillar for the next data readout to resolve</w:t>
            </w:r>
          </w:p>
        </w:tc>
      </w:tr>
      <w:tr>
        <w:tc>
          <w:tcPr>
            <w:shd w:fill="F3F4F6" w:val="solid"/>
          </w:tcPr>
          <w:p>
            <w:r>
              <w:t xml:space="preserve">35–49</w:t>
            </w:r>
          </w:p>
        </w:tc>
        <w:tc>
          <w:tcPr>
            <w:shd w:fill="F3F4F6" w:val="solid"/>
          </w:tcPr>
          <w:p>
            <w:r>
              <w:t xml:space="preserve">Deprioritize</w:t>
            </w:r>
          </w:p>
        </w:tc>
        <w:tc>
          <w:tcPr>
            <w:shd w:fill="F3F4F6" w:val="solid"/>
          </w:tcPr>
          <w:p>
            <w:r>
              <w:t xml:space="preserve">De-emphasize resourcing unless a specific pillar (usually P2 or P4) is expected to improve with pending data</w:t>
            </w:r>
          </w:p>
        </w:tc>
      </w:tr>
      <w:tr>
        <w:tc>
          <w:p>
            <w:r>
              <w:t xml:space="preserve">0–34</w:t>
            </w:r>
          </w:p>
        </w:tc>
        <w:tc>
          <w:p>
            <w:r>
              <w:t xml:space="preserve">Discontinue</w:t>
            </w:r>
          </w:p>
        </w:tc>
        <w:tc>
          <w:p>
            <w:r>
              <w:t xml:space="preserve">Recommend killing or out-licensing the program</w:t>
            </w:r>
          </w:p>
        </w:tc>
      </w:tr>
    </w:tbl>
    <w:p>
      <w:pPr>
        <w:spacing w:after="160"/>
      </w:pPr>
      <w:r>
        <w:t xml:space="preserve">These bands assume </w:t>
      </w:r>
      <w:r>
        <w:rPr>
          <w:b/>
          <w:bCs/>
        </w:rPr>
        <w:t xml:space="preserve">high confidence</w:t>
      </w:r>
      <w:r>
        <w:t xml:space="preserve"> inputs (see Section 6 below). Under low confidence, treat the tier as directional only and widen the band by ±10 points before acting on it.</w:t>
      </w:r>
    </w:p>
    <w:p>
      <w:pPr>
        <w:pStyle w:val="Heading1"/>
        <w:spacing w:after="120" w:before="240"/>
      </w:pPr>
      <w:r>
        <w:t xml:space="preserve">4. Detailed Pillar Formulas</w:t>
      </w:r>
    </w:p>
    <w:p>
      <w:pPr>
        <w:spacing w:after="160"/>
      </w:pPr>
      <w:r>
        <w:t xml:space="preserve">All sub-scores are clamped to [0, 100] after computation unless stated otherwise. clamp(x, lo, hi) = min(max(x, lo), hi). lerp = piecewise-linear interpolation between named anchor points.</w:t>
      </w:r>
    </w:p>
    <w:p>
      <w:pPr>
        <w:pStyle w:val="Heading2"/>
        <w:spacing w:after="120" w:before="240"/>
      </w:pPr>
      <w:r>
        <w:t xml:space="preserve">P1. Clinical Stage &amp; Historical Probability of Success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Sub-component</w:t>
            </w:r>
          </w:p>
        </w:tc>
        <w:tc>
          <w:tcPr>
            <w:shd w:fill="1B2A4A" w:val="solid"/>
          </w:tcPr>
          <w:p>
            <w:r>
              <w:rPr>
                <w:b/>
                <w:bCs/>
                <w:color w:val="FFFFFF"/>
              </w:rPr>
              <w:t xml:space="preserve">Role in P1</w:t>
            </w:r>
          </w:p>
        </w:tc>
        <w:tc>
          <w:tcPr>
            <w:shd w:fill="1B2A4A" w:val="solid"/>
          </w:tcPr>
          <w:p>
            <w:r>
              <w:rPr>
                <w:b/>
                <w:bCs/>
                <w:color w:val="FFFFFF"/>
              </w:rPr>
              <w:t xml:space="preserve">Formula</w:t>
            </w:r>
          </w:p>
        </w:tc>
      </w:tr>
      <w:tr>
        <w:tc>
          <w:p>
            <w:r>
              <w:t xml:space="preserve">a. Base stage score</w:t>
            </w:r>
          </w:p>
        </w:tc>
        <w:tc>
          <w:p>
            <w:r>
              <w:t xml:space="preserve">Primary driver</w:t>
            </w:r>
          </w:p>
        </w:tc>
        <w:tc>
          <w:p>
            <w:r>
              <w:t xml:space="preserve">Table lookup on current development stage (below)</w:t>
            </w:r>
          </w:p>
        </w:tc>
      </w:tr>
      <w:tr>
        <w:tc>
          <w:tcPr>
            <w:shd w:fill="F3F4F6" w:val="solid"/>
          </w:tcPr>
          <w:p>
            <w:r>
              <w:t xml:space="preserve">b. Modality adjustment</w:t>
            </w:r>
          </w:p>
        </w:tc>
        <w:tc>
          <w:tcPr>
            <w:shd w:fill="F3F4F6" w:val="solid"/>
          </w:tcPr>
          <w:p>
            <w:r>
              <w:t xml:space="preserve">Additive modifier</w:t>
            </w:r>
          </w:p>
        </w:tc>
        <w:tc>
          <w:tcPr>
            <w:shd w:fill="F3F4F6" w:val="solid"/>
          </w:tcPr>
          <w:p>
            <w:r>
              <w:t xml:space="preserve">+10 if well-precedented modality (small molecule, or a monoclonal antibody with an approved precedent in the same target class); −15 if a novel modality with no approved precedent (e.g. a novel gene-therapy vector, a first-in-class mechanism); 0 otherwise</w:t>
            </w:r>
          </w:p>
        </w:tc>
      </w:tr>
    </w:tbl>
    <w:p>
      <w:pPr>
        <w:spacing w:after="160"/>
      </w:pPr>
      <w:r>
        <w:t xml:space="preserve">Base stage scores are approximate industry-aggregate probability-of-success base rates by current stage (drawn from cross-industry phase-transition studies, e.g. BIO/QLS-style clinical development success-rate benchmarks) — they describe the historical average asset at that stage, </w:t>
      </w:r>
      <w:r>
        <w:rPr>
          <w:b/>
          <w:bCs/>
        </w:rPr>
        <w:t xml:space="preserve">not a claim about this specific asset's odds</w:t>
      </w:r>
      <w:r>
        <w:t xml:space="preserve">. Treat them as the starting prior that P2–P6 should update, not the final word: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Stage</w:t>
            </w:r>
          </w:p>
        </w:tc>
        <w:tc>
          <w:tcPr>
            <w:shd w:fill="1B2A4A" w:val="solid"/>
          </w:tcPr>
          <w:p>
            <w:r>
              <w:rPr>
                <w:b/>
                <w:bCs/>
                <w:color w:val="FFFFFF"/>
              </w:rPr>
              <w:t xml:space="preserve">Base score</w:t>
            </w:r>
          </w:p>
        </w:tc>
      </w:tr>
      <w:tr>
        <w:tc>
          <w:p>
            <w:r>
              <w:t xml:space="preserve">Preclinical</w:t>
            </w:r>
          </w:p>
        </w:tc>
        <w:tc>
          <w:p>
            <w:r>
              <w:t xml:space="preserve">8</w:t>
            </w:r>
          </w:p>
        </w:tc>
      </w:tr>
      <w:tr>
        <w:tc>
          <w:tcPr>
            <w:shd w:fill="F3F4F6" w:val="solid"/>
          </w:tcPr>
          <w:p>
            <w:r>
              <w:t xml:space="preserve">Phase 1</w:t>
            </w:r>
          </w:p>
        </w:tc>
        <w:tc>
          <w:tcPr>
            <w:shd w:fill="F3F4F6" w:val="solid"/>
          </w:tcPr>
          <w:p>
            <w:r>
              <w:t xml:space="preserve">52</w:t>
            </w:r>
          </w:p>
        </w:tc>
      </w:tr>
      <w:tr>
        <w:tc>
          <w:p>
            <w:r>
              <w:t xml:space="preserve">Phase 2</w:t>
            </w:r>
          </w:p>
        </w:tc>
        <w:tc>
          <w:p>
            <w:r>
              <w:t xml:space="preserve">29</w:t>
            </w:r>
          </w:p>
        </w:tc>
      </w:tr>
      <w:tr>
        <w:tc>
          <w:tcPr>
            <w:shd w:fill="F3F4F6" w:val="solid"/>
          </w:tcPr>
          <w:p>
            <w:r>
              <w:t xml:space="preserve">Phase 3</w:t>
            </w:r>
          </w:p>
        </w:tc>
        <w:tc>
          <w:tcPr>
            <w:shd w:fill="F3F4F6" w:val="solid"/>
          </w:tcPr>
          <w:p>
            <w:r>
              <w:t xml:space="preserve">58</w:t>
            </w:r>
          </w:p>
        </w:tc>
      </w:tr>
      <w:tr>
        <w:tc>
          <w:p>
            <w:r>
              <w:t xml:space="preserve">Filed / NDA</w:t>
            </w:r>
          </w:p>
        </w:tc>
        <w:tc>
          <w:p>
            <w:r>
              <w:t xml:space="preserve">90</w:t>
            </w:r>
          </w:p>
        </w:tc>
      </w:tr>
    </w:tbl>
    <w:p>
      <w:pPr>
        <w:spacing w:after="160"/>
      </w:pPr>
      <w:r>
        <w:t xml:space="preserve">Phase 2 scoring lower than Phase 1 is not a typo: it reflects the well-known "Phase 2 graveyard" effect in aggregate industry data, where a disproportionate share of programs fail specifically at the efficacy-in-patients hurdle that Phase 2 exists to test — Phase 1 mostly just needs to clear a safety bar.</w:t>
      </w:r>
    </w:p>
    <w:p>
      <w:pPr>
        <w:spacing w:after="160"/>
        <w:jc w:val="center"/>
      </w:pPr>
      <w:r>
        <w:t xml:space="preserve">P1 = clamp(baseStageScore + modalityAdjustment, 0, 100)</w:t>
      </w:r>
    </w:p>
    <w:p>
      <w:pPr>
        <w:pStyle w:val="Heading2"/>
        <w:spacing w:after="120" w:before="240"/>
      </w:pPr>
      <w:r>
        <w:t xml:space="preserve">P2. Efficacy Signal Strength</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Sub-component</w:t>
            </w:r>
          </w:p>
        </w:tc>
        <w:tc>
          <w:tcPr>
            <w:shd w:fill="1B2A4A" w:val="solid"/>
          </w:tcPr>
          <w:p>
            <w:r>
              <w:rPr>
                <w:b/>
                <w:bCs/>
                <w:color w:val="FFFFFF"/>
              </w:rPr>
              <w:t xml:space="preserve">Role in P2</w:t>
            </w:r>
          </w:p>
        </w:tc>
        <w:tc>
          <w:tcPr>
            <w:shd w:fill="1B2A4A" w:val="solid"/>
          </w:tcPr>
          <w:p>
            <w:r>
              <w:rPr>
                <w:b/>
                <w:bCs/>
                <w:color w:val="FFFFFF"/>
              </w:rPr>
              <w:t xml:space="preserve">Formula</w:t>
            </w:r>
          </w:p>
        </w:tc>
      </w:tr>
      <w:tr>
        <w:tc>
          <w:p>
            <w:r>
              <w:t xml:space="preserve">a. Effect size vs. standard of care</w:t>
            </w:r>
          </w:p>
        </w:tc>
        <w:tc>
          <w:p>
            <w:r>
              <w:t xml:space="preserve">Primary driver</w:t>
            </w:r>
          </w:p>
        </w:tc>
        <w:tc>
          <w:p>
            <w:r>
              <w:t xml:space="preserve">lerp anchors on relative % improvement over SOC (e.g. % reduction implied by hazard ratio, or absolute response-rate delta as a % of the SOC rate): 0%→15, 15%→45, 35%→70, 60%→90, ≥90%→100</w:t>
            </w:r>
          </w:p>
        </w:tc>
      </w:tr>
      <w:tr>
        <w:tc>
          <w:tcPr>
            <w:shd w:fill="F3F4F6" w:val="solid"/>
          </w:tcPr>
          <w:p>
            <w:r>
              <w:t xml:space="preserve">b. Evidence-quality gate</w:t>
            </w:r>
          </w:p>
        </w:tc>
        <w:tc>
          <w:tcPr>
            <w:shd w:fill="F3F4F6" w:val="solid"/>
          </w:tcPr>
          <w:p>
            <w:r>
              <w:t xml:space="preserve">Overriding cap</w:t>
            </w:r>
          </w:p>
        </w:tc>
        <w:tc>
          <w:tcPr>
            <w:shd w:fill="F3F4F6" w:val="solid"/>
          </w:tcPr>
          <w:p>
            <w:r>
              <w:t xml:space="preserve">If the result is not statistically significant (p &gt; 0.05) or comes from an open-label / uncontrolled / single-arm design, cap the effective score at min(raw, 50) regardless of the raw effect size</w:t>
            </w:r>
          </w:p>
        </w:tc>
      </w:tr>
    </w:tbl>
    <w:p>
      <w:pPr>
        <w:spacing w:after="160"/>
        <w:jc w:val="center"/>
      </w:pPr>
      <w:r>
        <w:t xml:space="preserve">P2 = effectiveEffectSizeScore  (after the gate in (b) is applied)</w:t>
      </w:r>
    </w:p>
    <w:p>
      <w:pPr>
        <w:spacing w:after="160"/>
      </w:pPr>
      <w:r>
        <w:rPr>
          <w:b/>
          <w:bCs/>
        </w:rPr>
        <w:t xml:space="preserve">Why the gate exists</w:t>
      </w:r>
      <w:r>
        <w:t xml:space="preserve">: a large effect size from an uncontrolled or underpowered study is a promising anecdote, not evidence — capping at 50 keeps such a result in "worth funding the next study" territory without letting it read as equivalent to a confirmed, powered, controlled result. This mirrors the analogous hypergrowth guard used in the firm's private-equity screening algorithm (two data points isn't a trend; one open-label cohort isn't proof).</w:t>
      </w:r>
    </w:p>
    <w:p>
      <w:pPr>
        <w:pStyle w:val="Heading2"/>
        <w:spacing w:after="120" w:before="240"/>
      </w:pPr>
      <w:r>
        <w:t xml:space="preserve">P3. Safety &amp; Tolerability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Sub-component</w:t>
            </w:r>
          </w:p>
        </w:tc>
        <w:tc>
          <w:tcPr>
            <w:shd w:fill="1B2A4A" w:val="solid"/>
          </w:tcPr>
          <w:p>
            <w:r>
              <w:rPr>
                <w:b/>
                <w:bCs/>
                <w:color w:val="FFFFFF"/>
              </w:rPr>
              <w:t xml:space="preserve">Role in P3</w:t>
            </w:r>
          </w:p>
        </w:tc>
        <w:tc>
          <w:tcPr>
            <w:shd w:fill="1B2A4A" w:val="solid"/>
          </w:tcPr>
          <w:p>
            <w:r>
              <w:rPr>
                <w:b/>
                <w:bCs/>
                <w:color w:val="FFFFFF"/>
              </w:rPr>
              <w:t xml:space="preserve">Formula</w:t>
            </w:r>
          </w:p>
        </w:tc>
      </w:tr>
      <w:tr>
        <w:tc>
          <w:p>
            <w:r>
              <w:t xml:space="preserve">a. Relative Grade 3+ adverse-event rate</w:t>
            </w:r>
          </w:p>
        </w:tc>
        <w:tc>
          <w:p>
            <w:r>
              <w:t xml:space="preserve">Sole driver</w:t>
            </w:r>
          </w:p>
        </w:tc>
        <w:tc>
          <w:p>
            <w:r>
              <w:t xml:space="preserve">ratio = candidateGrade3PlusAEsPct / socGrade3PlusAEsPct; lerp on ratio: 0.25→95, 0.5→85, 0.75→70, 1.0→55, 1.5→30, ≥2.0→10</w:t>
            </w:r>
          </w:p>
        </w:tc>
      </w:tr>
    </w:tbl>
    <w:p>
      <w:pPr>
        <w:spacing w:after="160"/>
        <w:jc w:val="center"/>
      </w:pPr>
      <w:r>
        <w:t xml:space="preserve">P3 = lerp(ratio, anchors above)</w:t>
      </w:r>
    </w:p>
    <w:p>
      <w:pPr>
        <w:spacing w:after="160"/>
      </w:pPr>
      <w:r>
        <w:rPr>
          <w:b/>
          <w:bCs/>
        </w:rPr>
        <w:t xml:space="preserve">Why "same as SOC" (ratio = 1.0) scores 55, not near 100</w:t>
      </w:r>
      <w:r>
        <w:t xml:space="preserve">: matching the comparator's safety profile is *adequate*, not *differentiated* — it earns a passing-but-unremarkable score, the same design choice used elsewhere in this firm's algorithm library for "paying the sector median multiple." A meaningfully cleaner safety profile than the standard of care is what actually moves prescribing and payer behavior, so it's rewarded steeply; a worse profile is punished steeply, since tolerability is often the deciding factor once efficacy is roughly comparable across a drug class.</w:t>
      </w:r>
    </w:p>
    <w:p>
      <w:pPr>
        <w:pStyle w:val="Heading2"/>
        <w:spacing w:after="120" w:before="240"/>
      </w:pPr>
      <w:r>
        <w:t xml:space="preserve">P4. Target / Mechanism Validation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Sub-component</w:t>
            </w:r>
          </w:p>
        </w:tc>
        <w:tc>
          <w:tcPr>
            <w:shd w:fill="1B2A4A" w:val="solid"/>
          </w:tcPr>
          <w:p>
            <w:r>
              <w:rPr>
                <w:b/>
                <w:bCs/>
                <w:color w:val="FFFFFF"/>
              </w:rPr>
              <w:t xml:space="preserve">Role in P4</w:t>
            </w:r>
          </w:p>
        </w:tc>
        <w:tc>
          <w:tcPr>
            <w:shd w:fill="1B2A4A" w:val="solid"/>
          </w:tcPr>
          <w:p>
            <w:r>
              <w:rPr>
                <w:b/>
                <w:bCs/>
                <w:color w:val="FFFFFF"/>
              </w:rPr>
              <w:t xml:space="preserve">Formula</w:t>
            </w:r>
          </w:p>
        </w:tc>
      </w:tr>
      <w:tr>
        <w:tc>
          <w:p>
            <w:r>
              <w:t xml:space="preserve">a. Target/mechanism validation (1–5 rubric, see Section 5)</w:t>
            </w:r>
          </w:p>
        </w:tc>
        <w:tc>
          <w:p>
            <w:r>
              <w:t xml:space="preserve">Sole driver</w:t>
            </w:r>
          </w:p>
        </w:tc>
        <w:tc>
          <w:p>
            <w:r>
              <w:t xml:space="preserve">likertToScore(rubricValue)</w:t>
            </w:r>
          </w:p>
        </w:tc>
      </w:tr>
    </w:tbl>
    <w:p>
      <w:pPr>
        <w:spacing w:after="160"/>
        <w:jc w:val="center"/>
      </w:pPr>
      <w:r>
        <w:t xml:space="preserve">P4 = likertToScore(targetValidationRubric)</w:t>
      </w:r>
    </w:p>
    <w:p>
      <w:pPr>
        <w:pStyle w:val="Heading2"/>
        <w:spacing w:after="120" w:before="240"/>
      </w:pPr>
      <w:r>
        <w:t xml:space="preserve">P5. Competitive &amp; Commercial Position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Sub-component</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Competitive density</w:t>
            </w:r>
          </w:p>
        </w:tc>
        <w:tc>
          <w:p>
            <w:r>
              <w:t xml:space="preserve">40%</w:t>
            </w:r>
          </w:p>
        </w:tc>
        <w:tc>
          <w:p>
            <w:r>
              <w:t xml:space="preserve">Count of Phase 2-or-later competing programs sharing the same mechanism and same primary indication; lerp inverse: 0→100, 2→75, 5→50, 10→25, ≥15→10</w:t>
            </w:r>
          </w:p>
        </w:tc>
      </w:tr>
      <w:tr>
        <w:tc>
          <w:tcPr>
            <w:shd w:fill="F3F4F6" w:val="solid"/>
          </w:tcPr>
          <w:p>
            <w:r>
              <w:t xml:space="preserve">b. Population size × pricing power (joint)</w:t>
            </w:r>
          </w:p>
        </w:tc>
        <w:tc>
          <w:tcPr>
            <w:shd w:fill="F3F4F6" w:val="solid"/>
          </w:tcPr>
          <w:p>
            <w:r>
              <w:t xml:space="preserve">60%</w:t>
            </w:r>
          </w:p>
        </w:tc>
        <w:tc>
          <w:tcPr>
            <w:shd w:fill="F3F4F6" w:val="solid"/>
          </w:tcPr>
          <w:p>
            <w:r>
              <w:t xml:space="preserve">0.5 × marketSizeScore + 0.5 × pricingPowerScore (both below)</w:t>
            </w:r>
          </w:p>
        </w:tc>
      </w:tr>
    </w:tbl>
    <w:p>
      <w:pPr>
        <w:spacing w:after="160"/>
      </w:pPr>
      <w:r>
        <w:t xml:space="preserve">Market size score is </w:t>
      </w:r>
      <w:r>
        <w:rPr>
          <w:b/>
          <w:bCs/>
        </w:rPr>
        <w:t xml:space="preserve">not</w:t>
      </w:r>
      <w:r>
        <w:t xml:space="preserve"> monotonically increasing with population — it is lerp on addressable patient population: 5,000→60, 50,000→75, 500,000→90, ≥2,000,000→70. Pricing power score is likertToScore(pricingPowerRubric), a 1–5 rubric (see Section 5).</w:t>
      </w:r>
    </w:p>
    <w:p>
      <w:pPr>
        <w:spacing w:after="160"/>
        <w:jc w:val="center"/>
      </w:pPr>
      <w:r>
        <w:t xml:space="preserve">P5 = 0.40a + 0.60b</w:t>
      </w:r>
    </w:p>
    <w:p>
      <w:pPr>
        <w:spacing w:after="160"/>
      </w:pPr>
      <w:r>
        <w:rPr>
          <w:b/>
          <w:bCs/>
        </w:rPr>
        <w:t xml:space="preserve">Why population size is not "bigger is better"</w:t>
      </w:r>
      <w:r>
        <w:t xml:space="preserve">: a very large, primary-care scale indication (≥2M patients) typically comes with genericized comparators, heavy payer pushback, and price erosion — the curve peaks around 500,000 addressable patients and *declines* past 2,000,000 to reflect that dynamic. Pairing population size with pricing power in the same joint sub-score is what lets a small, orphan population with strong pricing power (rare disease, premium specialty pricing, faster regulatory pathway) score comparably to, or better than, a much larger population with weak, commodity-level pricing power. Neither dimension alone is the answer; Section 5 gives the pricing-power rubric anchors.</w:t>
      </w:r>
    </w:p>
    <w:p>
      <w:pPr>
        <w:pStyle w:val="Heading2"/>
        <w:spacing w:after="120" w:before="240"/>
      </w:pPr>
      <w:r>
        <w:t xml:space="preserve">P6. Regulatory &amp; IP Risk (baseline-and-modify)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Component</w:t>
            </w:r>
          </w:p>
        </w:tc>
        <w:tc>
          <w:tcPr>
            <w:shd w:fill="1B2A4A" w:val="solid"/>
          </w:tcPr>
          <w:p>
            <w:r>
              <w:rPr>
                <w:b/>
                <w:bCs/>
                <w:color w:val="FFFFFF"/>
              </w:rPr>
              <w:t xml:space="preserve">Effect</w:t>
            </w:r>
          </w:p>
        </w:tc>
      </w:tr>
      <w:tr>
        <w:tc>
          <w:p>
            <w:r>
              <w:t xml:space="preserve">Baseline</w:t>
            </w:r>
          </w:p>
        </w:tc>
        <w:tc>
          <w:p>
            <w:r>
              <w:t xml:space="preserve">60</w:t>
            </w:r>
          </w:p>
        </w:tc>
      </w:tr>
      <w:tr>
        <w:tc>
          <w:tcPr>
            <w:shd w:fill="F3F4F6" w:val="solid"/>
          </w:tcPr>
          <w:p>
            <w:r>
              <w:t xml:space="preserve">Regulatory designation bonus</w:t>
            </w:r>
          </w:p>
        </w:tc>
        <w:tc>
          <w:tcPr>
            <w:shd w:fill="F3F4F6" w:val="solid"/>
          </w:tcPr>
          <w:p>
            <w:r>
              <w:t xml:space="preserve">+10 per designation held (orphan drug, breakthrough therapy, fast track, accelerated approval pathway), cap total bonus at +30</w:t>
            </w:r>
          </w:p>
        </w:tc>
      </w:tr>
      <w:tr>
        <w:tc>
          <w:p>
            <w:r>
              <w:t xml:space="preserve">Patent runway modifier (years of exclusivity remaining post-expected-launch)</w:t>
            </w:r>
          </w:p>
        </w:tc>
        <w:tc>
          <w:p>
            <w:r>
              <w:t xml:space="preserve">&lt;5 years → −20; 5–10 years → 0; &gt;10 years → +10 (tiered step modifier — no interpolation within a band)</w:t>
            </w:r>
          </w:p>
        </w:tc>
      </w:tr>
      <w:tr>
        <w:tc>
          <w:tcPr>
            <w:shd w:fill="F3F4F6" w:val="solid"/>
          </w:tcPr>
          <w:p>
            <w:r>
              <w:t xml:space="preserve">Unresolved IP dispute or freedom-to-operate concern</w:t>
            </w:r>
          </w:p>
        </w:tc>
        <w:tc>
          <w:tcPr>
            <w:shd w:fill="F3F4F6" w:val="solid"/>
          </w:tcPr>
          <w:p>
            <w:r>
              <w:t xml:space="preserve">Hard −25 if present</w:t>
            </w:r>
          </w:p>
        </w:tc>
      </w:tr>
    </w:tbl>
    <w:p>
      <w:pPr>
        <w:spacing w:after="160"/>
        <w:jc w:val="center"/>
      </w:pPr>
      <w:r>
        <w:t xml:space="preserve">P6 = clamp(60 + designationBonus + patentModifier − ipPenalty, 0, 100)</w:t>
      </w:r>
    </w:p>
    <w:p>
      <w:pPr>
        <w:spacing w:after="160"/>
      </w:pPr>
      <w:r>
        <w:rPr>
          <w:b/>
          <w:bCs/>
        </w:rPr>
        <w:t xml:space="preserve">Why baseline 60, not 50</w:t>
      </w:r>
      <w:r>
        <w:t xml:space="preserve">: an asset with no regulatory designations and a mid-range patent runway is not automatically a coin-flip on regulatory/IP risk — the absence of a designation is the normal case for most programs at Phase 1/2, not a red flag. The deductions and bonuses move the score away from that neutral-favorable starting point based on specific, named facts, the same deductive pattern used elsewhere in this firm's algorithm library for a risk pillar.</w:t>
      </w:r>
    </w:p>
    <w:p>
      <w:pPr>
        <w:pStyle w:val="Heading1"/>
        <w:spacing w:after="120" w:before="240"/>
      </w:pPr>
      <w:r>
        <w:t xml:space="preserve">5. Qualitative Rubrics / Calibration Anchors</w:t>
      </w:r>
    </w:p>
    <w:p>
      <w:pPr>
        <w:pStyle w:val="Heading2"/>
        <w:spacing w:after="120" w:before="240"/>
      </w:pPr>
      <w:r>
        <w:t xml:space="preserve">5. Qualitative rubrics (Likert → score)</w:t>
      </w:r>
    </w:p>
    <w:p>
      <w:pPr>
        <w:spacing w:after="160"/>
      </w:pPr>
      <w:r>
        <w:t xml:space="preserve">Used for P4a and P5's pricing-power sub-metric, and any other 1–5 qualitative input. Anchors, not vibes — write down which anchor description matches before picking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 easily challenged</w:t>
            </w:r>
          </w:p>
        </w:tc>
      </w:tr>
      <w:tr>
        <w:tc>
          <w:p>
            <w:r>
              <w:t xml:space="preserve">3</w:t>
            </w:r>
          </w:p>
        </w:tc>
        <w:tc>
          <w:p>
            <w:r>
              <w:t xml:space="preserve">60</w:t>
            </w:r>
          </w:p>
        </w:tc>
        <w:tc>
          <w:p>
            <w:r>
              <w:t xml:space="preserve">Adequate — defensible, industry-standard</w:t>
            </w:r>
          </w:p>
        </w:tc>
      </w:tr>
      <w:tr>
        <w:tc>
          <w:tcPr>
            <w:shd w:fill="F3F4F6" w:val="solid"/>
          </w:tcPr>
          <w:p>
            <w:r>
              <w:t xml:space="preserve">4</w:t>
            </w:r>
          </w:p>
        </w:tc>
        <w:tc>
          <w:tcPr>
            <w:shd w:fill="F3F4F6" w:val="solid"/>
          </w:tcPr>
          <w:p>
            <w:r>
              <w:t xml:space="preserve">80</w:t>
            </w:r>
          </w:p>
        </w:tc>
        <w:tc>
          <w:tcPr>
            <w:shd w:fill="F3F4F6" w:val="solid"/>
          </w:tcPr>
          <w:p>
            <w:r>
              <w:t xml:space="preserve">Strong — clearly above peer set</w:t>
            </w:r>
          </w:p>
        </w:tc>
      </w:tr>
      <w:tr>
        <w:tc>
          <w:p>
            <w:r>
              <w:t xml:space="preserve">5</w:t>
            </w:r>
          </w:p>
        </w:tc>
        <w:tc>
          <w:p>
            <w:r>
              <w:t xml:space="preserve">100</w:t>
            </w:r>
          </w:p>
        </w:tc>
        <w:tc>
          <w:p>
            <w:r>
              <w:t xml:space="preserve">Exceptional — a genuine, hard-to-replicate advantage</w:t>
            </w:r>
          </w:p>
        </w:tc>
      </w:tr>
    </w:tbl>
    <w:p>
      <w:pPr>
        <w:spacing w:after="160"/>
      </w:pPr>
      <w:r>
        <w:t xml:space="preserve">likertToScore: linear interpolation is fine for non-integer values (e.g. a rubric value of 3.5 → score 70).</w:t>
      </w:r>
    </w:p>
    <w:p>
      <w:pPr>
        <w:pStyle w:val="Heading3"/>
        <w:spacing w:after="120" w:before="240"/>
      </w:pPr>
      <w:r>
        <w:t xml:space="preserve">Target / mechanism validation rubric (P4a)</w:t>
      </w:r>
    </w:p>
    <w:p>
      <w:pPr>
        <w:pStyle w:val="ListParagraph"/>
        <w:numPr>
          <w:ilvl w:val="0"/>
          <w:numId w:val="1"/>
        </w:numPr>
        <w:spacing w:after="60"/>
      </w:pPr>
      <w:r>
        <w:t xml:space="preserve">1 — Mechanistic hypothesis only; no supportive human or robust preclinical data.</w:t>
      </w:r>
    </w:p>
    <w:p>
      <w:pPr>
        <w:pStyle w:val="ListParagraph"/>
        <w:numPr>
          <w:ilvl w:val="0"/>
          <w:numId w:val="1"/>
        </w:numPr>
        <w:spacing w:after="60"/>
      </w:pPr>
      <w:r>
        <w:t xml:space="preserve">2 — Some preclinical signal, but weak, single-model, or non-translatable (e.g. only in vitro, no relevant animal model).</w:t>
      </w:r>
    </w:p>
    <w:p>
      <w:pPr>
        <w:pStyle w:val="ListParagraph"/>
        <w:numPr>
          <w:ilvl w:val="0"/>
          <w:numId w:val="1"/>
        </w:numPr>
        <w:spacing w:after="60"/>
      </w:pPr>
      <w:r>
        <w:t xml:space="preserve">3 — Validated in relevant preclinical disease models, plus some translational biomarker signal suggesting the mechanism engages in the intended way.</w:t>
      </w:r>
    </w:p>
    <w:p>
      <w:pPr>
        <w:pStyle w:val="ListParagraph"/>
        <w:numPr>
          <w:ilvl w:val="0"/>
          <w:numId w:val="1"/>
        </w:numPr>
        <w:spacing w:after="60"/>
      </w:pPr>
      <w:r>
        <w:t xml:space="preserve">4 — Strong translational biomarker linkage, or partial human evidence (e.g. genetic association data in a related but not identical population).</w:t>
      </w:r>
    </w:p>
    <w:p>
      <w:pPr>
        <w:pStyle w:val="ListParagraph"/>
        <w:numPr>
          <w:ilvl w:val="0"/>
          <w:numId w:val="1"/>
        </w:numPr>
        <w:spacing w:after="60"/>
      </w:pPr>
      <w:r>
        <w:t xml:space="preserve">5 — Mechanism already validated in humans: genetic evidence directly in the target population, an approved drug acting through the same target in a different indication, or a validated biomarker with demonstrated clinical-outcome linkage.</w:t>
      </w:r>
    </w:p>
    <w:p>
      <w:pPr>
        <w:pStyle w:val="Heading3"/>
        <w:spacing w:after="120" w:before="240"/>
      </w:pPr>
      <w:r>
        <w:t xml:space="preserve">Pricing power rubric (P5b)</w:t>
      </w:r>
    </w:p>
    <w:p>
      <w:pPr>
        <w:pStyle w:val="ListParagraph"/>
        <w:numPr>
          <w:ilvl w:val="0"/>
          <w:numId w:val="1"/>
        </w:numPr>
        <w:spacing w:after="60"/>
      </w:pPr>
      <w:r>
        <w:t xml:space="preserve">1 — Commodity pricing expected; comparator class is genericized or heavily price-competitive with no differentiation basis.</w:t>
      </w:r>
    </w:p>
    <w:p>
      <w:pPr>
        <w:pStyle w:val="ListParagraph"/>
        <w:numPr>
          <w:ilvl w:val="0"/>
          <w:numId w:val="1"/>
        </w:numPr>
        <w:spacing w:after="60"/>
      </w:pPr>
      <w:r>
        <w:t xml:space="preserve">2 — Modest premium supportable, but payer pushback likely given weak differentiation from SOC.</w:t>
      </w:r>
    </w:p>
    <w:p>
      <w:pPr>
        <w:pStyle w:val="ListParagraph"/>
        <w:numPr>
          <w:ilvl w:val="0"/>
          <w:numId w:val="1"/>
        </w:numPr>
        <w:spacing w:after="60"/>
      </w:pPr>
      <w:r>
        <w:t xml:space="preserve">3 — Moderate, defensible premium pricing; industry-standard specialty pricing dynamics apply.</w:t>
      </w:r>
    </w:p>
    <w:p>
      <w:pPr>
        <w:pStyle w:val="ListParagraph"/>
        <w:numPr>
          <w:ilvl w:val="0"/>
          <w:numId w:val="1"/>
        </w:numPr>
        <w:spacing w:after="60"/>
      </w:pPr>
      <w:r>
        <w:t xml:space="preserve">4 — Strong premium pricing likely — biomarker-selected population, meaningful clinical differentiation, specialty/limited-distribution dynamics.</w:t>
      </w:r>
    </w:p>
    <w:p>
      <w:pPr>
        <w:pStyle w:val="ListParagraph"/>
        <w:numPr>
          <w:ilvl w:val="0"/>
          <w:numId w:val="1"/>
        </w:numPr>
        <w:spacing w:after="60"/>
      </w:pPr>
      <w:r>
        <w:t xml:space="preserve">5 — Exceptional pricing power — orphan/ultra-rare population, high unmet need, and a faster regulatory pathway supporting premium orphan-style pricing with limited payer resistance.</w:t>
      </w:r>
    </w:p>
    <w:p>
      <w:pPr>
        <w:pStyle w:val="Heading1"/>
        <w:spacing w:after="120" w:before="240"/>
      </w:pPr>
      <w:r>
        <w:t xml:space="preserve">6. Confidence and Data-Quality Framework</w:t>
      </w:r>
    </w:p>
    <w:p>
      <w:pPr>
        <w:pStyle w:val="Heading2"/>
        <w:spacing w:after="120" w:before="240"/>
      </w:pPr>
      <w:r>
        <w:t xml:space="preserve">6. Confidence and missing data</w:t>
      </w:r>
    </w:p>
    <w:p>
      <w:pPr>
        <w:spacing w:after="160"/>
      </w:pPr>
      <w:r>
        <w:t xml:space="preserve">Every pillar has a required input list (see scripts/score.js's REQUIRED_FIELDS). Before computing, count how many required fields across all six pillars are missing or explicitly marked "unknown".</w:t>
      </w:r>
    </w:p>
    <w:p>
      <w:pPr>
        <w:spacing w:after="160"/>
        <w:jc w:val="center"/>
      </w:pPr>
      <w:r>
        <w:t xml:space="preserve">completeness = 1 − (missingCount / totalRequiredFields)</w:t>
      </w:r>
    </w:p>
    <w:p>
      <w:pPr>
        <w:pStyle w:val="ListParagraph"/>
        <w:numPr>
          <w:ilvl w:val="0"/>
          <w:numId w:val="1"/>
        </w:numPr>
        <w:spacing w:after="60"/>
      </w:pPr>
      <w:r>
        <w:t xml:space="preserve">completeness ≥ 0.9 → High confidence. Report the tier as-is.</w:t>
      </w:r>
    </w:p>
    <w:p>
      <w:pPr>
        <w:pStyle w:val="ListParagraph"/>
        <w:numPr>
          <w:ilvl w:val="0"/>
          <w:numId w:val="1"/>
        </w:numPr>
        <w:spacing w:after="60"/>
      </w:pPr>
      <w:r>
        <w:t xml:space="preserve">0.7 ≤ completeness &lt; 0.9 → Medium confidence. Report the tier with a note listing which pillars used estimates.</w:t>
      </w:r>
    </w:p>
    <w:p>
      <w:pPr>
        <w:pStyle w:val="ListParagraph"/>
        <w:numPr>
          <w:ilvl w:val="0"/>
          <w:numId w:val="1"/>
        </w:numPr>
        <w:spacing w:after="60"/>
      </w:pPr>
      <w:r>
        <w:t xml:space="preserve">completeness &lt; 0.7 → Low confidence. Prefix the output "PRELIMINARY — insufficient data for a reliable score" and explicitly recommend which data would resolve the biggest gaps first (usually: a controlled-trial readout beats a competitive-intelligence estimate every time — prioritize closing efficacy/safety data gaps over commercial estimates).</w:t>
      </w:r>
    </w:p>
    <w:p>
      <w:pPr>
        <w:spacing w:after="160"/>
      </w:pPr>
      <w:r>
        <w:t xml:space="preserve">Never silently substitute a default value for a missing required field and present the result as if it were measured. If a value is genuinely unknown, pass null and let the completeness penalty apply — a lower-confidence real answer beats a confident wrong one.</w:t>
      </w:r>
    </w:p>
    <w:p>
      <w:r>
        <w:br w:type="page"/>
      </w:r>
    </w:p>
    <w:p>
      <w:pPr>
        <w:pStyle w:val="Heading1"/>
        <w:spacing w:after="120" w:before="240"/>
      </w:pPr>
      <w:r>
        <w:t xml:space="preserve">7. Worked Example</w:t>
      </w:r>
    </w:p>
    <w:p>
      <w:pPr>
        <w:spacing w:after="160"/>
      </w:pPr>
      <w:r>
        <w:t xml:space="preserve">Phase 2 targeted small-molecule oncology asset, second-line setting, against a chemotherapy standard of care. Full input is scripts/example-input.json — running node scripts/score.js scripts/example-input.json reproduces the numbers below exactly (they are copied straight from that output).</w:t>
      </w:r>
    </w:p>
    <w:p>
      <w:pPr>
        <w:pStyle w:val="ListParagraph"/>
        <w:numPr>
          <w:ilvl w:val="0"/>
          <w:numId w:val="1"/>
        </w:numPr>
        <w:spacing w:after="60"/>
      </w:pPr>
      <w:r>
        <w:t xml:space="preserve">Development stage: Phase 2. Modality: small molecule with an approved precedent already on the market in the same target class.</w:t>
      </w:r>
    </w:p>
    <w:p>
      <w:pPr>
        <w:pStyle w:val="ListParagraph"/>
        <w:numPr>
          <w:ilvl w:val="0"/>
          <w:numId w:val="1"/>
        </w:numPr>
        <w:spacing w:after="60"/>
      </w:pPr>
      <w:r>
        <w:t xml:space="preserve">Efficacy: 35% relative improvement over SOC on the primary endpoint, statistically significant, randomized controlled design.</w:t>
      </w:r>
    </w:p>
    <w:p>
      <w:pPr>
        <w:pStyle w:val="ListParagraph"/>
        <w:numPr>
          <w:ilvl w:val="0"/>
          <w:numId w:val="1"/>
        </w:numPr>
        <w:spacing w:after="60"/>
      </w:pPr>
      <w:r>
        <w:t xml:space="preserve">Safety: 28% Grade 3+ AE rate vs. 35% for SOC.</w:t>
      </w:r>
    </w:p>
    <w:p>
      <w:pPr>
        <w:pStyle w:val="ListParagraph"/>
        <w:numPr>
          <w:ilvl w:val="0"/>
          <w:numId w:val="1"/>
        </w:numPr>
        <w:spacing w:after="60"/>
      </w:pPr>
      <w:r>
        <w:t xml:space="preserve">Mechanism: target-validation rubric = 4 (strong translational biomarker linkage plus partial human evidence).</w:t>
      </w:r>
    </w:p>
    <w:p>
      <w:pPr>
        <w:pStyle w:val="ListParagraph"/>
        <w:numPr>
          <w:ilvl w:val="0"/>
          <w:numId w:val="1"/>
        </w:numPr>
        <w:spacing w:after="60"/>
      </w:pPr>
      <w:r>
        <w:t xml:space="preserve">Competitive: 4 Phase-2-or-later programs sharing the same mechanism and indication; addressable population ~45,000 patients; pricing-power rubric = 4.</w:t>
      </w:r>
    </w:p>
    <w:p>
      <w:pPr>
        <w:pStyle w:val="ListParagraph"/>
        <w:numPr>
          <w:ilvl w:val="0"/>
          <w:numId w:val="1"/>
        </w:numPr>
        <w:spacing w:after="60"/>
      </w:pPr>
      <w:r>
        <w:t xml:space="preserve">Regulatory: breakthrough therapy + fast track designations held; 9 years of patent runway remaining post-expected-launch; no unresolved IP dispute.</w:t>
      </w:r>
    </w:p>
    <w:p>
      <w:pPr>
        <w:spacing w:after="160"/>
      </w:pPr>
      <w:r>
        <w:t xml:space="preserve">P1: baseStageScore = 29 (Phase 2), modalityAdjustment = +10 (well-precedented)</w:t>
      </w:r>
    </w:p>
    <w:p>
      <w:pPr>
        <w:spacing w:after="160"/>
      </w:pPr>
      <w:r>
        <w:t xml:space="preserve">    P1 = clamp(29 + 10, 0, 100) = 39.0</w:t>
      </w:r>
    </w:p>
    <w:p>
      <w:pPr>
        <w:spacing w:after="160"/>
      </w:pPr>
      <w:r>
        <w:t xml:space="preserve">P2: raw = lerp(35%, anchors incl. [35,70]) = 70.0 (35% lands exactly on an anchor point)</w:t>
      </w:r>
    </w:p>
    <w:p>
      <w:pPr>
        <w:spacing w:after="160"/>
      </w:pPr>
      <w:r>
        <w:t xml:space="preserve">    significant = true, controlled = true → gate not triggered</w:t>
      </w:r>
    </w:p>
    <w:p>
      <w:pPr>
        <w:spacing w:after="160"/>
      </w:pPr>
      <w:r>
        <w:t xml:space="preserve">    P2 = 70.0</w:t>
      </w:r>
    </w:p>
    <w:p>
      <w:pPr>
        <w:spacing w:after="160"/>
      </w:pPr>
      <w:r>
        <w:t xml:space="preserve">P3: ratio = 28 / 35 = 0.8</w:t>
      </w:r>
    </w:p>
    <w:p>
      <w:pPr>
        <w:spacing w:after="160"/>
      </w:pPr>
      <w:r>
        <w:t xml:space="preserve">    P3 = lerp(0.8, [0.75,70]→[1.0,55]) = 70 + (0.8-0.75)/(1.0-0.75)×(55-70) = 67.0</w:t>
      </w:r>
    </w:p>
    <w:p>
      <w:pPr>
        <w:spacing w:after="160"/>
      </w:pPr>
      <w:r>
        <w:t xml:space="preserve">P4: P4 = likertToScore(4) = 80.0</w:t>
      </w:r>
    </w:p>
    <w:p>
      <w:pPr>
        <w:spacing w:after="160"/>
      </w:pPr>
      <w:r>
        <w:t xml:space="preserve">P5: a = lerp(4, [2,75]→[5,50]) = 75 + (4-2)/(5-2)×(50-75) = 58.3</w:t>
      </w:r>
    </w:p>
    <w:p>
      <w:pPr>
        <w:spacing w:after="160"/>
      </w:pPr>
      <w:r>
        <w:t xml:space="preserve">    marketSizeScore = lerp(45000, [5000,60]→[50000,75]) = 60 + (45000-5000)/(50000-5000)×15 = 73.3</w:t>
      </w:r>
    </w:p>
    <w:p>
      <w:pPr>
        <w:spacing w:after="160"/>
      </w:pPr>
      <w:r>
        <w:t xml:space="preserve">    pricingPowerScore = likertToScore(4) = 80.0</w:t>
      </w:r>
    </w:p>
    <w:p>
      <w:pPr>
        <w:spacing w:after="160"/>
      </w:pPr>
      <w:r>
        <w:t xml:space="preserve">    b = 0.5×73.3 + 0.5×80.0 = 76.7</w:t>
      </w:r>
    </w:p>
    <w:p>
      <w:pPr>
        <w:spacing w:after="160"/>
      </w:pPr>
      <w:r>
        <w:t xml:space="preserve">    P5 = 0.40×58.3 + 0.60×76.7 = 69.3</w:t>
      </w:r>
    </w:p>
    <w:p>
      <w:pPr>
        <w:spacing w:after="160"/>
      </w:pPr>
      <w:r>
        <w:t xml:space="preserve">P6: designationBonus = min(30, 2×10) = 20</w:t>
      </w:r>
    </w:p>
    <w:p>
      <w:pPr>
        <w:spacing w:after="160"/>
      </w:pPr>
      <w:r>
        <w:t xml:space="preserve">    patentModifier = 0 (9 years falls in the 5–10 band)</w:t>
      </w:r>
    </w:p>
    <w:p>
      <w:pPr>
        <w:spacing w:after="160"/>
      </w:pPr>
      <w:r>
        <w:t xml:space="preserve">    ipPenalty = 0</w:t>
      </w:r>
    </w:p>
    <w:p>
      <w:pPr>
        <w:spacing w:after="160"/>
      </w:pPr>
      <w:r>
        <w:t xml:space="preserve">    P6 = clamp(60 + 20 + 0 − 0, 0, 100) = 80.0</w:t>
      </w:r>
    </w:p>
    <w:p>
      <w:pPr>
        <w:spacing w:after="160"/>
      </w:pPr>
      <w:r>
        <w:t xml:space="preserve">NAVS = 0.25(39.0) + 0.20(70.0) + 0.15(67.0) + 0.15(80.0) + 0.15(69.3) + 0.10(80.0) = 9.75 + 14.0 + 10.05 + 12.0 + 10.4 + 8.0 = 64.2</w:t>
      </w:r>
    </w:p>
    <w:p>
      <w:pPr>
        <w:spacing w:after="160"/>
      </w:pPr>
      <w:r>
        <w:rPr>
          <w:b/>
          <w:bCs/>
        </w:rPr>
        <w:t xml:space="preserve">Result: NAVS 64.2 — Monitor tier</w:t>
      </w:r>
      <w:r>
        <w:t xml:space="preserve">, High confidence (100% complete). The asset is one pillar away from Advance (65): P1 (39.0) is the clear drag, driven almost entirely by the Phase 2 base rate itself rather than anything asset-specific — that is the pillar to watch closely at the next readout, and the one where a positive interim result would move the score the most. P3 (67.0) and P5 (69.3) are both solid but unremarkable; neither is a priority to chase relative to getting P1's underlying stage risk resolved by advancing to Phase 3.</w:t>
      </w:r>
    </w:p>
    <w:p>
      <w:pPr>
        <w:pStyle w:val="Heading1"/>
        <w:spacing w:after="120" w:before="240"/>
      </w:pPr>
      <w:r>
        <w:t xml:space="preserve">8. Comparative Positioning</w:t>
      </w:r>
    </w:p>
    <w:p>
      <w:pPr>
        <w:spacing w:after="160"/>
      </w:pPr>
      <w:r>
        <w:t xml:space="preserve">NAVS sits within two established traditions in pharma portfolio management and investment analysis, and is best understood by relation to both rather than as an isolated invention.</w:t>
      </w:r>
    </w:p>
    <w:p>
      <w:pPr>
        <w:pStyle w:val="Heading2"/>
        <w:spacing w:after="120" w:before="240"/>
      </w:pPr>
      <w:r>
        <w:t xml:space="preserve">Relation to clinical-stage probability-of-success (PoS) benchmarking</w:t>
      </w:r>
    </w:p>
    <w:p>
      <w:pPr>
        <w:spacing w:after="160"/>
      </w:pPr>
      <w:r>
        <w:t xml:space="preserve">It is widely accepted practice across pharma portfolio management, licensing valuation, and biotech equity research to anchor an asset's forward value on a probability-of-success curve that varies by clinical phase — the general concept that a program's odds of ultimately reaching approval change (and typically improve) as it clears successive phase-transition milestones, and that those transition probabilities differ by phase and by modality. NAVS's P1 pillar sits squarely in this tradition: it starts from an industry-aggregate, stage-indexed base rate (as documented in Section 4 above) rather than treating every asset as a blank slate, and it treats that base rate explicitly as a *prior* rather than a bespoke forecast for the specific asset being scored. This is consistent with how PoS benchmarking is used more broadly in the industry: as a starting anchor for valuation and resourcing conversations, refined by asset-specific evidence, not as a substitute for that evidence. Where NAVS differs from a pure PoS model is scope — a PoS curve alone answers only the stage-risk question; NAVS deliberately widens the aperture to five additional pillars (efficacy quality, safety differentiation, mechanistic validation, commercial position, and regulatory/IP risk) so that two assets at the identical clinical stage, and therefore identical under a PoS-only view, can still be told apart on the dimensions that actually differentiate them.</w:t>
      </w:r>
    </w:p>
    <w:p>
      <w:pPr>
        <w:pStyle w:val="Heading2"/>
        <w:spacing w:after="120" w:before="240"/>
      </w:pPr>
      <w:r>
        <w:t xml:space="preserve">Relation to the tradition of named, checkable analyst scoring models</w:t>
      </w:r>
    </w:p>
    <w:p>
      <w:pPr>
        <w:spacing w:after="160"/>
      </w:pPr>
      <w:r>
        <w:t xml:space="preserve">Separately from clinical PoS practice, there is a long-standing tradition in investment analysis of naming and publishing a specific scoring formula so that the name becomes shorthand for a fixed, checkable methodology rather than a loosely-described heuristic — the kind of model where a practitioner can say "a score of X" and have that mean the same specific, reproducible thing to any other practitioner who knows the model, this year and five years from now. NAVS is constructed in that same spirit: every pillar reduces to a named formula against a named input, every qualitative judgment is pinned to a written rubric anchor rather than left as an unstated impression, and any change to a weight or formula is a version-controlled event rather than a silent adjustment (see Section 11 below). This is what distinguishes NAVS from an unstructured "promising / concerning" review: the score is falsifiable and auditable in a way a narrative assessment is not — two reviewers with the same input data and the same version of the specification should reach the same number.</w:t>
      </w:r>
    </w:p>
    <w:p>
      <w:pPr>
        <w:spacing w:after="160"/>
      </w:pPr>
      <w:r>
        <w:t xml:space="preserve">NAVS does not claim statistical validation against real-world clinical outcomes, nor does it claim to outperform any published PoS benchmark or analyst model — no such comparison has been conducted, and none is asserted here. The positioning above is about methodological lineage and design philosophy, not about a demonstrated predictive-accuracy advantage.</w:t>
      </w:r>
    </w:p>
    <w:p>
      <w:r>
        <w:br w:type="page"/>
      </w:r>
    </w:p>
    <w:p>
      <w:pPr>
        <w:pStyle w:val="Heading1"/>
        <w:spacing w:after="120" w:before="240"/>
      </w:pPr>
      <w:r>
        <w:t xml:space="preserve">9. Intellectual Property and Defensibility Posture</w:t>
      </w:r>
    </w:p>
    <w:p>
      <w:pPr>
        <w:spacing w:after="160"/>
      </w:pPr>
      <w:r>
        <w:t xml:space="preserve">NAVS is documented as a </w:t>
      </w:r>
      <w:r>
        <w:rPr>
          <w:b/>
          <w:bCs/>
        </w:rPr>
        <w:t xml:space="preserve">proprietary, trade-secret methodology</w:t>
      </w:r>
      <w:r>
        <w:t xml:space="preserve"> — named, versioned, and specified precisely enough to be defensible as original work product. The following is a candid statement of what that does and does not mean; it is not legal advice.</w:t>
      </w:r>
    </w:p>
    <w:p>
      <w:pPr>
        <w:pStyle w:val="Heading2"/>
        <w:spacing w:after="120" w:before="240"/>
      </w:pPr>
      <w:r>
        <w:t xml:space="preserve">Trade secret protection</w:t>
      </w:r>
    </w:p>
    <w:p>
      <w:pPr>
        <w:spacing w:after="160"/>
      </w:pPr>
      <w:r>
        <w:t xml:space="preserve">Trade secret protection applies now, automatically, simply by virtue of NAVS being original, non-public, and treated as confidential (as this document's confidentiality marking is intended to evidence). That is the primary form of protection this specification is written to support. Maintaining that protection depends on continued confidentiality practice — controlled distribution of `reference/algorithm.md` and `scripts/score.js`, access limited to those who need it, and marking of copies as confidential — rather than on any registration or filing.</w:t>
      </w:r>
    </w:p>
    <w:p>
      <w:pPr>
        <w:pStyle w:val="Heading2"/>
        <w:spacing w:after="120" w:before="240"/>
      </w:pPr>
      <w:r>
        <w:t xml:space="preserve">Patent eligibility — a separate, harder question</w:t>
      </w:r>
    </w:p>
    <w:p>
      <w:pPr>
        <w:spacing w:after="160"/>
      </w:pPr>
      <w:r>
        <w:t xml:space="preserve">Patent eligibility is a distinct and materially harder question from trade-secret protection.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the computation runs, not merely "a new way to weight biomedical evidence." NAVS, as currently specified, is a pure scoring model: six weighted pillars, lookup tables, piecewise-linear interpolation, and rubric-based qualitative inputs combined into a composite number. Honestly assessed, this is </w:t>
      </w:r>
      <w:r>
        <w:rPr>
          <w:b/>
          <w:bCs/>
        </w:rPr>
        <w:t xml:space="preserve">more naturally a trade secret than a patent candidate</w:t>
      </w:r>
      <w:r>
        <w:t xml:space="preserve"> as written — it does not, on its own, present the kind of concrete technical-process claim (comparable to, say, a novel routing or compression algorithm with a measurable computational-efficiency output) that has more reliably cleared the eligibility bar in recent case law. This assessment could change if a future implementation is bound to a specific technical system in a way that itself constitutes an improvement — but that is a different and more demanding claim than the methodology as documented here.</w:t>
      </w:r>
    </w:p>
    <w:p>
      <w:pPr>
        <w:pStyle w:val="Heading2"/>
        <w:spacing w:after="120" w:before="240"/>
      </w:pPr>
      <w:r>
        <w:t xml:space="preserve">Defensibility factors present in this specification</w:t>
      </w:r>
    </w:p>
    <w:p>
      <w:pPr>
        <w:spacing w:after="160"/>
      </w:pPr>
      <w:r>
        <w:t xml:space="preserve">Independent of the patent-eligibility question, several features of how NAVS is documented and maintained strengthen its position as a defensible, valuable trade secret asset:</w:t>
      </w:r>
    </w:p>
    <w:p>
      <w:pPr>
        <w:pStyle w:val="ListParagraph"/>
        <w:numPr>
          <w:ilvl w:val="0"/>
          <w:numId w:val="1"/>
        </w:numPr>
        <w:spacing w:after="60"/>
      </w:pPr>
      <w:r>
        <w:rPr>
          <w:b/>
          <w:bCs/>
        </w:rPr>
        <w:t xml:space="preserve">Specificity.</w:t>
      </w:r>
      <w:r>
        <w:t xml:space="preserve"> Every weight, formula, lookup table, and rubric anchor is written down as a precise number or named function — not a vague description of an approach. This is what makes the methodology auditable and distinguishes it from an unprotectable general idea.</w:t>
      </w:r>
    </w:p>
    <w:p>
      <w:pPr>
        <w:pStyle w:val="ListParagraph"/>
        <w:numPr>
          <w:ilvl w:val="0"/>
          <w:numId w:val="1"/>
        </w:numPr>
        <w:spacing w:after="60"/>
      </w:pPr>
      <w:r>
        <w:rPr>
          <w:b/>
          <w:bCs/>
        </w:rPr>
        <w:t xml:space="preserve">Versioning.</w:t>
      </w:r>
      <w:r>
        <w:t xml:space="preserve"> Section 11 below records that any change to a weight, formula, or anchor value is a version bump with a changelog entry — evidence of deliberate, tracked development rather than ad hoc guessing, which supports both the "reasonable measures to maintain secrecy" and "independent economic value" elements typically relevant to trade secret status.</w:t>
      </w:r>
    </w:p>
    <w:p>
      <w:pPr>
        <w:pStyle w:val="ListParagraph"/>
        <w:numPr>
          <w:ilvl w:val="0"/>
          <w:numId w:val="1"/>
        </w:numPr>
        <w:spacing w:after="60"/>
      </w:pPr>
      <w:r>
        <w:rPr>
          <w:b/>
          <w:bCs/>
        </w:rPr>
        <w:t xml:space="preserve">Reproducibility.</w:t>
      </w:r>
      <w:r>
        <w:t xml:space="preserve"> The existence of a literal, runnable reference implementation (`scripts/score.js`) that mirrors this specification exactly means the methodology's value is demonstrable and testable, not merely asserted — a factor relevant to establishing that the asset is more than an unstructured idea.</w:t>
      </w:r>
    </w:p>
    <w:p>
      <w:pPr>
        <w:spacing w:after="160"/>
      </w:pPr>
      <w:r>
        <w:rPr>
          <w:b/>
          <w:bCs/>
        </w:rPr>
        <w:t xml:space="preserve">"Patentable" in any related documentation means "specified with enough novelty and precision to be a serious patent-counsel conversation,"</w:t>
      </w:r>
      <w:r>
        <w:t xml:space="preserve"> not "patented" or "guaranteed patentable." Actually obtaining a patent requires filing, examination, and often narrowing claims to survive prior-art and eligibility challenges.</w:t>
      </w:r>
    </w:p>
    <w:p>
      <w:pPr>
        <w:spacing w:after="160"/>
      </w:pPr>
      <w:r>
        <w:rPr>
          <w:b/>
          <w:bCs/>
        </w:rPr>
        <w:t xml:space="preserve">This section is not legal, medical, or regulatory advice.</w:t>
      </w:r>
      <w:r>
        <w:t xml:space="preserve"> A qualified patent attorney should be engaged before relying on any patent-eligibility assessment in this document for a commercial decision, and a qualified clinical, regulatory, or investment professional should be consulted before relying on the NAVS methodology itself for any actual investment, licensing, or clinical-development decision.</w:t>
      </w:r>
    </w:p>
    <w:p>
      <w:pPr>
        <w:pStyle w:val="Heading1"/>
        <w:spacing w:after="120" w:before="240"/>
      </w:pPr>
      <w:r>
        <w:t xml:space="preserve">10. Known Limitations</w:t>
      </w:r>
    </w:p>
    <w:p>
      <w:pPr>
        <w:pStyle w:val="Heading2"/>
        <w:spacing w:after="120" w:before="240"/>
      </w:pPr>
      <w:r>
        <w:t xml:space="preserve">8. Known limitations</w:t>
      </w:r>
    </w:p>
    <w:p>
      <w:pPr>
        <w:pStyle w:val="ListParagraph"/>
        <w:numPr>
          <w:ilvl w:val="0"/>
          <w:numId w:val="1"/>
        </w:numPr>
        <w:spacing w:after="60"/>
      </w:pPr>
      <w:r>
        <w:rPr>
          <w:b/>
          <w:bCs/>
        </w:rPr>
        <w:t xml:space="preserve">Preclinical and early-clinical efficacy signals are weakly predictive of eventual human efficacy at scale</w:t>
      </w:r>
      <w:r>
        <w:t xml:space="preserve">, especially animal-model results — a strong preclinical or small-Phase-2 signal narrows uncertainty but does not close it. Treat P2 scores based on small-n or single-arm data as directional even when the statistical-significance gate isn't triggered by design (e.g. a well-powered but still small pivotal-adjacent study).</w:t>
      </w:r>
    </w:p>
    <w:p>
      <w:pPr>
        <w:pStyle w:val="ListParagraph"/>
        <w:numPr>
          <w:ilvl w:val="0"/>
          <w:numId w:val="1"/>
        </w:numPr>
        <w:spacing w:after="60"/>
      </w:pPr>
      <w:r>
        <w:rPr>
          <w:b/>
          <w:bCs/>
        </w:rPr>
        <w:t xml:space="preserve">The competitive landscape in P5 changes fast and goes stale quickly.</w:t>
      </w:r>
      <w:r>
        <w:t xml:space="preserve"> A competitor's Phase 3 failure or a new entrant's Phase 2 readout can shift the competitive-density sub-score materially within a single quarter — re-run P5 on a defined cadence (at minimum, at every internal portfolio review), not just when this asset itself has news.</w:t>
      </w:r>
    </w:p>
    <w:p>
      <w:pPr>
        <w:pStyle w:val="ListParagraph"/>
        <w:numPr>
          <w:ilvl w:val="0"/>
          <w:numId w:val="1"/>
        </w:numPr>
        <w:spacing w:after="60"/>
      </w:pPr>
      <w:r>
        <w:rPr>
          <w:b/>
          <w:bCs/>
        </w:rPr>
        <w:t xml:space="preserve">Regulatory designations can be granted, and can also be lost or fail to translate into an approval advantage.</w:t>
      </w:r>
      <w:r>
        <w:t xml:space="preserve"> A breakthrough therapy or fast track designation reflects the regulator's view at a point in time; it is not a guarantee, and designations occasionally get revisited if later data disappoints. Don't treat P6's designation bonus as permanent — re-verify it is still current before quoting a score.</w:t>
      </w:r>
    </w:p>
    <w:p>
      <w:pPr>
        <w:pStyle w:val="ListParagraph"/>
        <w:numPr>
          <w:ilvl w:val="0"/>
          <w:numId w:val="1"/>
        </w:numPr>
        <w:spacing w:after="60"/>
      </w:pPr>
      <w:r>
        <w:rPr>
          <w:b/>
          <w:bCs/>
        </w:rPr>
        <w:t xml:space="preserve">Modality-specific manufacturing and CMC risk is not captured anywhere in this model.</w:t>
      </w:r>
      <w:r>
        <w:t xml:space="preserve"> Cell and gene therapies, in particular, carry manufacturing, supply-chain, and scale-up risks that can delay or kill a program independently of clinical data — P1's novel-modality penalty partially captures development-risk correlation but is not a substitute for a real CMC/manufacturing risk assessment.</w:t>
      </w:r>
    </w:p>
    <w:p>
      <w:pPr>
        <w:pStyle w:val="ListParagraph"/>
        <w:numPr>
          <w:ilvl w:val="0"/>
          <w:numId w:val="1"/>
        </w:numPr>
        <w:spacing w:after="60"/>
      </w:pPr>
      <w:r>
        <w:rPr>
          <w:b/>
          <w:bCs/>
        </w:rPr>
        <w:t xml:space="preserve">Historical phase-transition base rates (P1) are cross-indication aggregates.</w:t>
      </w:r>
      <w:r>
        <w:t xml:space="preserve"> Actual success rates vary substantially by therapeutic area (e.g. oncology transition rates differ materially from those in infectious disease or CNS) — where area-specific benchmark data is available and more relevant than the generic aggregate, note it as a qualitative override on the P1 read-through rather than silently substituting it into the formula (a formula change is a version bump, not an ad hoc substitution).</w:t>
      </w:r>
    </w:p>
    <w:p>
      <w:pPr>
        <w:pStyle w:val="ListParagraph"/>
        <w:numPr>
          <w:ilvl w:val="0"/>
          <w:numId w:val="1"/>
        </w:numPr>
        <w:spacing w:after="60"/>
      </w:pPr>
      <w:r>
        <w:rPr>
          <w:b/>
          <w:bCs/>
        </w:rPr>
        <w:t xml:space="preserve">The model scores the evidence package, not the underlying biology's true probability of success</w:t>
      </w:r>
      <w:r>
        <w:t xml:space="preserve">, which is unknowable in advance. A well-run, well-documented Phase 1 with modest results will out-score a genuinely more promising but poorly-documented one — that is a feature (confidence should track evidence quality) but is worth stating explicitly so a low score isn't over-read as "the biology is bad."</w:t>
      </w:r>
    </w:p>
    <w:p>
      <w:pPr>
        <w:pStyle w:val="Heading1"/>
        <w:spacing w:after="120" w:before="240"/>
      </w:pPr>
      <w:r>
        <w:t xml:space="preserve">11. Versioning and Change Control</w:t>
      </w:r>
    </w:p>
    <w:p>
      <w:pPr>
        <w:pStyle w:val="Heading2"/>
        <w:spacing w:after="120" w:before="240"/>
      </w:pPr>
      <w:r>
        <w:t xml:space="preserve">9. Versioning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here — the whole point of a proprietary, named algorithm is that "NAVS 64" means the same thing every time it's quoted. Silent tuning defeats that.</w:t>
      </w:r>
    </w:p>
    <w:p>
      <w:pPr>
        <w:pStyle w:val="Heading1"/>
        <w:spacing w:after="120" w:before="240"/>
      </w:pPr>
      <w:r>
        <w:t xml:space="preserve">12. Reference Implementation</w:t>
      </w:r>
    </w:p>
    <w:p>
      <w:pPr>
        <w:spacing w:after="160"/>
      </w:pPr>
      <w:r>
        <w:t xml:space="preserve">`scripts/score.js`, distributed alongside `reference/algorithm.md` in the skill package, is a direct, literal implementation of every formula documented in this whitepaper — the two are designed never to drift, and if they ever disagree, the specification document (and, by extension, this whitepaper) is treated as correct and the script is treated as having a bug. Running `node scripts/score.js scripts/example-input.json` reproduces the worked example in Section 7 exactly, number for number.</w:t>
      </w:r>
    </w:p>
    <w:p>
      <w:pPr>
        <w:spacing w:after="160"/>
      </w:pPr>
      <w:r>
        <w:t xml:space="preserve">For an IP-valuation or diligence review, this reproducibility is itself relevant evidence, independent of the methodology's substantive merits: it demonstrates that the asset is a specific, executable, testable piece of work product rather than an unstructured description of an approach. A reviewer, licensing counterparty, or valuer can independently verify every number in this document by running the reference script against the same inputs — the methodology makes no claim that is not checkable.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2026-08-10T15:57:26.586Z</dcterms:created>
  <dcterms:modified xsi:type="dcterms:W3CDTF">2026-08-10T15:57:26.587Z</dcterms:modified>
</cp:coreProperties>
</file>

<file path=docProps/custom.xml><?xml version="1.0" encoding="utf-8"?>
<Properties xmlns="http://schemas.openxmlformats.org/officeDocument/2006/custom-properties" xmlns:vt="http://schemas.openxmlformats.org/officeDocument/2006/docPropsVTypes"/>
</file>