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Nishant Deal Quality Index (NDQI)</w:t>
      </w:r>
    </w:p>
    <w:p>
      <w:pPr>
        <w:spacing w:after="160"/>
        <w:jc w:val="center"/>
      </w:pPr>
      <w:r>
        <w:rPr>
          <w:b/>
          <w:bCs/>
        </w:rPr>
        <w:t xml:space="preserve">Confidential — Proprietary Methodology.</w:t>
      </w:r>
      <w:r>
        <w:t xml:space="preserve"> Author/Owner: Nishant Prabhakar. Version 1.0 (2026-08-10). This document is prepared to support valuation, licensing, or IP-diligence review of the methodology described within. It is a technical specification, not marketing material — every formula, weight, and worked number in this document is transcribed faithfully from the authoritative methodology specification maintained alongside the reference implementation.</w:t>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Executive Summary</w:t>
      </w:r>
    </w:p>
    <w:p>
      <w:pPr>
        <w:spacing w:after="160"/>
      </w:pPr>
      <w:r>
        <w:t xml:space="preserve">The </w:t>
      </w:r>
      <w:r>
        <w:rPr>
          <w:b/>
          <w:bCs/>
        </w:rPr>
        <w:t xml:space="preserve">Nishant Deal Quality Index (NDQI)</w:t>
      </w:r>
      <w:r>
        <w:t xml:space="preserve"> is a proprietary, six-pillar weighted scoring algorithm developed by Nishant Prabhakar for screening and triaging private equity and growth-investment opportunities. It converts the heterogeneous mix of deck claims, financial-model figures, and diligence notes that accompanies any prospective deal into a single, comparable, auditable number on a 0–100 scale, together with a named tier (Strong / Attractive / Conditional / Weak / Pass) and an explicit confidence rating tied to data completeness.</w:t>
      </w:r>
    </w:p>
    <w:p>
      <w:pPr>
        <w:spacing w:after="160"/>
      </w:pPr>
      <w:r>
        <w:t xml:space="preserve">The problem NDQI solves is not the absence of scoring in private equity — informal scoring happens on every deal, in every analyst's head — but the absence of </w:t>
      </w:r>
      <w:r>
        <w:rPr>
          <w:b/>
          <w:bCs/>
        </w:rPr>
        <w:t xml:space="preserve">consistency and auditability</w:t>
      </w:r>
      <w:r>
        <w:t xml:space="preserve"> in that scoring. Two analysts reviewing the same company typically produce two different unstructured impressions ("I like it," "feels expensive") that cannot be compared across a pipeline, defended in an investment committee, or checked six months later against what was actually known at the time. NDQI is deliberately not a black box: every sub-score traces to a named formula against a named input, so a partner conversation becomes "the entry multiple is 22% above sector comps" rather than "I don't love it."</w:t>
      </w:r>
    </w:p>
    <w:p>
      <w:pPr>
        <w:spacing w:after="160"/>
      </w:pPr>
      <w:r>
        <w:rPr>
          <w:b/>
          <w:bCs/>
        </w:rPr>
        <w:t xml:space="preserve">Novelty claim.</w:t>
      </w:r>
      <w:r>
        <w:t xml:space="preserve"> NDQI's originality does not rest on inventing new financial ratios — entry multiples, leverage ratios, and revenue CAGR are standard PE vocabulary. Its originality lies in the specific, fully-specified combination of: (a) a named weighting scheme across six pillars that encodes an explicit investment thesis about which variables drive realized returns (financial trajectory and entry terms, at 45% combined, are deliberately weighted above the three qualitative pillars); (b) precisely defined piecewise-linear interpolation curves and clamping functions for each sub-metric, rather than open-ended analyst judgment; (c) a formal Likert-to-score rubric with written anchor descriptions that constrains qualitative judgment to a checkable standard; and (d) a first-class, quantified confidence/completeness framework that makes missing data visible in the output rather than silently absorbed into a plausible-looking number. This combination — specific curves, specific weights, and a specific missing-data penalty, all version-controlled — is what makes "NDQI 74" a reproducible, checkable claim rather than a one-off opinion, and it is this reproducibility that is the core of the methodology's value as an asset.</w:t>
      </w:r>
    </w:p>
    <w:p>
      <w:pPr>
        <w:pStyle w:val="Heading1"/>
        <w:spacing w:after="120" w:before="240"/>
      </w:pPr>
      <w:r>
        <w:t xml:space="preserve">2. Purpose and Positioning</w:t>
      </w:r>
    </w:p>
    <w:p>
      <w:pPr>
        <w:pStyle w:val="Heading2"/>
        <w:spacing w:after="120" w:before="240"/>
      </w:pPr>
      <w:r>
        <w:t xml:space="preserve">2.1 What NDQI Is</w:t>
      </w:r>
    </w:p>
    <w:p>
      <w:pPr>
        <w:spacing w:after="160"/>
      </w:pPr>
      <w:r>
        <w:t xml:space="preserve">NDQI is a </w:t>
      </w:r>
      <w:r>
        <w:rPr>
          <w:b/>
          <w:bCs/>
        </w:rPr>
        <w:t xml:space="preserve">screening and triage tool</w:t>
      </w:r>
      <w:r>
        <w:t xml:space="preserve">, not a substitute for full diligence. It exists to do three things quickly and consistently across a deal pipeline:</w:t>
      </w:r>
    </w:p>
    <w:p>
      <w:pPr>
        <w:pStyle w:val="ListParagraph"/>
        <w:numPr>
          <w:ilvl w:val="0"/>
          <w:numId w:val="1"/>
        </w:numPr>
        <w:spacing w:after="60"/>
      </w:pPr>
      <w:r>
        <w:t xml:space="preserve">Convert a messy pile of deck claims, a financial model, and diligence notes into one comparable number.</w:t>
      </w:r>
    </w:p>
    <w:p>
      <w:pPr>
        <w:pStyle w:val="ListParagraph"/>
        <w:numPr>
          <w:ilvl w:val="0"/>
          <w:numId w:val="1"/>
        </w:numPr>
        <w:spacing w:after="60"/>
      </w:pPr>
      <w:r>
        <w:t xml:space="preserve">Force the same six questions to get answered for every deal, in the same way, so two analysts scoring the same company land on the same number (±5 points).</w:t>
      </w:r>
    </w:p>
    <w:p>
      <w:pPr>
        <w:pStyle w:val="ListParagraph"/>
        <w:numPr>
          <w:ilvl w:val="0"/>
          <w:numId w:val="1"/>
        </w:numPr>
        <w:spacing w:after="60"/>
      </w:pPr>
      <w:r>
        <w:t xml:space="preserve">Surface which specific pillar is weak, not just a vibe of "meh" — so the partner conversation is "the entry multiple is 22% above sector comps" instead of "I don't love it."</w:t>
      </w:r>
    </w:p>
    <w:p>
      <w:pPr>
        <w:spacing w:after="160"/>
      </w:pPr>
      <w:r>
        <w:t xml:space="preserve">It is deliberately not a black box: every sub-score is a named, auditable formula against a named input. If an input is unknown, the algorithm says so and degrades its confidence rating rather than guessing silently.</w:t>
      </w:r>
    </w:p>
    <w:p>
      <w:pPr>
        <w:pStyle w:val="Heading2"/>
        <w:spacing w:after="120" w:before="240"/>
      </w:pPr>
      <w:r>
        <w:t xml:space="preserve">2.2 What NDQI Is Not</w:t>
      </w:r>
    </w:p>
    <w:p>
      <w:pPr>
        <w:spacing w:after="160"/>
      </w:pPr>
      <w:r>
        <w:t xml:space="preserve">NDQI is not a valuation model, an IRR/MOIC forecaster, or a legal risk assessment. It scores the investment case, not the deal's cash flows. A real LBO/DCF model should be run in parallel — the NDQI's function is to tell the analyst whether it is worth building one.</w:t>
      </w:r>
    </w:p>
    <w:p>
      <w:pPr>
        <w:pStyle w:val="Heading2"/>
        <w:spacing w:after="120" w:before="240"/>
      </w:pPr>
      <w:r>
        <w:t xml:space="preserve">2.3 Naming Convention and Precedent</w:t>
      </w:r>
    </w:p>
    <w:p>
      <w:pPr>
        <w:spacing w:after="160"/>
      </w:pPr>
      <w:r>
        <w:t xml:space="preserve">NDQI is named in the tradition of other analyst-attributed scoring models — the Altman Z-Score, the Piotroski F-Score. The point of putting a name on a model is that the name becomes shorthand for a specific, checkable methodology, not a vibe. "NDQI 74" is intended to mean the same thing regardless of who is asking or who is answering, provided both parties are working from the same versioned specification (§11 below governs what counts as "the same" specification over time).</w:t>
      </w:r>
    </w:p>
    <w:p>
      <w:pPr>
        <w:pStyle w:val="Heading1"/>
        <w:spacing w:after="120" w:before="240"/>
      </w:pPr>
      <w:r>
        <w:t xml:space="preserve">3. Methodology at a Glance</w:t>
      </w:r>
    </w:p>
    <w:p>
      <w:pPr>
        <w:spacing w:after="160"/>
      </w:pPr>
      <w:r>
        <w:t xml:space="preserve">NDQI decomposes into six weighted pillars, each independently scored 0–100, then rolled into one composite score.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Pillar</w:t>
            </w:r>
          </w:p>
        </w:tc>
        <w:tc>
          <w:tcPr>
            <w:shd w:fill="1B2A4A" w:val="solid"/>
          </w:tcPr>
          <w:p>
            <w:r>
              <w:rPr>
                <w:b/>
                <w:bCs/>
                <w:color w:val="FFFFFF"/>
              </w:rPr>
              <w:t xml:space="preserve">Weight</w:t>
            </w:r>
          </w:p>
        </w:tc>
        <w:tc>
          <w:tcPr>
            <w:shd w:fill="1B2A4A" w:val="solid"/>
          </w:tcPr>
          <w:p>
            <w:r>
              <w:rPr>
                <w:b/>
                <w:bCs/>
                <w:color w:val="FFFFFF"/>
              </w:rPr>
              <w:t xml:space="preserve">What It Answers</w:t>
            </w:r>
          </w:p>
        </w:tc>
      </w:tr>
      <w:tr>
        <w:tc>
          <w:p>
            <w:r>
              <w:t xml:space="preserve">P1. Financial Performance &amp; Trajectory</w:t>
            </w:r>
          </w:p>
        </w:tc>
        <w:tc>
          <w:p>
            <w:r>
              <w:t xml:space="preserve">25%</w:t>
            </w:r>
          </w:p>
        </w:tc>
        <w:tc>
          <w:p>
            <w:r>
              <w:t xml:space="preserve">Is the business actually growing profitably, or just growing?</w:t>
            </w:r>
          </w:p>
        </w:tc>
      </w:tr>
      <w:tr>
        <w:tc>
          <w:tcPr>
            <w:shd w:fill="F3F4F6" w:val="solid"/>
          </w:tcPr>
          <w:p>
            <w:r>
              <w:t xml:space="preserve">P2. Valuation &amp; Deal Terms</w:t>
            </w:r>
          </w:p>
        </w:tc>
        <w:tc>
          <w:tcPr>
            <w:shd w:fill="F3F4F6" w:val="solid"/>
          </w:tcPr>
          <w:p>
            <w:r>
              <w:t xml:space="preserve">20%</w:t>
            </w:r>
          </w:p>
        </w:tc>
        <w:tc>
          <w:tcPr>
            <w:shd w:fill="F3F4F6" w:val="solid"/>
          </w:tcPr>
          <w:p>
            <w:r>
              <w:t xml:space="preserve">Are we overpaying, and are we protected if we're wrong?</w:t>
            </w:r>
          </w:p>
        </w:tc>
      </w:tr>
      <w:tr>
        <w:tc>
          <w:p>
            <w:r>
              <w:t xml:space="preserve">P3. Market &amp; Competitive Position</w:t>
            </w:r>
          </w:p>
        </w:tc>
        <w:tc>
          <w:p>
            <w:r>
              <w:t xml:space="preserve">20%</w:t>
            </w:r>
          </w:p>
        </w:tc>
        <w:tc>
          <w:p>
            <w:r>
              <w:t xml:space="preserve">Is there a real moat, or just a good quarter?</w:t>
            </w:r>
          </w:p>
        </w:tc>
      </w:tr>
      <w:tr>
        <w:tc>
          <w:tcPr>
            <w:shd w:fill="F3F4F6" w:val="solid"/>
          </w:tcPr>
          <w:p>
            <w:r>
              <w:t xml:space="preserve">P4. Management &amp; Governance</w:t>
            </w:r>
          </w:p>
        </w:tc>
        <w:tc>
          <w:tcPr>
            <w:shd w:fill="F3F4F6" w:val="solid"/>
          </w:tcPr>
          <w:p>
            <w:r>
              <w:t xml:space="preserve">15%</w:t>
            </w:r>
          </w:p>
        </w:tc>
        <w:tc>
          <w:tcPr>
            <w:shd w:fill="F3F4F6" w:val="solid"/>
          </w:tcPr>
          <w:p>
            <w:r>
              <w:t xml:space="preserve">Do incentives point the right way, and is anyone hiding anything?</w:t>
            </w:r>
          </w:p>
        </w:tc>
      </w:tr>
      <w:tr>
        <w:tc>
          <w:p>
            <w:r>
              <w:t xml:space="preserve">P5. Growth &amp; Exit Potential</w:t>
            </w:r>
          </w:p>
        </w:tc>
        <w:tc>
          <w:p>
            <w:r>
              <w:t xml:space="preserve">10%</w:t>
            </w:r>
          </w:p>
        </w:tc>
        <w:tc>
          <w:p>
            <w:r>
              <w:t xml:space="preserve">Is there a second act, and can we actually sell this later?</w:t>
            </w:r>
          </w:p>
        </w:tc>
      </w:tr>
      <w:tr>
        <w:tc>
          <w:tcPr>
            <w:shd w:fill="F3F4F6" w:val="solid"/>
          </w:tcPr>
          <w:p>
            <w:r>
              <w:t xml:space="preserve">P6. Risk Factors</w:t>
            </w:r>
          </w:p>
        </w:tc>
        <w:tc>
          <w:tcPr>
            <w:shd w:fill="F3F4F6" w:val="solid"/>
          </w:tcPr>
          <w:p>
            <w:r>
              <w:t xml:space="preserve">10%</w:t>
            </w:r>
          </w:p>
        </w:tc>
        <w:tc>
          <w:tcPr>
            <w:shd w:fill="F3F4F6" w:val="solid"/>
          </w:tcPr>
          <w:p>
            <w:r>
              <w:t xml:space="preserve">What's the one thing that blows this up?</w:t>
            </w:r>
          </w:p>
        </w:tc>
      </w:tr>
    </w:tbl>
    <w:p>
      <w:pPr>
        <w:spacing w:after="160"/>
      </w:pPr>
      <w:r>
        <w:rPr>
          <w:b/>
          <w:bCs/>
        </w:rPr>
        <w:t xml:space="preserve">Composite formula:</w:t>
      </w:r>
    </w:p>
    <w:p>
      <w:pPr>
        <w:spacing w:after="160"/>
        <w:jc w:val="center"/>
      </w:pPr>
      <w:r>
        <w:t xml:space="preserve">NDQI = 0.25·P1 + 0.20·P2 + 0.20·P3 + 0.15·P4 + 0.10·P5 + 0.10·P6</w:t>
      </w:r>
    </w:p>
    <w:p>
      <w:pPr>
        <w:spacing w:after="160"/>
      </w:pPr>
      <w:r>
        <w:rPr>
          <w:b/>
          <w:bCs/>
        </w:rPr>
        <w:t xml:space="preserve">Weighting rationale.</w:t>
      </w:r>
      <w:r>
        <w:t xml:space="preserve"> P1 and P2 together are 45% of the score by design — a great business bought at a bad price and a mediocre business bought at a great price both eventually work; a mediocre business bought at a bad price never does. Financial trajectory and entry terms are the two variables with the most evidence behind them (they are in the model), so they get the most weight. Qualitative pillars (P3, P4, P5) are real but softer, so they are weighted lower individually — though at 45% combined they still dominate the softer half of the score, which is intentional: moat, management, and optionality are what turn a good entry price into a great outcome five years out.</w:t>
      </w:r>
    </w:p>
    <w:p>
      <w:pPr>
        <w:pStyle w:val="Heading2"/>
        <w:spacing w:after="120" w:before="240"/>
      </w:pPr>
      <w:r>
        <w:t xml:space="preserve">3.1 Score Bands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NDQI</w:t>
            </w:r>
          </w:p>
        </w:tc>
        <w:tc>
          <w:tcPr>
            <w:shd w:fill="1B2A4A" w:val="solid"/>
          </w:tcPr>
          <w:p>
            <w:r>
              <w:rPr>
                <w:b/>
                <w:bCs/>
                <w:color w:val="FFFFFF"/>
              </w:rPr>
              <w:t xml:space="preserve">Tier</w:t>
            </w:r>
          </w:p>
        </w:tc>
        <w:tc>
          <w:tcPr>
            <w:shd w:fill="1B2A4A" w:val="solid"/>
          </w:tcPr>
          <w:p>
            <w:r>
              <w:rPr>
                <w:b/>
                <w:bCs/>
                <w:color w:val="FFFFFF"/>
              </w:rPr>
              <w:t xml:space="preserve">Action</w:t>
            </w:r>
          </w:p>
        </w:tc>
      </w:tr>
      <w:tr>
        <w:tc>
          <w:p>
            <w:r>
              <w:t xml:space="preserve">80–100</w:t>
            </w:r>
          </w:p>
        </w:tc>
        <w:tc>
          <w:p>
            <w:r>
              <w:t xml:space="preserve">Strong</w:t>
            </w:r>
          </w:p>
        </w:tc>
        <w:tc>
          <w:p>
            <w:r>
              <w:t xml:space="preserve">Pursue aggressively; fast-track to IC</w:t>
            </w:r>
          </w:p>
        </w:tc>
      </w:tr>
      <w:tr>
        <w:tc>
          <w:tcPr>
            <w:shd w:fill="F3F4F6" w:val="solid"/>
          </w:tcPr>
          <w:p>
            <w:r>
              <w:t xml:space="preserve">65–79</w:t>
            </w:r>
          </w:p>
        </w:tc>
        <w:tc>
          <w:tcPr>
            <w:shd w:fill="F3F4F6" w:val="solid"/>
          </w:tcPr>
          <w:p>
            <w:r>
              <w:t xml:space="preserve">Attractive</w:t>
            </w:r>
          </w:p>
        </w:tc>
        <w:tc>
          <w:tcPr>
            <w:shd w:fill="F3F4F6" w:val="solid"/>
          </w:tcPr>
          <w:p>
            <w:r>
              <w:t xml:space="preserve">Proceed to deep diligence</w:t>
            </w:r>
          </w:p>
        </w:tc>
      </w:tr>
      <w:tr>
        <w:tc>
          <w:p>
            <w:r>
              <w:t xml:space="preserve">50–64</w:t>
            </w:r>
          </w:p>
        </w:tc>
        <w:tc>
          <w:p>
            <w:r>
              <w:t xml:space="preserve">Conditional</w:t>
            </w:r>
          </w:p>
        </w:tc>
        <w:tc>
          <w:p>
            <w:r>
              <w:t xml:space="preserve">Proceed only with specific risk mitigants identified in P6</w:t>
            </w:r>
          </w:p>
        </w:tc>
      </w:tr>
      <w:tr>
        <w:tc>
          <w:tcPr>
            <w:shd w:fill="F3F4F6" w:val="solid"/>
          </w:tcPr>
          <w:p>
            <w:r>
              <w:t xml:space="preserve">35–49</w:t>
            </w:r>
          </w:p>
        </w:tc>
        <w:tc>
          <w:tcPr>
            <w:shd w:fill="F3F4F6" w:val="solid"/>
          </w:tcPr>
          <w:p>
            <w:r>
              <w:t xml:space="preserve">Weak</w:t>
            </w:r>
          </w:p>
        </w:tc>
        <w:tc>
          <w:tcPr>
            <w:shd w:fill="F3F4F6" w:val="solid"/>
          </w:tcPr>
          <w:p>
            <w:r>
              <w:t xml:space="preserve">Pass unless terms improve materially (re-run P2 at a lower entry multiple to see what price would clear 65)</w:t>
            </w:r>
          </w:p>
        </w:tc>
      </w:tr>
      <w:tr>
        <w:tc>
          <w:p>
            <w:r>
              <w:t xml:space="preserve">0–34</w:t>
            </w:r>
          </w:p>
        </w:tc>
        <w:tc>
          <w:p>
            <w:r>
              <w:t xml:space="preserve">Pass</w:t>
            </w:r>
          </w:p>
        </w:tc>
        <w:tc>
          <w:p>
            <w:r>
              <w:t xml:space="preserve">Decline</w:t>
            </w:r>
          </w:p>
        </w:tc>
      </w:tr>
    </w:tbl>
    <w:p>
      <w:pPr>
        <w:spacing w:after="160"/>
      </w:pPr>
      <w:r>
        <w:t xml:space="preserve">These bands assume high-confidence inputs (see Section 6). Under low confidence, the tier should be treated as directional only, with the band widened by ±10 points before acting on it.</w:t>
      </w:r>
    </w:p>
    <w:p>
      <w:pPr>
        <w:pStyle w:val="Heading1"/>
        <w:spacing w:after="120" w:before="240"/>
      </w:pPr>
      <w:r>
        <w:t xml:space="preserve">4. Detailed Pillar Formulas</w:t>
      </w:r>
    </w:p>
    <w:p>
      <w:pPr>
        <w:spacing w:after="160"/>
      </w:pPr>
      <w:r>
        <w:t xml:space="preserve">All sub-scores are clamped to [0, 100] after computation unless stated otherwise. clamp(x, lo, hi) = min(max(x, lo), hi). lerp denotes piecewise-linear interpolation between named anchor points.</w:t>
      </w:r>
    </w:p>
    <w:p>
      <w:pPr>
        <w:pStyle w:val="Heading2"/>
        <w:spacing w:after="120" w:before="240"/>
      </w:pPr>
      <w:r>
        <w:t xml:space="preserve">4.1 P1. Financial Performance &amp; Trajectory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P1</w:t>
            </w:r>
          </w:p>
        </w:tc>
        <w:tc>
          <w:tcPr>
            <w:shd w:fill="1B2A4A" w:val="solid"/>
          </w:tcPr>
          <w:p>
            <w:r>
              <w:rPr>
                <w:b/>
                <w:bCs/>
                <w:color w:val="FFFFFF"/>
              </w:rPr>
              <w:t xml:space="preserve">Formula</w:t>
            </w:r>
          </w:p>
        </w:tc>
      </w:tr>
      <w:tr>
        <w:tc>
          <w:p>
            <w:r>
              <w:t xml:space="preserve">a. Revenue CAGR (3yr historical)</w:t>
            </w:r>
          </w:p>
        </w:tc>
        <w:tc>
          <w:p>
            <w:r>
              <w:t xml:space="preserve">35%</w:t>
            </w:r>
          </w:p>
        </w:tc>
        <w:tc>
          <w:p>
            <w:r>
              <w:t xml:space="preserve">lerp anchors: ≤0%→10, 5%→40, 15%→75, 30%→95, ≥45%→100</w:t>
            </w:r>
          </w:p>
        </w:tc>
      </w:tr>
      <w:tr>
        <w:tc>
          <w:tcPr>
            <w:shd w:fill="F3F4F6" w:val="solid"/>
          </w:tcPr>
          <w:p>
            <w:r>
              <w:t xml:space="preserve">b. EBITDA margin vs. sector median</w:t>
            </w:r>
          </w:p>
        </w:tc>
        <w:tc>
          <w:tcPr>
            <w:shd w:fill="F3F4F6" w:val="solid"/>
          </w:tcPr>
          <w:p>
            <w:r>
              <w:t xml:space="preserve">25%</w:t>
            </w:r>
          </w:p>
        </w:tc>
        <w:tc>
          <w:tcPr>
            <w:shd w:fill="F3F4F6" w:val="solid"/>
          </w:tcPr>
          <w:p>
            <w:r>
              <w:t xml:space="preserve">clamp(50 + (companyMargin − sectorMedianMargin) × 2, 0, 100)</w:t>
            </w:r>
          </w:p>
        </w:tc>
      </w:tr>
      <w:tr>
        <w:tc>
          <w:p>
            <w:r>
              <w:t xml:space="preserve">c. Margin trend (pts/year, 3yr)</w:t>
            </w:r>
          </w:p>
        </w:tc>
        <w:tc>
          <w:p>
            <w:r>
              <w:t xml:space="preserve">15%</w:t>
            </w:r>
          </w:p>
        </w:tc>
        <w:tc>
          <w:p>
            <w:r>
              <w:t xml:space="preserve">clamp(50 + marginTrendPtsPerYear × 10, 0, 100)</w:t>
            </w:r>
          </w:p>
        </w:tc>
      </w:tr>
      <w:tr>
        <w:tc>
          <w:tcPr>
            <w:shd w:fill="F3F4F6" w:val="solid"/>
          </w:tcPr>
          <w:p>
            <w:r>
              <w:t xml:space="preserve">d. Revenue quality (% recurring/contracted)</w:t>
            </w:r>
          </w:p>
        </w:tc>
        <w:tc>
          <w:tcPr>
            <w:shd w:fill="F3F4F6" w:val="solid"/>
          </w:tcPr>
          <w:p>
            <w:r>
              <w:t xml:space="preserve">15%</w:t>
            </w:r>
          </w:p>
        </w:tc>
        <w:tc>
          <w:tcPr>
            <w:shd w:fill="F3F4F6" w:val="solid"/>
          </w:tcPr>
          <w:p>
            <w:r>
              <w:t xml:space="preserve">recurringPct directly as score; +10 bonus (cap 100) if avg. contract length &gt; 2 years</w:t>
            </w:r>
          </w:p>
        </w:tc>
      </w:tr>
      <w:tr>
        <w:tc>
          <w:p>
            <w:r>
              <w:t xml:space="preserve">e. Cash conversion (FCF / EBITDA)</w:t>
            </w:r>
          </w:p>
        </w:tc>
        <w:tc>
          <w:p>
            <w:r>
              <w:t xml:space="preserve">10%</w:t>
            </w:r>
          </w:p>
        </w:tc>
        <w:tc>
          <w:p>
            <w:r>
              <w:t xml:space="preserve">clamp(ratio × 100, 0, 100); hard cap at 30 if FCF is negative while EBITDA is positive (working-capital red flag)</w:t>
            </w:r>
          </w:p>
        </w:tc>
      </w:tr>
    </w:tbl>
    <w:p>
      <w:pPr>
        <w:spacing w:after="160"/>
        <w:jc w:val="center"/>
      </w:pPr>
      <w:r>
        <w:t xml:space="preserve">P1 = 0.35a + 0.25b + 0.15c + 0.15d + 0.10e</w:t>
      </w:r>
    </w:p>
    <w:p>
      <w:pPr>
        <w:spacing w:after="160"/>
      </w:pPr>
      <w:r>
        <w:rPr>
          <w:b/>
          <w:bCs/>
        </w:rPr>
        <w:t xml:space="preserve">Hypergrowth guard.</w:t>
      </w:r>
      <w:r>
        <w:t xml:space="preserve"> If (a) implies a CAGR ≥ 60% but fewer than 2 full fiscal years of data support it, the effective contribution of (a) is capped at 80 regardless of the raw lerp result, and the output is flagged "unverified_hypergrowth". Extraordinary growth claims need extraordinary evidence; two data points is not a trend. This guard exists specifically to prevent a single strong quarter or a short post-launch ramp from mechanically producing a maximum sub-score.</w:t>
      </w:r>
    </w:p>
    <w:p>
      <w:pPr>
        <w:pStyle w:val="Heading2"/>
        <w:spacing w:after="120" w:before="240"/>
      </w:pPr>
      <w:r>
        <w:t xml:space="preserve">4.2 P2. Valuation &amp; Deal Terms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P2</w:t>
            </w:r>
          </w:p>
        </w:tc>
        <w:tc>
          <w:tcPr>
            <w:shd w:fill="1B2A4A" w:val="solid"/>
          </w:tcPr>
          <w:p>
            <w:r>
              <w:rPr>
                <w:b/>
                <w:bCs/>
                <w:color w:val="FFFFFF"/>
              </w:rPr>
              <w:t xml:space="preserve">Formula</w:t>
            </w:r>
          </w:p>
        </w:tc>
      </w:tr>
      <w:tr>
        <w:tc>
          <w:p>
            <w:r>
              <w:t xml:space="preserve">a. Entry multiple vs. sector comp median</w:t>
            </w:r>
          </w:p>
        </w:tc>
        <w:tc>
          <w:p>
            <w:r>
              <w:t xml:space="preserve">50%</w:t>
            </w:r>
          </w:p>
        </w:tc>
        <w:tc>
          <w:p>
            <w:r>
              <w:t xml:space="preserve">premiumPct = (dealMultiple − sectorMedianMultiple) / sectorMedianMultiple; clamp(70 − premiumPct × 100, 0, 100)</w:t>
            </w:r>
          </w:p>
        </w:tc>
      </w:tr>
      <w:tr>
        <w:tc>
          <w:tcPr>
            <w:shd w:fill="F3F4F6" w:val="solid"/>
          </w:tcPr>
          <w:p>
            <w:r>
              <w:t xml:space="preserve">b. Leverage vs. sector norm (Net Debt/EBITDA)</w:t>
            </w:r>
          </w:p>
        </w:tc>
        <w:tc>
          <w:tcPr>
            <w:shd w:fill="F3F4F6" w:val="solid"/>
          </w:tcPr>
          <w:p>
            <w:r>
              <w:t xml:space="preserve">30%</w:t>
            </w:r>
          </w:p>
        </w:tc>
        <w:tc>
          <w:tcPr>
            <w:shd w:fill="F3F4F6" w:val="solid"/>
          </w:tcPr>
          <w:p>
            <w:r>
              <w:t xml:space="preserve">clamp(100 − max(0, leverage − sectorMedianLeverage) × 15, 0, 100)</w:t>
            </w:r>
          </w:p>
        </w:tc>
      </w:tr>
      <w:tr>
        <w:tc>
          <w:p>
            <w:r>
              <w:t xml:space="preserve">c. Structural protections (1–5 rubric, see Section 5)</w:t>
            </w:r>
          </w:p>
        </w:tc>
        <w:tc>
          <w:p>
            <w:r>
              <w:t xml:space="preserve">20%</w:t>
            </w:r>
          </w:p>
        </w:tc>
        <w:tc>
          <w:p>
            <w:r>
              <w:t xml:space="preserve">likertToScore(rubricValue)</w:t>
            </w:r>
          </w:p>
        </w:tc>
      </w:tr>
    </w:tbl>
    <w:p>
      <w:pPr>
        <w:spacing w:after="160"/>
        <w:jc w:val="center"/>
      </w:pPr>
      <w:r>
        <w:t xml:space="preserve">P2 = 0.50a + 0.30b + 0.20c</w:t>
      </w:r>
    </w:p>
    <w:p>
      <w:pPr>
        <w:spacing w:after="160"/>
      </w:pPr>
      <w:r>
        <w:rPr>
          <w:b/>
          <w:bCs/>
        </w:rPr>
        <w:t xml:space="preserve">Why 70, not 100, is the baseline for (a).</w:t>
      </w:r>
      <w:r>
        <w:t xml:space="preserve"> Paying exactly the sector median multiple is fair, not good — it earns a passing-but-unremarkable score. Every 10% paid above median costs 10 points; every 10% below median earns 10 points. This is intentionally the steepest lever in the whole model, because entry price is the single most controllable driver of realized IRR.</w:t>
      </w:r>
    </w:p>
    <w:p>
      <w:pPr>
        <w:pStyle w:val="Heading2"/>
        <w:spacing w:after="120" w:before="240"/>
      </w:pPr>
      <w:r>
        <w:t xml:space="preserve">4.3 P3. Market &amp; Competitive Position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P3</w:t>
            </w:r>
          </w:p>
        </w:tc>
        <w:tc>
          <w:tcPr>
            <w:shd w:fill="1B2A4A" w:val="solid"/>
          </w:tcPr>
          <w:p>
            <w:r>
              <w:rPr>
                <w:b/>
                <w:bCs/>
                <w:color w:val="FFFFFF"/>
              </w:rPr>
              <w:t xml:space="preserve">Formula</w:t>
            </w:r>
          </w:p>
        </w:tc>
      </w:tr>
      <w:tr>
        <w:tc>
          <w:p>
            <w:r>
              <w:t xml:space="preserve">a. TAM forecast growth rate</w:t>
            </w:r>
          </w:p>
        </w:tc>
        <w:tc>
          <w:p>
            <w:r>
              <w:t xml:space="preserve">30%</w:t>
            </w:r>
          </w:p>
        </w:tc>
        <w:tc>
          <w:p>
            <w:r>
              <w:t xml:space="preserve">lerp anchors: ≤0%→20, 5%→50, 10%→70, 20%→90, ≥30%→100</w:t>
            </w:r>
          </w:p>
        </w:tc>
      </w:tr>
      <w:tr>
        <w:tc>
          <w:tcPr>
            <w:shd w:fill="F3F4F6" w:val="solid"/>
          </w:tcPr>
          <w:p>
            <w:r>
              <w:t xml:space="preserve">b. Relative market-share trend</w:t>
            </w:r>
          </w:p>
        </w:tc>
        <w:tc>
          <w:tcPr>
            <w:shd w:fill="F3F4F6" w:val="solid"/>
          </w:tcPr>
          <w:p>
            <w:r>
              <w:t xml:space="preserve">30%</w:t>
            </w:r>
          </w:p>
        </w:tc>
        <w:tc>
          <w:tcPr>
            <w:shd w:fill="F3F4F6" w:val="solid"/>
          </w:tcPr>
          <w:p>
            <w:r>
              <w:t xml:space="preserve">Likert: losing materially→10, losing slightly→35, flat→60, gaining slightly→80, gaining materially→100</w:t>
            </w:r>
          </w:p>
        </w:tc>
      </w:tr>
      <w:tr>
        <w:tc>
          <w:p>
            <w:r>
              <w:t xml:space="preserve">c. Competitive moat (avg. of 4 sub-ratings, see Section 5)</w:t>
            </w:r>
          </w:p>
        </w:tc>
        <w:tc>
          <w:p>
            <w:r>
              <w:t xml:space="preserve">40%</w:t>
            </w:r>
          </w:p>
        </w:tc>
        <w:tc>
          <w:p>
            <w:r>
              <w:t xml:space="preserve">likertToScore(average(switchingCosts, ip, networkEffects, brandOrRegulatory))</w:t>
            </w:r>
          </w:p>
        </w:tc>
      </w:tr>
    </w:tbl>
    <w:p>
      <w:pPr>
        <w:spacing w:after="160"/>
        <w:jc w:val="center"/>
      </w:pPr>
      <w:r>
        <w:t xml:space="preserve">P3 = 0.30a + 0.30b + 0.40c</w:t>
      </w:r>
    </w:p>
    <w:p>
      <w:pPr>
        <w:pStyle w:val="Heading2"/>
        <w:spacing w:after="120" w:before="240"/>
      </w:pPr>
      <w:r>
        <w:t xml:space="preserve">4.4 P4. Management &amp; Governance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P4</w:t>
            </w:r>
          </w:p>
        </w:tc>
        <w:tc>
          <w:tcPr>
            <w:shd w:fill="1B2A4A" w:val="solid"/>
          </w:tcPr>
          <w:p>
            <w:r>
              <w:rPr>
                <w:b/>
                <w:bCs/>
                <w:color w:val="FFFFFF"/>
              </w:rPr>
              <w:t xml:space="preserve">Formula</w:t>
            </w:r>
          </w:p>
        </w:tc>
      </w:tr>
      <w:tr>
        <w:tc>
          <w:p>
            <w:r>
              <w:t xml:space="preserve">a. Team track record</w:t>
            </w:r>
          </w:p>
        </w:tc>
        <w:tc>
          <w:p>
            <w:r>
              <w:t xml:space="preserve">40%</w:t>
            </w:r>
          </w:p>
        </w:tc>
        <w:tc>
          <w:p>
            <w:r>
              <w:t xml:space="preserve">Rubric: 0 exits &amp; &lt;2yr tenure→30; 0 exits &amp; 2–5yr→50; 1 exit or 5yr+→70; 2+ exits→95</w:t>
            </w:r>
          </w:p>
        </w:tc>
      </w:tr>
      <w:tr>
        <w:tc>
          <w:tcPr>
            <w:shd w:fill="F3F4F6" w:val="solid"/>
          </w:tcPr>
          <w:p>
            <w:r>
              <w:t xml:space="preserve">b. Insider ownership post-deal</w:t>
            </w:r>
          </w:p>
        </w:tc>
        <w:tc>
          <w:tcPr>
            <w:shd w:fill="F3F4F6" w:val="solid"/>
          </w:tcPr>
          <w:p>
            <w:r>
              <w:t xml:space="preserve">30%</w:t>
            </w:r>
          </w:p>
        </w:tc>
        <w:tc>
          <w:tcPr>
            <w:shd w:fill="F3F4F6" w:val="solid"/>
          </w:tcPr>
          <w:p>
            <w:r>
              <w:t xml:space="preserve">lerp anchors: &lt;5%→30, 15%→60, 30%→85, ≥45%→100</w:t>
            </w:r>
          </w:p>
        </w:tc>
      </w:tr>
      <w:tr>
        <w:tc>
          <w:p>
            <w:r>
              <w:t xml:space="preserve">c. Governance red flags</w:t>
            </w:r>
          </w:p>
        </w:tc>
        <w:tc>
          <w:p>
            <w:r>
              <w:t xml:space="preserve">30%</w:t>
            </w:r>
          </w:p>
        </w:tc>
        <w:tc>
          <w:p>
            <w:r>
              <w:t xml:space="preserve">Start at 100; −15 per confirmed flag (related-party transactions, audit qualification, unresolved litigation, key-person risk w/o succession plan); floor 0</w:t>
            </w:r>
          </w:p>
        </w:tc>
      </w:tr>
    </w:tbl>
    <w:p>
      <w:pPr>
        <w:spacing w:after="160"/>
        <w:jc w:val="center"/>
      </w:pPr>
      <w:r>
        <w:t xml:space="preserve">P4 = 0.40a + 0.30b + 0.30c</w:t>
      </w:r>
    </w:p>
    <w:p>
      <w:pPr>
        <w:pStyle w:val="Heading2"/>
        <w:spacing w:after="120" w:before="240"/>
      </w:pPr>
      <w:r>
        <w:t xml:space="preserve">4.5 P5. Growth &amp; Exit Potential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P5</w:t>
            </w:r>
          </w:p>
        </w:tc>
        <w:tc>
          <w:tcPr>
            <w:shd w:fill="1B2A4A" w:val="solid"/>
          </w:tcPr>
          <w:p>
            <w:r>
              <w:rPr>
                <w:b/>
                <w:bCs/>
                <w:color w:val="FFFFFF"/>
              </w:rPr>
              <w:t xml:space="preserve">Formula</w:t>
            </w:r>
          </w:p>
        </w:tc>
      </w:tr>
      <w:tr>
        <w:tc>
          <w:p>
            <w:r>
              <w:t xml:space="preserve">a. Expansion optionality (count of evidenced levers: new geography, new product line, active M&amp;A pipeline, demonstrated pricing power)</w:t>
            </w:r>
          </w:p>
        </w:tc>
        <w:tc>
          <w:p>
            <w:r>
              <w:t xml:space="preserve">60%</w:t>
            </w:r>
          </w:p>
        </w:tc>
        <w:tc>
          <w:p>
            <w:r>
              <w:t xml:space="preserve">0 levers→20, 1→45, 2→70, ≥3→90</w:t>
            </w:r>
          </w:p>
        </w:tc>
      </w:tr>
      <w:tr>
        <w:tc>
          <w:tcPr>
            <w:shd w:fill="F3F4F6" w:val="solid"/>
          </w:tcPr>
          <w:p>
            <w:r>
              <w:t xml:space="preserve">b. Exit path clarity (1–5 rubric, see Section 5)</w:t>
            </w:r>
          </w:p>
        </w:tc>
        <w:tc>
          <w:tcPr>
            <w:shd w:fill="F3F4F6" w:val="solid"/>
          </w:tcPr>
          <w:p>
            <w:r>
              <w:t xml:space="preserve">40%</w:t>
            </w:r>
          </w:p>
        </w:tc>
        <w:tc>
          <w:tcPr>
            <w:shd w:fill="F3F4F6" w:val="solid"/>
          </w:tcPr>
          <w:p>
            <w:r>
              <w:t xml:space="preserve">likertToScore(rubricValue)</w:t>
            </w:r>
          </w:p>
        </w:tc>
      </w:tr>
    </w:tbl>
    <w:p>
      <w:pPr>
        <w:spacing w:after="160"/>
        <w:jc w:val="center"/>
      </w:pPr>
      <w:r>
        <w:t xml:space="preserve">P5 = 0.60a + 0.40b</w:t>
      </w:r>
    </w:p>
    <w:p>
      <w:pPr>
        <w:spacing w:after="160"/>
      </w:pPr>
      <w:r>
        <w:t xml:space="preserve">"Evidenced" in (a) means named and substantiated in the deck/model/diligence notes — "international expansion" with no market entry plan does not count as a lever; it counts as a slide.</w:t>
      </w:r>
    </w:p>
    <w:p>
      <w:pPr>
        <w:pStyle w:val="Heading2"/>
        <w:spacing w:after="120" w:before="240"/>
      </w:pPr>
      <w:r>
        <w:t xml:space="preserve">4.6 P6. Risk Factors (Deductive — Starts at 100, Subtracts)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Flag</w:t>
            </w:r>
          </w:p>
        </w:tc>
        <w:tc>
          <w:tcPr>
            <w:shd w:fill="1B2A4A" w:val="solid"/>
          </w:tcPr>
          <w:p>
            <w:r>
              <w:rPr>
                <w:b/>
                <w:bCs/>
                <w:color w:val="FFFFFF"/>
              </w:rPr>
              <w:t xml:space="preserve">Deduction</w:t>
            </w:r>
          </w:p>
        </w:tc>
      </w:tr>
      <w:tr>
        <w:tc>
          <w:p>
            <w:r>
              <w:t xml:space="preserve">Top-1 customer &gt; 20% of revenue</w:t>
            </w:r>
          </w:p>
        </w:tc>
        <w:tc>
          <w:p>
            <w:r>
              <w:t xml:space="preserve">−20</w:t>
            </w:r>
          </w:p>
        </w:tc>
      </w:tr>
      <w:tr>
        <w:tc>
          <w:tcPr>
            <w:shd w:fill="F3F4F6" w:val="solid"/>
          </w:tcPr>
          <w:p>
            <w:r>
              <w:t xml:space="preserve">Top-3 customers &gt; 50% of revenue (additional, stacks with above)</w:t>
            </w:r>
          </w:p>
        </w:tc>
        <w:tc>
          <w:tcPr>
            <w:shd w:fill="F3F4F6" w:val="solid"/>
          </w:tcPr>
          <w:p>
            <w:r>
              <w:t xml:space="preserve">−15</w:t>
            </w:r>
          </w:p>
        </w:tc>
      </w:tr>
      <w:tr>
        <w:tc>
          <w:p>
            <w:r>
              <w:t xml:space="preserve">Material unresolved regulatory/litigation exposure</w:t>
            </w:r>
          </w:p>
        </w:tc>
        <w:tc>
          <w:p>
            <w:r>
              <w:t xml:space="preserve">−20</w:t>
            </w:r>
          </w:p>
        </w:tc>
      </w:tr>
      <w:tr>
        <w:tc>
          <w:tcPr>
            <w:shd w:fill="F3F4F6" w:val="solid"/>
          </w:tcPr>
          <w:p>
            <w:r>
              <w:t xml:space="preserve">Key-person dependency with no succession plan or non-compete</w:t>
            </w:r>
          </w:p>
        </w:tc>
        <w:tc>
          <w:tcPr>
            <w:shd w:fill="F3F4F6" w:val="solid"/>
          </w:tcPr>
          <w:p>
            <w:r>
              <w:t xml:space="preserve">−15</w:t>
            </w:r>
          </w:p>
        </w:tc>
      </w:tr>
      <w:tr>
        <w:tc>
          <w:p>
            <w:r>
              <w:t xml:space="preserve">High cyclicality (revenue materially correlated to GDP/commodity cycles)</w:t>
            </w:r>
          </w:p>
        </w:tc>
        <w:tc>
          <w:p>
            <w:r>
              <w:t xml:space="preserve">−15</w:t>
            </w:r>
          </w:p>
        </w:tc>
      </w:tr>
      <w:tr>
        <w:tc>
          <w:tcPr>
            <w:shd w:fill="F3F4F6" w:val="solid"/>
          </w:tcPr>
          <w:p>
            <w:r>
              <w:t xml:space="preserve">Meaningful FX or single-geography concentration</w:t>
            </w:r>
          </w:p>
        </w:tc>
        <w:tc>
          <w:tcPr>
            <w:shd w:fill="F3F4F6" w:val="solid"/>
          </w:tcPr>
          <w:p>
            <w:r>
              <w:t xml:space="preserve">−10</w:t>
            </w:r>
          </w:p>
        </w:tc>
      </w:tr>
    </w:tbl>
    <w:p>
      <w:pPr>
        <w:spacing w:after="160"/>
        <w:jc w:val="center"/>
      </w:pPr>
      <w:r>
        <w:t xml:space="preserve">P6 = clamp(100 − sum(triggered deductions), 0, 100)</w:t>
      </w:r>
    </w:p>
    <w:p>
      <w:pPr>
        <w:pStyle w:val="Heading1"/>
        <w:spacing w:after="120" w:before="240"/>
      </w:pPr>
      <w:r>
        <w:t xml:space="preserve">5. Qualitative Rubrics / Calibration Anchors</w:t>
      </w:r>
    </w:p>
    <w:p>
      <w:pPr>
        <w:spacing w:after="160"/>
      </w:pPr>
      <w:r>
        <w:t xml:space="preserve">Used for P2c, P3c, P5b, and any other 1–5 qualitative input. These are anchors, not vibes — the analyst is required to write down which anchor description matches before selecting a number.</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Value</w:t>
            </w:r>
          </w:p>
        </w:tc>
        <w:tc>
          <w:tcPr>
            <w:shd w:fill="1B2A4A" w:val="solid"/>
          </w:tcPr>
          <w:p>
            <w:r>
              <w:rPr>
                <w:b/>
                <w:bCs/>
                <w:color w:val="FFFFFF"/>
              </w:rPr>
              <w:t xml:space="preserve">Score</w:t>
            </w:r>
          </w:p>
        </w:tc>
        <w:tc>
          <w:tcPr>
            <w:shd w:fill="1B2A4A" w:val="solid"/>
          </w:tcPr>
          <w:p>
            <w:r>
              <w:rPr>
                <w:b/>
                <w:bCs/>
                <w:color w:val="FFFFFF"/>
              </w:rPr>
              <w:t xml:space="preserve">Anchor Description</w:t>
            </w:r>
          </w:p>
        </w:tc>
      </w:tr>
      <w:tr>
        <w:tc>
          <w:p>
            <w:r>
              <w:t xml:space="preserve">1</w:t>
            </w:r>
          </w:p>
        </w:tc>
        <w:tc>
          <w:p>
            <w:r>
              <w:t xml:space="preserve">10</w:t>
            </w:r>
          </w:p>
        </w:tc>
        <w:tc>
          <w:p>
            <w:r>
              <w:t xml:space="preserve">Absent / actively concerning</w:t>
            </w:r>
          </w:p>
        </w:tc>
      </w:tr>
      <w:tr>
        <w:tc>
          <w:tcPr>
            <w:shd w:fill="F3F4F6" w:val="solid"/>
          </w:tcPr>
          <w:p>
            <w:r>
              <w:t xml:space="preserve">2</w:t>
            </w:r>
          </w:p>
        </w:tc>
        <w:tc>
          <w:tcPr>
            <w:shd w:fill="F3F4F6" w:val="solid"/>
          </w:tcPr>
          <w:p>
            <w:r>
              <w:t xml:space="preserve">35</w:t>
            </w:r>
          </w:p>
        </w:tc>
        <w:tc>
          <w:tcPr>
            <w:shd w:fill="F3F4F6" w:val="solid"/>
          </w:tcPr>
          <w:p>
            <w:r>
              <w:t xml:space="preserve">Weak — present but thin, easily challenged</w:t>
            </w:r>
          </w:p>
        </w:tc>
      </w:tr>
      <w:tr>
        <w:tc>
          <w:p>
            <w:r>
              <w:t xml:space="preserve">3</w:t>
            </w:r>
          </w:p>
        </w:tc>
        <w:tc>
          <w:p>
            <w:r>
              <w:t xml:space="preserve">60</w:t>
            </w:r>
          </w:p>
        </w:tc>
        <w:tc>
          <w:p>
            <w:r>
              <w:t xml:space="preserve">Adequate — defensible, industry-standard</w:t>
            </w:r>
          </w:p>
        </w:tc>
      </w:tr>
      <w:tr>
        <w:tc>
          <w:tcPr>
            <w:shd w:fill="F3F4F6" w:val="solid"/>
          </w:tcPr>
          <w:p>
            <w:r>
              <w:t xml:space="preserve">4</w:t>
            </w:r>
          </w:p>
        </w:tc>
        <w:tc>
          <w:tcPr>
            <w:shd w:fill="F3F4F6" w:val="solid"/>
          </w:tcPr>
          <w:p>
            <w:r>
              <w:t xml:space="preserve">80</w:t>
            </w:r>
          </w:p>
        </w:tc>
        <w:tc>
          <w:tcPr>
            <w:shd w:fill="F3F4F6" w:val="solid"/>
          </w:tcPr>
          <w:p>
            <w:r>
              <w:t xml:space="preserve">Strong — clearly above peer set</w:t>
            </w:r>
          </w:p>
        </w:tc>
      </w:tr>
      <w:tr>
        <w:tc>
          <w:p>
            <w:r>
              <w:t xml:space="preserve">5</w:t>
            </w:r>
          </w:p>
        </w:tc>
        <w:tc>
          <w:p>
            <w:r>
              <w:t xml:space="preserve">100</w:t>
            </w:r>
          </w:p>
        </w:tc>
        <w:tc>
          <w:p>
            <w:r>
              <w:t xml:space="preserve">Exceptional — a genuine, hard-to-replicate advantage</w:t>
            </w:r>
          </w:p>
        </w:tc>
      </w:tr>
    </w:tbl>
    <w:p>
      <w:pPr>
        <w:spacing w:after="160"/>
      </w:pPr>
      <w:r>
        <w:t xml:space="preserve">likertToScore: linear interpolation is used for non-integer averages (e.g. a competitive-moat average of 3.5 → score 70).</w:t>
      </w:r>
    </w:p>
    <w:p>
      <w:pPr>
        <w:pStyle w:val="Heading2"/>
        <w:spacing w:after="120" w:before="240"/>
      </w:pPr>
      <w:r>
        <w:t xml:space="preserve">5.1 Competitive Moat Sub-Ratings (P3c)</w:t>
      </w:r>
    </w:p>
    <w:p>
      <w:pPr>
        <w:spacing w:after="160"/>
      </w:pPr>
      <w:r>
        <w:t xml:space="preserve">Each rated 1–5 independently, then averaged:</w:t>
      </w:r>
    </w:p>
    <w:p>
      <w:pPr>
        <w:pStyle w:val="ListParagraph"/>
        <w:numPr>
          <w:ilvl w:val="0"/>
          <w:numId w:val="1"/>
        </w:numPr>
        <w:spacing w:after="60"/>
      </w:pPr>
      <w:r>
        <w:t xml:space="preserve">Switching costs: how painful is it for a customer to leave?</w:t>
      </w:r>
    </w:p>
    <w:p>
      <w:pPr>
        <w:pStyle w:val="ListParagraph"/>
        <w:numPr>
          <w:ilvl w:val="0"/>
          <w:numId w:val="1"/>
        </w:numPr>
        <w:spacing w:after="60"/>
      </w:pPr>
      <w:r>
        <w:t xml:space="preserve">IP / technical differentiation: patents, proprietary data, or hard-to-replicate tech?</w:t>
      </w:r>
    </w:p>
    <w:p>
      <w:pPr>
        <w:pStyle w:val="ListParagraph"/>
        <w:numPr>
          <w:ilvl w:val="0"/>
          <w:numId w:val="1"/>
        </w:numPr>
        <w:spacing w:after="60"/>
      </w:pPr>
      <w:r>
        <w:t xml:space="preserve">Network effects: does the product get better as more people use it?</w:t>
      </w:r>
    </w:p>
    <w:p>
      <w:pPr>
        <w:pStyle w:val="ListParagraph"/>
        <w:numPr>
          <w:ilvl w:val="0"/>
          <w:numId w:val="1"/>
        </w:numPr>
        <w:spacing w:after="60"/>
      </w:pPr>
      <w:r>
        <w:t xml:space="preserve">Brand or regulatory barrier: does brand trust or a license/regulatory moat block new entrants?</w:t>
      </w:r>
    </w:p>
    <w:p>
      <w:pPr>
        <w:pStyle w:val="Heading2"/>
        <w:spacing w:after="120" w:before="240"/>
      </w:pPr>
      <w:r>
        <w:t xml:space="preserve">5.2 Structural Protections (P2c)</w:t>
      </w:r>
    </w:p>
    <w:p>
      <w:pPr>
        <w:spacing w:after="160"/>
      </w:pPr>
      <w:r>
        <w:t xml:space="preserve">Liquidation preference seniority, covenant strength, board control/veto rights, anti-dilution provisions — the package is rated as a whole against what is market-standard for the deal's stage and size.</w:t>
      </w:r>
    </w:p>
    <w:p>
      <w:pPr>
        <w:pStyle w:val="Heading2"/>
        <w:spacing w:after="120" w:before="240"/>
      </w:pPr>
      <w:r>
        <w:t xml:space="preserve">5.3 Exit Path Clarity (P5b)</w:t>
      </w:r>
    </w:p>
    <w:p>
      <w:pPr>
        <w:spacing w:after="160"/>
      </w:pPr>
      <w:r>
        <w:t xml:space="preserve">Are there ≥2 credible, named acquirer types or a precedent IPO/transaction in the sector within the last 3 years?</w:t>
      </w:r>
    </w:p>
    <w:p>
      <w:pPr>
        <w:pStyle w:val="Heading1"/>
        <w:spacing w:after="120" w:before="240"/>
      </w:pPr>
      <w:r>
        <w:t xml:space="preserve">6. Confidence and Data-Quality Framework</w:t>
      </w:r>
    </w:p>
    <w:p>
      <w:pPr>
        <w:spacing w:after="160"/>
      </w:pPr>
      <w:r>
        <w:t xml:space="preserve">Every pillar has a required input list (specified as REQUIRED_FIELDS in the reference implementation). Before computing, the number of required fields across all six pillars that are missing or explicitly marked "unknown" is counted.</w:t>
      </w:r>
    </w:p>
    <w:p>
      <w:pPr>
        <w:spacing w:after="160"/>
        <w:jc w:val="center"/>
      </w:pPr>
      <w:r>
        <w:t xml:space="preserve">completeness = 1 − (missingCount / totalRequiredFields)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Completeness</w:t>
            </w:r>
          </w:p>
        </w:tc>
        <w:tc>
          <w:tcPr>
            <w:shd w:fill="1B2A4A" w:val="solid"/>
          </w:tcPr>
          <w:p>
            <w:r>
              <w:rPr>
                <w:b/>
                <w:bCs/>
                <w:color w:val="FFFFFF"/>
              </w:rPr>
              <w:t xml:space="preserve">Confidence Tier</w:t>
            </w:r>
          </w:p>
        </w:tc>
        <w:tc>
          <w:tcPr>
            <w:shd w:fill="1B2A4A" w:val="solid"/>
          </w:tcPr>
          <w:p>
            <w:r>
              <w:rPr>
                <w:b/>
                <w:bCs/>
                <w:color w:val="FFFFFF"/>
              </w:rPr>
              <w:t xml:space="preserve">Handling</w:t>
            </w:r>
          </w:p>
        </w:tc>
      </w:tr>
      <w:tr>
        <w:tc>
          <w:p>
            <w:r>
              <w:t xml:space="preserve">≥ 0.9</w:t>
            </w:r>
          </w:p>
        </w:tc>
        <w:tc>
          <w:p>
            <w:r>
              <w:t xml:space="preserve">High confidence</w:t>
            </w:r>
          </w:p>
        </w:tc>
        <w:tc>
          <w:p>
            <w:r>
              <w:t xml:space="preserve">Report the tier as-is.</w:t>
            </w:r>
          </w:p>
        </w:tc>
      </w:tr>
      <w:tr>
        <w:tc>
          <w:tcPr>
            <w:shd w:fill="F3F4F6" w:val="solid"/>
          </w:tcPr>
          <w:p>
            <w:r>
              <w:t xml:space="preserve">0.7 ≤ completeness &lt; 0.9</w:t>
            </w:r>
          </w:p>
        </w:tc>
        <w:tc>
          <w:tcPr>
            <w:shd w:fill="F3F4F6" w:val="solid"/>
          </w:tcPr>
          <w:p>
            <w:r>
              <w:t xml:space="preserve">Medium confidence</w:t>
            </w:r>
          </w:p>
        </w:tc>
        <w:tc>
          <w:tcPr>
            <w:shd w:fill="F3F4F6" w:val="solid"/>
          </w:tcPr>
          <w:p>
            <w:r>
              <w:t xml:space="preserve">Report the tier with a note listing which pillars used estimates.</w:t>
            </w:r>
          </w:p>
        </w:tc>
      </w:tr>
      <w:tr>
        <w:tc>
          <w:p>
            <w:r>
              <w:t xml:space="preserve">&lt; 0.7</w:t>
            </w:r>
          </w:p>
        </w:tc>
        <w:tc>
          <w:p>
            <w:r>
              <w:t xml:space="preserve">Low confidence</w:t>
            </w:r>
          </w:p>
        </w:tc>
        <w:tc>
          <w:p>
            <w:r>
              <w:t xml:space="preserve">Prefix the output "PRELIMINARY — insufficient data for a reliable score" and explicitly recommend which documents/data would resolve the biggest gaps first (usually: a real financial model beats a deck every time — prioritize closing financial gaps over qualitative ones).</w:t>
            </w:r>
          </w:p>
        </w:tc>
      </w:tr>
    </w:tbl>
    <w:p>
      <w:pPr>
        <w:spacing w:after="160"/>
      </w:pPr>
      <w:r>
        <w:t xml:space="preserve">Never silently substitute a default value for a missing required field and present the result as if it were measured. If a value is genuinely unknown, it is passed as null and the completeness penalty is allowed to apply — a lower-confidence real answer beats a confident wrong one.</w:t>
      </w:r>
    </w:p>
    <w:p>
      <w:r>
        <w:br w:type="page"/>
      </w:r>
    </w:p>
    <w:p>
      <w:pPr>
        <w:pStyle w:val="Heading1"/>
        <w:spacing w:after="120" w:before="240"/>
      </w:pPr>
      <w:r>
        <w:t xml:space="preserve">7. Worked Example</w:t>
      </w:r>
    </w:p>
    <w:p>
      <w:pPr>
        <w:spacing w:after="160"/>
      </w:pPr>
      <w:r>
        <w:t xml:space="preserve">Mid-market SaaS company, control buyout. The full input is scripts/example-input.json in the reference implementation; running node scripts/score.js scripts/example-input.json reproduces the numbers below exactly (they are copied straight from that output).</w:t>
      </w:r>
    </w:p>
    <w:p>
      <w:pPr>
        <w:pStyle w:val="Heading2"/>
        <w:spacing w:after="120" w:before="240"/>
      </w:pPr>
      <w:r>
        <w:t xml:space="preserve">7.1 Inputs</w:t>
      </w:r>
    </w:p>
    <w:p>
      <w:pPr>
        <w:pStyle w:val="ListParagraph"/>
        <w:numPr>
          <w:ilvl w:val="0"/>
          <w:numId w:val="1"/>
        </w:numPr>
        <w:spacing w:after="60"/>
      </w:pPr>
      <w:r>
        <w:t xml:space="preserve">Revenue CAGR 22%, EBITDA margin 18% vs. sector median 15%, margin trend +1.5pt/yr, 78% recurring revenue with avg. 2.3yr contracts, FCF/EBITDA 0.65</w:t>
      </w:r>
    </w:p>
    <w:p>
      <w:pPr>
        <w:pStyle w:val="ListParagraph"/>
        <w:numPr>
          <w:ilvl w:val="0"/>
          <w:numId w:val="1"/>
        </w:numPr>
        <w:spacing w:after="60"/>
      </w:pPr>
      <w:r>
        <w:t xml:space="preserve">Entry multiple 11.5x EV/EBITDA vs. sector median 10.2x, Net Debt/EBITDA 3.5x vs. sector median 3.0x, structural protections rubric = 3</w:t>
      </w:r>
    </w:p>
    <w:p>
      <w:pPr>
        <w:pStyle w:val="ListParagraph"/>
        <w:numPr>
          <w:ilvl w:val="0"/>
          <w:numId w:val="1"/>
        </w:numPr>
        <w:spacing w:after="60"/>
      </w:pPr>
      <w:r>
        <w:t xml:space="preserve">TAM growth 12%, gaining share slightly, moat sub-ratings [3, 2, 2, 4] → avg 2.75</w:t>
      </w:r>
    </w:p>
    <w:p>
      <w:pPr>
        <w:pStyle w:val="ListParagraph"/>
        <w:numPr>
          <w:ilvl w:val="0"/>
          <w:numId w:val="1"/>
        </w:numPr>
        <w:spacing w:after="60"/>
      </w:pPr>
      <w:r>
        <w:t xml:space="preserve">Team: 1 prior exit, tenure 6yr, insider ownership post-deal 22%, one governance flag (no succession plan for founder-CEO)</w:t>
      </w:r>
    </w:p>
    <w:p>
      <w:pPr>
        <w:pStyle w:val="ListParagraph"/>
        <w:numPr>
          <w:ilvl w:val="0"/>
          <w:numId w:val="1"/>
        </w:numPr>
        <w:spacing w:after="60"/>
      </w:pPr>
      <w:r>
        <w:t xml:space="preserve">2 evidenced expansion levers, exit path clarity rubric = 4</w:t>
      </w:r>
    </w:p>
    <w:p>
      <w:pPr>
        <w:pStyle w:val="ListParagraph"/>
        <w:numPr>
          <w:ilvl w:val="0"/>
          <w:numId w:val="1"/>
        </w:numPr>
        <w:spacing w:after="60"/>
      </w:pPr>
      <w:r>
        <w:t xml:space="preserve">Risk flags: none triggered</w:t>
      </w:r>
    </w:p>
    <w:p>
      <w:pPr>
        <w:pStyle w:val="Heading2"/>
        <w:spacing w:after="120" w:before="240"/>
      </w:pPr>
      <w:r>
        <w:t xml:space="preserve">7.2 Step-by-Step Computation</w:t>
      </w:r>
    </w:p>
    <w:p>
      <w:pPr>
        <w:spacing w:after="160"/>
      </w:pPr>
      <w:r>
        <w:t xml:space="preserve">P1:</w:t>
      </w:r>
    </w:p>
    <w:p>
      <w:pPr>
        <w:pStyle w:val="ListParagraph"/>
        <w:numPr>
          <w:ilvl w:val="0"/>
          <w:numId w:val="1"/>
        </w:numPr>
        <w:spacing w:after="60"/>
      </w:pPr>
      <w:r>
        <w:t xml:space="preserve">a = lerp(22%, [15,75]→[30,95]) = 75 + (22−15)/(30−15)×20 = 84.3</w:t>
      </w:r>
    </w:p>
    <w:p>
      <w:pPr>
        <w:pStyle w:val="ListParagraph"/>
        <w:numPr>
          <w:ilvl w:val="0"/>
          <w:numId w:val="1"/>
        </w:numPr>
        <w:spacing w:after="60"/>
      </w:pPr>
      <w:r>
        <w:t xml:space="preserve">b = 50 + (18−15)×2 = 56</w:t>
      </w:r>
    </w:p>
    <w:p>
      <w:pPr>
        <w:pStyle w:val="ListParagraph"/>
        <w:numPr>
          <w:ilvl w:val="0"/>
          <w:numId w:val="1"/>
        </w:numPr>
        <w:spacing w:after="60"/>
      </w:pPr>
      <w:r>
        <w:t xml:space="preserve">c = 50 + 1.5×10 = 65</w:t>
      </w:r>
    </w:p>
    <w:p>
      <w:pPr>
        <w:pStyle w:val="ListParagraph"/>
        <w:numPr>
          <w:ilvl w:val="0"/>
          <w:numId w:val="1"/>
        </w:numPr>
        <w:spacing w:after="60"/>
      </w:pPr>
      <w:r>
        <w:t xml:space="preserve">d = 78, +10 contract-length bonus (2.3yr &gt; 2yr) = 88</w:t>
      </w:r>
    </w:p>
    <w:p>
      <w:pPr>
        <w:pStyle w:val="ListParagraph"/>
        <w:numPr>
          <w:ilvl w:val="0"/>
          <w:numId w:val="1"/>
        </w:numPr>
        <w:spacing w:after="60"/>
      </w:pPr>
      <w:r>
        <w:t xml:space="preserve">e = 0.65×100 = 65</w:t>
      </w:r>
    </w:p>
    <w:p>
      <w:pPr>
        <w:spacing w:after="160"/>
        <w:jc w:val="center"/>
      </w:pPr>
      <w:r>
        <w:t xml:space="preserve">P1 = 0.35(84.3) + 0.25(56) + 0.15(65) + 0.15(88) + 0.10(65) = 73.0</w:t>
      </w:r>
    </w:p>
    <w:p>
      <w:pPr>
        <w:spacing w:after="160"/>
      </w:pPr>
      <w:r>
        <w:t xml:space="preserve">P2:</w:t>
      </w:r>
    </w:p>
    <w:p>
      <w:pPr>
        <w:pStyle w:val="ListParagraph"/>
        <w:numPr>
          <w:ilvl w:val="0"/>
          <w:numId w:val="1"/>
        </w:numPr>
        <w:spacing w:after="60"/>
      </w:pPr>
      <w:r>
        <w:t xml:space="preserve">premiumPct = (11.5−10.2)/10.2 = 0.1275 → a = 70 − 12.75 = 57.3</w:t>
      </w:r>
    </w:p>
    <w:p>
      <w:pPr>
        <w:pStyle w:val="ListParagraph"/>
        <w:numPr>
          <w:ilvl w:val="0"/>
          <w:numId w:val="1"/>
        </w:numPr>
        <w:spacing w:after="60"/>
      </w:pPr>
      <w:r>
        <w:t xml:space="preserve">b = 100 − max(0, 3.5−3.0)×15 = 92.5</w:t>
      </w:r>
    </w:p>
    <w:p>
      <w:pPr>
        <w:pStyle w:val="ListParagraph"/>
        <w:numPr>
          <w:ilvl w:val="0"/>
          <w:numId w:val="1"/>
        </w:numPr>
        <w:spacing w:after="60"/>
      </w:pPr>
      <w:r>
        <w:t xml:space="preserve">c = likert(3) = 60</w:t>
      </w:r>
    </w:p>
    <w:p>
      <w:pPr>
        <w:spacing w:after="160"/>
        <w:jc w:val="center"/>
      </w:pPr>
      <w:r>
        <w:t xml:space="preserve">P2 = 0.50(57.3) + 0.30(92.5) + 0.20(60) = 68.4</w:t>
      </w:r>
    </w:p>
    <w:p>
      <w:pPr>
        <w:spacing w:after="160"/>
      </w:pPr>
      <w:r>
        <w:t xml:space="preserve">P3:</w:t>
      </w:r>
    </w:p>
    <w:p>
      <w:pPr>
        <w:pStyle w:val="ListParagraph"/>
        <w:numPr>
          <w:ilvl w:val="0"/>
          <w:numId w:val="1"/>
        </w:numPr>
        <w:spacing w:after="60"/>
      </w:pPr>
      <w:r>
        <w:t xml:space="preserve">a = lerp(12%, [10,70]→[20,90]) = 70 + (12−10)/(20−10)×20 = 74</w:t>
      </w:r>
    </w:p>
    <w:p>
      <w:pPr>
        <w:pStyle w:val="ListParagraph"/>
        <w:numPr>
          <w:ilvl w:val="0"/>
          <w:numId w:val="1"/>
        </w:numPr>
        <w:spacing w:after="60"/>
      </w:pPr>
      <w:r>
        <w:t xml:space="preserve">b = "gaining_slightly" = 80</w:t>
      </w:r>
    </w:p>
    <w:p>
      <w:pPr>
        <w:pStyle w:val="ListParagraph"/>
        <w:numPr>
          <w:ilvl w:val="0"/>
          <w:numId w:val="1"/>
        </w:numPr>
        <w:spacing w:after="60"/>
      </w:pPr>
      <w:r>
        <w:t xml:space="preserve">moat avg = (3+2+2+4)/4 = 2.75 → c = likert(2.75) = 35 + 0.75×25 = 53.8</w:t>
      </w:r>
    </w:p>
    <w:p>
      <w:pPr>
        <w:spacing w:after="160"/>
        <w:jc w:val="center"/>
      </w:pPr>
      <w:r>
        <w:t xml:space="preserve">P3 = 0.30(74) + 0.30(80) + 0.40(53.8) = 67.7</w:t>
      </w:r>
    </w:p>
    <w:p>
      <w:pPr>
        <w:spacing w:after="160"/>
      </w:pPr>
      <w:r>
        <w:t xml:space="preserve">P4:</w:t>
      </w:r>
    </w:p>
    <w:p>
      <w:pPr>
        <w:pStyle w:val="ListParagraph"/>
        <w:numPr>
          <w:ilvl w:val="0"/>
          <w:numId w:val="1"/>
        </w:numPr>
        <w:spacing w:after="60"/>
      </w:pPr>
      <w:r>
        <w:t xml:space="preserve">a = 70 (1 prior exit; tenure 6yr also independently qualifies for 70)</w:t>
      </w:r>
    </w:p>
    <w:p>
      <w:pPr>
        <w:pStyle w:val="ListParagraph"/>
        <w:numPr>
          <w:ilvl w:val="0"/>
          <w:numId w:val="1"/>
        </w:numPr>
        <w:spacing w:after="60"/>
      </w:pPr>
      <w:r>
        <w:t xml:space="preserve">b = lerp(22%, [15,60]→[30,85]) = 60 + (22−15)/(30−15)×25 = 71.7</w:t>
      </w:r>
    </w:p>
    <w:p>
      <w:pPr>
        <w:pStyle w:val="ListParagraph"/>
        <w:numPr>
          <w:ilvl w:val="0"/>
          <w:numId w:val="1"/>
        </w:numPr>
        <w:spacing w:after="60"/>
      </w:pPr>
      <w:r>
        <w:t xml:space="preserve">c = 100 − 1×15 = 85 (one governance flag)</w:t>
      </w:r>
    </w:p>
    <w:p>
      <w:pPr>
        <w:spacing w:after="160"/>
        <w:jc w:val="center"/>
      </w:pPr>
      <w:r>
        <w:t xml:space="preserve">P4 = 0.40(70) + 0.30(71.7) + 0.30(85) = 75.0</w:t>
      </w:r>
    </w:p>
    <w:p>
      <w:pPr>
        <w:spacing w:after="160"/>
      </w:pPr>
      <w:r>
        <w:t xml:space="preserve">P5: a = 2 levers = 70   b = likert(4) = 80</w:t>
      </w:r>
    </w:p>
    <w:p>
      <w:pPr>
        <w:spacing w:after="160"/>
        <w:jc w:val="center"/>
      </w:pPr>
      <w:r>
        <w:t xml:space="preserve">P5 = 0.60(70) + 0.40(80) = 74.0</w:t>
      </w:r>
    </w:p>
    <w:p>
      <w:pPr>
        <w:spacing w:after="160"/>
        <w:jc w:val="center"/>
      </w:pPr>
      <w:r>
        <w:t xml:space="preserve">P6 = 100 (no risk flags triggered)</w:t>
      </w:r>
    </w:p>
    <w:p>
      <w:pPr>
        <w:spacing w:after="160"/>
        <w:jc w:val="center"/>
      </w:pPr>
      <w:r>
        <w:t xml:space="preserve">NDQI = 0.25(73.0) + 0.20(68.4) + 0.20(67.7) + 0.15(75.0) + 0.10(74.0) + 0.10(100) = 18.2 + 13.7 + 13.5 + 11.3 + 7.4 + 10.0 = 74.1</w:t>
      </w:r>
    </w:p>
    <w:p>
      <w:pPr>
        <w:pStyle w:val="Heading2"/>
        <w:spacing w:after="120" w:before="240"/>
      </w:pPr>
      <w:r>
        <w:t xml:space="preserve">7.3 Result and Interpretation</w:t>
      </w:r>
    </w:p>
    <w:p>
      <w:pPr>
        <w:spacing w:after="160"/>
      </w:pPr>
      <w:r>
        <w:rPr>
          <w:b/>
          <w:bCs/>
        </w:rPr>
        <w:t xml:space="preserve">Result: NDQI 74.1 — Attractive tier.</w:t>
      </w:r>
      <w:r>
        <w:t xml:space="preserve"> Proceed to deep diligence, with particular attention to succession planning (the one governance flag) and to whether the 11.5x entry multiple has room to move — P2 (68.4) and P3 (67.7) are the two pillars with the most room to improve the score further; re-underwriting at a 10.5x entry, for instance, would lift P2's entry-multiple sub-score from 57.3 to roughly 67 and the overall NDQI by about a point and a half.</w:t>
      </w:r>
    </w:p>
    <w:p>
      <w:pPr>
        <w:pStyle w:val="Heading1"/>
        <w:spacing w:after="120" w:before="240"/>
      </w:pPr>
      <w:r>
        <w:t xml:space="preserve">8. Comparative Positioning</w:t>
      </w:r>
    </w:p>
    <w:p>
      <w:pPr>
        <w:spacing w:after="160"/>
      </w:pPr>
      <w:r>
        <w:t xml:space="preserve">NDQI belongs to a recognizable lineage of named, checkable analyst scoring models — the tradition NDQI's own specification explicitly invokes. The Altman Z-Score (Edward Altman, 1968) combines a small set of financial ratios into a single bankruptcy-prediction number using fixed, published coefficients; the Piotroski F-Score (Joseph Piotroski, 2000) sums nine binary fundamental signals into a 0–9 score for identifying financially strong value stocks. Both share a structural property with NDQI that is worth naming explicitly: they replace an analyst's unstructured impression with a fixed, public, reproducible formula, so that the score means the same thing regardless of who computes it.</w:t>
      </w:r>
    </w:p>
    <w:p>
      <w:pPr>
        <w:spacing w:after="160"/>
      </w:pPr>
      <w:r>
        <w:t xml:space="preserve">NDQI departs from both precedents in two respects relevant to its positioning as IP. First, both Altman and Piotroski operate on audited public-company financial-statement data alone; NDQI is designed for private, pre-audit, deal-stage information — pitch decks, management models, and diligence notes — which is inherently noisier and less standardized, and is why NDQI pairs its scoring formulas with an explicit confidence/completeness framework (Section 6) that neither public-market precedent needs. Second, both precedents score purely on historical financial ratios; NDQI deliberately blends quantitative financial-trajectory data (P1, P2) with structured qualitative judgment (P3c, P2c, P5b) via the Likert-anchor rubric in Section 5 — a hybrid that reflects the reality that a private-company investment case cannot be assessed from financial ratios alone, but the qualitative half still needs to be constrained to a checkable standard rather than left as free-form narrative.</w:t>
      </w:r>
    </w:p>
    <w:p>
      <w:pPr>
        <w:spacing w:after="160"/>
      </w:pPr>
      <w:r>
        <w:t xml:space="preserve">Relative to standard PE screening practice more broadly, most firms' deal screening is not formula-driven at all: it takes the form of an investment-memo template with prose sections and an informal partner gut-check, sometimes supplemented by a simple unweighted checklist. NDQI's contribution within that landscape is not the discovery of new financial variables — entry multiple, leverage, revenue quality, and customer concentration are all standard diligence vocabulary — but the conversion of an informal, memo-driven process into a named, versioned, weighted formula with defined curves and an explicit missing-data penalty. That conversion is the same kind of move Altman and Piotroski made in their respective domains decades earlier, applied to a domain (private deal screening) where, to the author's knowledge, no comparably specified public precedent exists in general PE practice.</w:t>
      </w:r>
    </w:p>
    <w:p>
      <w:r>
        <w:br w:type="page"/>
      </w:r>
    </w:p>
    <w:p>
      <w:pPr>
        <w:pStyle w:val="Heading1"/>
        <w:spacing w:after="120" w:before="240"/>
      </w:pPr>
      <w:r>
        <w:t xml:space="preserve">9. Intellectual Property and Defensibility Posture</w:t>
      </w:r>
    </w:p>
    <w:p>
      <w:pPr>
        <w:spacing w:after="160"/>
      </w:pPr>
      <w:r>
        <w:t xml:space="preserve">This section is adapted from the broader skills-library IP framing maintained alongside NDQI, applied specifically to this algorithm. It is provided to give a valuer, licensing counterparty, or reviewing attorney an accurate, non-inflated picture of what protection currently applies and what would need to be established to extend it — not a legal opinion.</w:t>
      </w:r>
    </w:p>
    <w:p>
      <w:pPr>
        <w:pStyle w:val="Heading2"/>
        <w:spacing w:after="120" w:before="240"/>
      </w:pPr>
      <w:r>
        <w:t xml:space="preserve">9.1 Trade Secret Protection Applies Now</w:t>
      </w:r>
    </w:p>
    <w:p>
      <w:pPr>
        <w:spacing w:after="160"/>
      </w:pPr>
      <w:r>
        <w:t xml:space="preserve">NDQI is documented as a proprietary, trade-secret methodology — named, versioned, and specified precisely enough to be defensible as original work product. Trade secret protection applies automatically, simply by virtue of the methodology being original, non-public, and treated as confidential (as this document itself is marked). That is the primary form of protection this document is written to support, and it does not require registration, filing, or examination — it exists the moment the criteria (secrecy, value from secrecy, reasonable protective measures) are met and continues for as long as those criteria hold.</w:t>
      </w:r>
    </w:p>
    <w:p>
      <w:pPr>
        <w:pStyle w:val="Heading2"/>
        <w:spacing w:after="120" w:before="240"/>
      </w:pPr>
      <w:r>
        <w:t xml:space="preserve">9.2 Patent Eligibility Is a Separate, Harder Question</w:t>
      </w:r>
    </w:p>
    <w:p>
      <w:pPr>
        <w:spacing w:after="160"/>
      </w:pPr>
      <w:r>
        <w:t xml:space="preserve">Patent eligibility is a distinct and materially harder question from trade-secret status. In the United States, abstract algorithms and pure business methods generally fail patent-eligibility review under the Alice/Mayo framework unless the claim ties the scoring method to a specific technical improvement — for example, a particular system architecture, or a measurable efficiency gain in how a computation runs — rather than simply "a new way to weight financial ratios." NDQI, as a pure weighted-scoring model over financial and qualitative inputs, is more naturally characterized as a trade secret than a patent candidate as currently specified. This is a candid limitation, not a hedge: within the same skills library, a route-consolidation heuristic with a concrete computational method and a measurable output (route assignment, distance saved) is understood internally to be a comparatively stronger patent-eligibility candidate than a scoring model like NDQI — precisely because it ties more directly to a technical process rather than a scoring judgment.</w:t>
      </w:r>
    </w:p>
    <w:p>
      <w:pPr>
        <w:spacing w:after="160"/>
      </w:pPr>
      <w:r>
        <w:t xml:space="preserve">"Patentable" language, if it appears anywhere in materials describing this methodology, means "specified with enough novelty and precision to be a serious patent-counsel conversation" — not "patented" or "guaranteed patentable." Actually obtaining a patent would require filing, examination, and often narrowing claims to survive prior-art and eligibility challenges.</w:t>
      </w:r>
    </w:p>
    <w:p>
      <w:pPr>
        <w:pStyle w:val="Heading2"/>
        <w:spacing w:after="120" w:before="240"/>
      </w:pPr>
      <w:r>
        <w:t xml:space="preserve">9.3 What Makes the Trade-Secret Claim Defensible</w:t>
      </w:r>
    </w:p>
    <w:p>
      <w:pPr>
        <w:spacing w:after="160"/>
      </w:pPr>
      <w:r>
        <w:t xml:space="preserve">Three properties of NDQI, as documented, are specifically what make a trade-secret claim over it defensible rather than aspirational:</w:t>
      </w:r>
    </w:p>
    <w:p>
      <w:pPr>
        <w:pStyle w:val="ListParagraph"/>
        <w:numPr>
          <w:ilvl w:val="0"/>
          <w:numId w:val="1"/>
        </w:numPr>
        <w:spacing w:after="60"/>
      </w:pPr>
      <w:r>
        <w:t xml:space="preserve">Specificity — every sub-score reduces to a named formula against a named input (piecewise-linear anchors, clamping functions, deduction schedules), not a general description of "a proprietary scoring approach." A trade secret claim is only as strong as the concreteness of what is actually being kept secret.</w:t>
      </w:r>
    </w:p>
    <w:p>
      <w:pPr>
        <w:pStyle w:val="ListParagraph"/>
        <w:numPr>
          <w:ilvl w:val="0"/>
          <w:numId w:val="1"/>
        </w:numPr>
        <w:spacing w:after="60"/>
      </w:pPr>
      <w:r>
        <w:t xml:space="preserve">Versioning discipline — any change to a weight, formula, or anchor value is required to be a version bump with a changelog entry (Section 11), so that the methodology's evolution is itself documented and attributable, rather than silently drifting in a way that would undermine a claim of a stable, identifiable asset.</w:t>
      </w:r>
    </w:p>
    <w:p>
      <w:pPr>
        <w:pStyle w:val="ListParagraph"/>
        <w:numPr>
          <w:ilvl w:val="0"/>
          <w:numId w:val="1"/>
        </w:numPr>
        <w:spacing w:after="60"/>
      </w:pPr>
      <w:r>
        <w:t xml:space="preserve">Reproducibility — the existence of a literal, runnable reference implementation (scripts/score.js) that reproduces every number in this document's worked example exactly (Section 7) is affirmative evidence that the described methodology is real, specific, and consistently applied — not an after-the-fact narrative constructed around a one-off result.</w:t>
      </w:r>
    </w:p>
    <w:p>
      <w:pPr>
        <w:spacing w:after="160"/>
      </w:pPr>
      <w:r>
        <w:t xml:space="preserve">This document does not constitute legal advice. A patent and IP attorney should be consulted before relying on any trade secret or patent protection for this methodology in a commercial context — including before any licensing negotiation, disclosure to a third party, or valuation exercise that treats this protection as a settled fact rather than a posture to be independently verified.</w:t>
      </w:r>
    </w:p>
    <w:p>
      <w:pPr>
        <w:pStyle w:val="Heading1"/>
        <w:spacing w:after="120" w:before="240"/>
      </w:pPr>
      <w:r>
        <w:t xml:space="preserve">10. Known Limitations</w:t>
      </w:r>
    </w:p>
    <w:p>
      <w:pPr>
        <w:pStyle w:val="ListParagraph"/>
        <w:numPr>
          <w:ilvl w:val="0"/>
          <w:numId w:val="1"/>
        </w:numPr>
        <w:spacing w:after="60"/>
      </w:pPr>
      <w:r>
        <w:t xml:space="preserve">Sector comps must be sourced and dated. "Sector median multiple" is only as good as the comp set behind it — a stale or mis-scoped comp set will silently bias P2 in either direction. The comp set's source and as-of date should always be recorded alongside the score.</w:t>
      </w:r>
    </w:p>
    <w:p>
      <w:pPr>
        <w:pStyle w:val="ListParagraph"/>
        <w:numPr>
          <w:ilvl w:val="0"/>
          <w:numId w:val="1"/>
        </w:numPr>
        <w:spacing w:after="60"/>
      </w:pPr>
      <w:r>
        <w:t xml:space="preserve">Qualitative rubrics are analyst-dependent. Two analysts can legitimately land one Likert point apart. This is mitigated by having a second reviewer score P3c/P2c/P5b independently on contested deals and averaging.</w:t>
      </w:r>
    </w:p>
    <w:p>
      <w:pPr>
        <w:pStyle w:val="ListParagraph"/>
        <w:numPr>
          <w:ilvl w:val="0"/>
          <w:numId w:val="1"/>
        </w:numPr>
        <w:spacing w:after="60"/>
      </w:pPr>
      <w:r>
        <w:t xml:space="preserve">Not sector-agnostic in practice. The anchor values (growth-rate bands, margin baselines) are tuned for a generalist mid-market lens. A deep-tech or biotech deal with pre-revenue economics will misscore on P1 almost by definition — for pre-revenue deals, P1 should be treated as directional only, with heavier qualitative weight placed on P3 (market) and P4 (team).</w:t>
      </w:r>
    </w:p>
    <w:p>
      <w:pPr>
        <w:pStyle w:val="ListParagraph"/>
        <w:numPr>
          <w:ilvl w:val="0"/>
          <w:numId w:val="1"/>
        </w:numPr>
        <w:spacing w:after="60"/>
      </w:pPr>
      <w:r>
        <w:t xml:space="preserve">The model rewards clean data. A great business with messy books will score lower on confidence, not on merit — this distinction should not be conflated when presenting results.</w:t>
      </w:r>
    </w:p>
    <w:p>
      <w:pPr>
        <w:pStyle w:val="Heading1"/>
        <w:spacing w:after="120" w:before="240"/>
      </w:pPr>
      <w:r>
        <w:t xml:space="preserve">11. Versioning and Change Control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Version</w:t>
            </w:r>
          </w:p>
        </w:tc>
        <w:tc>
          <w:tcPr>
            <w:shd w:fill="1B2A4A" w:val="solid"/>
          </w:tcPr>
          <w:p>
            <w:r>
              <w:rPr>
                <w:b/>
                <w:bCs/>
                <w:color w:val="FFFFFF"/>
              </w:rPr>
              <w:t xml:space="preserve">Date</w:t>
            </w:r>
          </w:p>
        </w:tc>
        <w:tc>
          <w:tcPr>
            <w:shd w:fill="1B2A4A" w:val="solid"/>
          </w:tcPr>
          <w:p>
            <w:r>
              <w:rPr>
                <w:b/>
                <w:bCs/>
                <w:color w:val="FFFFFF"/>
              </w:rPr>
              <w:t xml:space="preserve">Change</w:t>
            </w:r>
          </w:p>
        </w:tc>
      </w:tr>
      <w:tr>
        <w:tc>
          <w:p>
            <w:r>
              <w:t xml:space="preserve">1.0</w:t>
            </w:r>
          </w:p>
        </w:tc>
        <w:tc>
          <w:p>
            <w:r>
              <w:t xml:space="preserve">2026-08-10</w:t>
            </w:r>
          </w:p>
        </w:tc>
        <w:tc>
          <w:p>
            <w:r>
              <w:t xml:space="preserve">Initial specification and reference implementation</w:t>
            </w:r>
          </w:p>
        </w:tc>
      </w:tr>
    </w:tbl>
    <w:p>
      <w:pPr>
        <w:spacing w:after="160"/>
      </w:pPr>
      <w:r>
        <w:t xml:space="preserve">Any change to a weight, formula, or anchor value is a version bump with an entry in this table — the whole point of a proprietary, named algorithm is that "NDQI 73" means the same thing every time it is quoted. Silent tuning defeats that.</w:t>
      </w:r>
    </w:p>
    <w:p>
      <w:pPr>
        <w:pStyle w:val="Heading1"/>
        <w:spacing w:after="120" w:before="240"/>
      </w:pPr>
      <w:r>
        <w:t xml:space="preserve">12. Reference Implementation</w:t>
      </w:r>
    </w:p>
    <w:p>
      <w:pPr>
        <w:spacing w:after="160"/>
      </w:pPr>
      <w:r>
        <w:t xml:space="preserve">scripts/score.js, maintained alongside the authoritative methodology specification in the private-equity-analysis skill folder, is a literal, runnable implementation of every formula described in this document. If the specification and the script ever disagree, the specification governs and the script is treated as having a bug — but in ordinary operation the two are required to stay in lockstep, and the worked example in Section 7 is generated directly from that script's output rather than hand-computed. Reproducibility of this kind is itself a valuation-relevant property: a proprietary claim that cannot be independently re-run and checked against its own stated formulas is much weaker evidence of real, defensible IP than a claim — like this one — that can be executed end-to-end by a third party and produces the exact numbers documented 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lvl w:ilvl="3" w15:tentative="1">
      <w:start w:val="1"/>
      <w:numFmt w:val="decimal"/>
      <w:lvlText w:val="%4."/>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21B30"/>
      <w:sz w:val="32"/>
      <w:szCs w:val="32"/>
    </w:rPr>
  </w:style>
  <w:style w:type="paragraph" w:styleId="Heading2">
    <w:name w:val="Heading 2"/>
    <w:basedOn w:val="Normal"/>
    <w:next w:val="Normal"/>
    <w:qFormat/>
    <w:rPr>
      <w:b/>
      <w:bCs/>
      <w:color w:val="121B30"/>
      <w:sz w:val="28"/>
      <w:szCs w:val="28"/>
    </w:rPr>
  </w:style>
  <w:style w:type="paragraph" w:styleId="Heading3">
    <w:name w:val="Heading 3"/>
    <w:basedOn w:val="Normal"/>
    <w:next w:val="Normal"/>
    <w:qFormat/>
    <w:rPr>
      <w:b/>
      <w:bCs/>
      <w:color w:val="121B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2026-08-10T15:56:08.855Z</dcterms:created>
  <dcterms:modified xsi:type="dcterms:W3CDTF">2026-08-10T15:56:08.857Z</dcterms:modified>
</cp:coreProperties>
</file>

<file path=docProps/custom.xml><?xml version="1.0" encoding="utf-8"?>
<Properties xmlns="http://schemas.openxmlformats.org/officeDocument/2006/custom-properties" xmlns:vt="http://schemas.openxmlformats.org/officeDocument/2006/docPropsVTypes"/>
</file>