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Logistics Network Efficiency Score (NLNES)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 It is a technical specification, not marketing material — every formula, weight, and worked number in this document is transcribed faithfully from the authoritative methodology specification maintained alongside the reference implementation.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Nishant Logistics Network Efficiency Score (NLNES)</w:t>
      </w:r>
      <w:r>
        <w:t xml:space="preserve"> is a proprietary, six-pillar weighted diagnostic algorithm developed by Nishant Prabhakar for scoring the current operating health of an existing logistics or distribution network, lane, or portfolio of distribution centers. It converts fill-rate reports, cost data, on-time-delivery dashboards, and sustainability metrics into a single, comparable, auditable number on a 0–100 scale, together with a named tier (Excellent / Efficient / Adequate / Underperforming / Critical) and an explicit confidence rating tied to data completeness.</w:t>
      </w:r>
    </w:p>
    <w:p>
      <w:pPr>
        <w:spacing w:after="160"/>
      </w:pPr>
      <w:r>
        <w:t xml:space="preserve">The problem NLNES solves is not the absence of logistics metrics — fill rate, cost per ton-km, on-time delivery, and empty-mile ratio are all already tracked, in some form, at most operations of any scale — but the absence of a single, consistent way to combine them into one comparable figure and to surface which specific pillar is driving the result. Without a fixed formula, two analysts looking at the same telematics export and the same OTD dashboard typically arrive at two different unstructured impressions ("our trucks feel emptier than they should," "logistics costs feel high") that cannot be compared across lanes, tracked over time, or defended in an operations review. NLNES is deliberately not a black box: every sub-score traces to a named formula against a named input, so the conversation becomes "empty miles are 22% against a 15–20% acceptable band" instead of "trucks feel emptier than they should."</w:t>
      </w:r>
    </w:p>
    <w:p>
      <w:pPr>
        <w:spacing w:after="160"/>
      </w:pPr>
      <w:r>
        <w:rPr>
          <w:b/>
          <w:bCs/>
        </w:rPr>
        <w:t xml:space="preserve">Novelty claim.</w:t>
      </w:r>
      <w:r>
        <w:t xml:space="preserve"> NLNES's originality does not rest on inventing new logistics metrics — fill rate, cost-per-ton-km, on-time delivery, and empty-mile ratio are all standard, industry-recognized operational KPIs. Its originality lies in the specific, fully-specified combination of: (a) a named weighting scheme across six pillars that encodes an explicit view of which variables carry the hardest evidence and the most direct operational leverage (capacity utilization and cost efficiency, at 45% combined, are deliberately weighted above the other four); (b) precisely defined piecewise-linear interpolation curves and clamping functions for each sub-metric, calibrated against stated operational reasoning rather than open-ended analyst judgment; (c) a deliberate asymmetry in how the curves are shaped — some pillars reward being at or above benchmark, others penalize deviation in either direction from a baseline that is itself set below the theoretical maximum; and (d) a first-class, quantified confidence/completeness framework that makes missing data visible in the output rather than silently absorbed into a plausible-looking number. This combination — specific curves, specific weights, and a specific missing-data penalty, all version-controlled — is what makes "NLNES 65" a reproducible, checkable claim rather than a one-off opinion, and it is this reproducibility that is the core of the methodology's value as an asset.</w:t>
      </w:r>
    </w:p>
    <w:p>
      <w:pPr>
        <w:spacing w:after="160"/>
      </w:pPr>
      <w:r>
        <w:t xml:space="preserve">NLNES is one half of a two-part toolkit; the other half, the Nishant Consolidation Heuristic (NCH), is a separate operational algorithm covered in its own whitepaper and is out of scope for the detailed treatment here. Where relevant, this document notes the relationship between the two without restating NCH's formulas or worked example.</w:t>
      </w:r>
    </w:p>
    <w:p>
      <w:pPr>
        <w:pStyle w:val="Heading1"/>
        <w:spacing w:after="120" w:before="240"/>
      </w:pPr>
      <w:r>
        <w:t xml:space="preserve">2. Purpose and Positioning</w:t>
      </w:r>
    </w:p>
    <w:p>
      <w:pPr>
        <w:pStyle w:val="Heading2"/>
        <w:spacing w:after="120" w:before="240"/>
      </w:pPr>
      <w:r>
        <w:t xml:space="preserve">2.1 What NLNES Is</w:t>
      </w:r>
    </w:p>
    <w:p>
      <w:pPr>
        <w:spacing w:after="160"/>
      </w:pPr>
      <w:r>
        <w:t xml:space="preserve">NLNES is a </w:t>
      </w:r>
      <w:r>
        <w:rPr>
          <w:b/>
          <w:bCs/>
        </w:rPr>
        <w:t xml:space="preserve">screening and triage tool</w:t>
      </w:r>
      <w:r>
        <w:t xml:space="preserve">, not a routing engine. It exists to do three things quickly and consistently across a logistics network, lane, or portfolio of distribution centers:</w:t>
      </w:r>
    </w:p>
    <w:p>
      <w:pPr>
        <w:pStyle w:val="ListParagraph"/>
        <w:numPr>
          <w:ilvl w:val="0"/>
          <w:numId w:val="1"/>
        </w:numPr>
        <w:spacing w:after="60"/>
      </w:pPr>
      <w:r>
        <w:t xml:space="preserve">Convert fill-rate reports, cost data, OTD dashboards, and sustainability metrics into one comparable number.</w:t>
      </w:r>
    </w:p>
    <w:p>
      <w:pPr>
        <w:pStyle w:val="ListParagraph"/>
        <w:numPr>
          <w:ilvl w:val="0"/>
          <w:numId w:val="1"/>
        </w:numPr>
        <w:spacing w:after="60"/>
      </w:pPr>
      <w:r>
        <w:t xml:space="preserve">Force the same six questions to get answered the same way every time, so two analysts scoring the same network land on the same number (±5 points).</w:t>
      </w:r>
    </w:p>
    <w:p>
      <w:pPr>
        <w:pStyle w:val="ListParagraph"/>
        <w:numPr>
          <w:ilvl w:val="0"/>
          <w:numId w:val="1"/>
        </w:numPr>
        <w:spacing w:after="60"/>
      </w:pPr>
      <w:r>
        <w:t xml:space="preserve">Surface which specific pillar is weak, not just a vibe of "our logistics costs feel high" — so the operations conversation is "empty miles are 27% against an 18% benchmark" instead of "trucks feel emptier than they should."</w:t>
      </w:r>
    </w:p>
    <w:p>
      <w:pPr>
        <w:spacing w:after="160"/>
      </w:pPr>
      <w:r>
        <w:t xml:space="preserve">It is deliberately not a black box: every sub-score is a named, auditable formula against a named input.</w:t>
      </w:r>
    </w:p>
    <w:p>
      <w:pPr>
        <w:pStyle w:val="Heading2"/>
        <w:spacing w:after="120" w:before="240"/>
      </w:pPr>
      <w:r>
        <w:t xml:space="preserve">2.2 What NLNES Is Not</w:t>
      </w:r>
    </w:p>
    <w:p>
      <w:pPr>
        <w:spacing w:after="160"/>
      </w:pPr>
      <w:r>
        <w:t xml:space="preserve">NLNES is not a routing engine, a network-design tool, or a replacement for a real transportation-management system (TMS). It scores the network's current operating health, not what the optimal network would look like. Its natural operational follow-on is the Nishant Consolidation Heuristic (NCH): NLNES tells you whether consolidation is worth pursuing; NCH is what actually pursues it. Running NLNES first frames the diagnosis — including whether its Network Density pillar (§4.5) flags consolidation upside — after which NCH can be run against the actual shipment list to quantify and act on it. NCH's own formulas and worked example are documented separately and are not reproduced in this whitepaper.</w:t>
      </w:r>
    </w:p>
    <w:p>
      <w:pPr>
        <w:pStyle w:val="Heading2"/>
        <w:spacing w:after="120" w:before="240"/>
      </w:pPr>
      <w:r>
        <w:t xml:space="preserve">2.3 Naming Convention and Precedent</w:t>
      </w:r>
    </w:p>
    <w:p>
      <w:pPr>
        <w:spacing w:after="160"/>
      </w:pPr>
      <w:r>
        <w:t xml:space="preserve">NLNES is named in the tradition of other analyst-attributed scoring models — the Altman Z-Score, the Piotroski F-Score — and classic named operations-research heuristics such as the Clarke-Wright savings algorithm. The point of putting a name on a model is that the name becomes shorthand for a specific, checkable methodology, not a vibe. "NLNES 68" is intended to mean the same thing regardless of who is asking or who is answering, provided both parties are working from the same versioned specification (§11 below governs what counts as "the same" specification over time).</w:t>
      </w:r>
    </w:p>
    <w:p>
      <w:pPr>
        <w:pStyle w:val="Heading1"/>
        <w:spacing w:after="120" w:before="240"/>
      </w:pPr>
      <w:r>
        <w:t xml:space="preserve">3. Methodology at a Glance</w:t>
      </w:r>
    </w:p>
    <w:p>
      <w:pPr>
        <w:spacing w:after="160"/>
      </w:pPr>
      <w:r>
        <w:t xml:space="preserve">NLNES decomposes into six weighted pillars, each independently scored 0–100, then rolled into one composite score.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Capacity Utilization</w:t>
            </w:r>
          </w:p>
        </w:tc>
        <w:tc>
          <w:p>
            <w:r>
              <w:t xml:space="preserve">25%</w:t>
            </w:r>
          </w:p>
        </w:tc>
        <w:tc>
          <w:p>
            <w:r>
              <w:t xml:space="preserve">Are vehicles/containers actually full, or rolling half-empty?</w:t>
            </w:r>
          </w:p>
        </w:tc>
      </w:tr>
      <w:tr>
        <w:tc>
          <w:tcPr>
            <w:shd w:fill="F3F4F6" w:val="solid"/>
          </w:tcPr>
          <w:p>
            <w:r>
              <w:t xml:space="preserve">P2. Cost Efficiency</w:t>
            </w:r>
          </w:p>
        </w:tc>
        <w:tc>
          <w:tcPr>
            <w:shd w:fill="F3F4F6" w:val="solid"/>
          </w:tcPr>
          <w:p>
            <w:r>
              <w:t xml:space="preserve">20%</w:t>
            </w:r>
          </w:p>
        </w:tc>
        <w:tc>
          <w:tcPr>
            <w:shd w:fill="F3F4F6" w:val="solid"/>
          </w:tcPr>
          <w:p>
            <w:r>
              <w:t xml:space="preserve">Are we paying more per ton-km than we should be?</w:t>
            </w:r>
          </w:p>
        </w:tc>
      </w:tr>
      <w:tr>
        <w:tc>
          <w:p>
            <w:r>
              <w:t xml:space="preserve">P3. Service Reliability</w:t>
            </w:r>
          </w:p>
        </w:tc>
        <w:tc>
          <w:p>
            <w:r>
              <w:t xml:space="preserve">20%</w:t>
            </w:r>
          </w:p>
        </w:tc>
        <w:tc>
          <w:p>
            <w:r>
              <w:t xml:space="preserve">Do shipments arrive on time, and predictably?</w:t>
            </w:r>
          </w:p>
        </w:tc>
      </w:tr>
      <w:tr>
        <w:tc>
          <w:tcPr>
            <w:shd w:fill="F3F4F6" w:val="solid"/>
          </w:tcPr>
          <w:p>
            <w:r>
              <w:t xml:space="preserve">P4. Empty-Mile / Deadhead Ratio</w:t>
            </w:r>
          </w:p>
        </w:tc>
        <w:tc>
          <w:tcPr>
            <w:shd w:fill="F3F4F6" w:val="solid"/>
          </w:tcPr>
          <w:p>
            <w:r>
              <w:t xml:space="preserve">15%</w:t>
            </w:r>
          </w:p>
        </w:tc>
        <w:tc>
          <w:tcPr>
            <w:shd w:fill="F3F4F6" w:val="solid"/>
          </w:tcPr>
          <w:p>
            <w:r>
              <w:t xml:space="preserve">How much distance is driven with no revenue load?</w:t>
            </w:r>
          </w:p>
        </w:tc>
      </w:tr>
      <w:tr>
        <w:tc>
          <w:p>
            <w:r>
              <w:t xml:space="preserve">P5. Network Density / Consolidation Potential</w:t>
            </w:r>
          </w:p>
        </w:tc>
        <w:tc>
          <w:p>
            <w:r>
              <w:t xml:space="preserve">10%</w:t>
            </w:r>
          </w:p>
        </w:tc>
        <w:tc>
          <w:p>
            <w:r>
              <w:t xml:space="preserve">How much easy consolidation is sitting on the table, unrealized?</w:t>
            </w:r>
          </w:p>
        </w:tc>
      </w:tr>
      <w:tr>
        <w:tc>
          <w:tcPr>
            <w:shd w:fill="F3F4F6" w:val="solid"/>
          </w:tcPr>
          <w:p>
            <w:r>
              <w:t xml:space="preserve">P6. Sustainability</w:t>
            </w:r>
          </w:p>
        </w:tc>
        <w:tc>
          <w:tcPr>
            <w:shd w:fill="F3F4F6" w:val="solid"/>
          </w:tcPr>
          <w:p>
            <w:r>
              <w:t xml:space="preserve">10%</w:t>
            </w:r>
          </w:p>
        </w:tc>
        <w:tc>
          <w:tcPr>
            <w:shd w:fill="F3F4F6" w:val="solid"/>
          </w:tcPr>
          <w:p>
            <w:r>
              <w:t xml:space="preserve">Is carbon intensity in line with a modal-mix-adjusted benchmark?</w:t>
            </w:r>
          </w:p>
        </w:tc>
      </w:tr>
    </w:tbl>
    <w:p>
      <w:pPr>
        <w:spacing w:after="160"/>
      </w:pPr>
      <w:r>
        <w:rPr>
          <w:b/>
          <w:bCs/>
        </w:rPr>
        <w:t xml:space="preserve">Composite formula:</w:t>
      </w:r>
    </w:p>
    <w:p>
      <w:pPr>
        <w:spacing w:after="160"/>
        <w:jc w:val="center"/>
      </w:pPr>
      <w:r>
        <w:t xml:space="preserve">NLNES = 0.25·P1 + 0.20·P2 + 0.20·P3 + 0.15·P4 + 0.10·P5 + 0.10·P6</w:t>
      </w:r>
    </w:p>
    <w:p>
      <w:pPr>
        <w:spacing w:after="160"/>
      </w:pPr>
      <w:r>
        <w:rPr>
          <w:b/>
          <w:bCs/>
        </w:rPr>
        <w:t xml:space="preserve">Weighting rationale.</w:t>
      </w:r>
      <w:r>
        <w:t xml:space="preserve"> P1 and P2 together are 45% of the score by design — capacity utilization and cost efficiency are the two variables with the most direct, hard evidence behind them (they come straight off fleet telematics and the cost ledger), so they carry the most weight. Service reliability (P3) matters just as much operationally but is weighted slightly lower individually because a lot of unreliability traces back to capacity and cost problems rather than being an independent lever. P4–P6 are real, material issues but each is narrower in scope than the first three, so individually they carry less weight — though combined they are still 35% of the score, which keeps empty miles, unrealized consolidation, and carbon intensity from being treated as afterthoughts.</w:t>
      </w:r>
    </w:p>
    <w:p>
      <w:pPr>
        <w:pStyle w:val="Heading2"/>
        <w:spacing w:after="120" w:before="240"/>
      </w:pPr>
      <w:r>
        <w:t xml:space="preserve">3.1 Score Bands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NLNES</w:t>
            </w:r>
          </w:p>
        </w:tc>
        <w:tc>
          <w:tcPr>
            <w:shd w:fill="1B2A4A" w:val="solid"/>
          </w:tcPr>
          <w:p>
            <w:r>
              <w:rPr>
                <w:b/>
                <w:bCs/>
                <w:color w:val="FFFFFF"/>
              </w:rPr>
              <w:t xml:space="preserve">Tier</w:t>
            </w:r>
          </w:p>
        </w:tc>
        <w:tc>
          <w:tcPr>
            <w:shd w:fill="1B2A4A" w:val="solid"/>
          </w:tcPr>
          <w:p>
            <w:r>
              <w:rPr>
                <w:b/>
                <w:bCs/>
                <w:color w:val="FFFFFF"/>
              </w:rPr>
              <w:t xml:space="preserve">Action</w:t>
            </w:r>
          </w:p>
        </w:tc>
      </w:tr>
      <w:tr>
        <w:tc>
          <w:p>
            <w:r>
              <w:t xml:space="preserve">85–100</w:t>
            </w:r>
          </w:p>
        </w:tc>
        <w:tc>
          <w:p>
            <w:r>
              <w:t xml:space="preserve">Excellent</w:t>
            </w:r>
          </w:p>
        </w:tc>
        <w:tc>
          <w:p>
            <w:r>
              <w:t xml:space="preserve">Maintain; use as the internal benchmark for other lanes/DCs</w:t>
            </w:r>
          </w:p>
        </w:tc>
      </w:tr>
      <w:tr>
        <w:tc>
          <w:tcPr>
            <w:shd w:fill="F3F4F6" w:val="solid"/>
          </w:tcPr>
          <w:p>
            <w:r>
              <w:t xml:space="preserve">70–84</w:t>
            </w:r>
          </w:p>
        </w:tc>
        <w:tc>
          <w:tcPr>
            <w:shd w:fill="F3F4F6" w:val="solid"/>
          </w:tcPr>
          <w:p>
            <w:r>
              <w:t xml:space="preserve">Efficient</w:t>
            </w:r>
          </w:p>
        </w:tc>
        <w:tc>
          <w:tcPr>
            <w:shd w:fill="F3F4F6" w:val="solid"/>
          </w:tcPr>
          <w:p>
            <w:r>
              <w:t xml:space="preserve">Healthy network; look for incremental gains pillar by pillar</w:t>
            </w:r>
          </w:p>
        </w:tc>
      </w:tr>
      <w:tr>
        <w:tc>
          <w:p>
            <w:r>
              <w:t xml:space="preserve">50–69</w:t>
            </w:r>
          </w:p>
        </w:tc>
        <w:tc>
          <w:p>
            <w:r>
              <w:t xml:space="preserve">Adequate</w:t>
            </w:r>
          </w:p>
        </w:tc>
        <w:tc>
          <w:p>
            <w:r>
              <w:t xml:space="preserve">Functional but leaving real money/service on the table — prioritize the lowest pillar</w:t>
            </w:r>
          </w:p>
        </w:tc>
      </w:tr>
      <w:tr>
        <w:tc>
          <w:tcPr>
            <w:shd w:fill="F3F4F6" w:val="solid"/>
          </w:tcPr>
          <w:p>
            <w:r>
              <w:t xml:space="preserve">30–49</w:t>
            </w:r>
          </w:p>
        </w:tc>
        <w:tc>
          <w:tcPr>
            <w:shd w:fill="F3F4F6" w:val="solid"/>
          </w:tcPr>
          <w:p>
            <w:r>
              <w:t xml:space="preserve">Underperforming</w:t>
            </w:r>
          </w:p>
        </w:tc>
        <w:tc>
          <w:tcPr>
            <w:shd w:fill="F3F4F6" w:val="solid"/>
          </w:tcPr>
          <w:p>
            <w:r>
              <w:t xml:space="preserve">Material structural issues; commission a lane-level review, likely including a NCH consolidation pass</w:t>
            </w:r>
          </w:p>
        </w:tc>
      </w:tr>
      <w:tr>
        <w:tc>
          <w:p>
            <w:r>
              <w:t xml:space="preserve">0–29</w:t>
            </w:r>
          </w:p>
        </w:tc>
        <w:tc>
          <w:p>
            <w:r>
              <w:t xml:space="preserve">Critical — intervention needed</w:t>
            </w:r>
          </w:p>
        </w:tc>
        <w:tc>
          <w:p>
            <w:r>
              <w:t xml:space="preserve">Network is not operating viably as designed; escalate before the next planning cycle</w:t>
            </w:r>
          </w:p>
        </w:tc>
      </w:tr>
    </w:tbl>
    <w:p>
      <w:pPr>
        <w:spacing w:after="160"/>
      </w:pPr>
      <w:r>
        <w:t xml:space="preserve">These bands assume high-confidence inputs (see Section 6). Under low confidence, the tier should be treated as directional only, with the band widened by ±10 points before acting on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denotes piecewise-linear interpolation between named anchor points.</w:t>
      </w:r>
    </w:p>
    <w:p>
      <w:pPr>
        <w:pStyle w:val="Heading2"/>
        <w:spacing w:after="120" w:before="240"/>
      </w:pPr>
      <w:r>
        <w:t xml:space="preserve">4.1 P1. Capacity Utilization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Average fleet/container fill rate (%)</w:t>
            </w:r>
          </w:p>
        </w:tc>
        <w:tc>
          <w:p>
            <w:r>
              <w:t xml:space="preserve">Clamp raw input to [0, 100] first — fill rate over 100% is a measurement error, not extra credit; flag fill</w:t>
            </w:r>
            <w:r>
              <w:rPr>
                <w:i/>
                <w:iCs/>
              </w:rPr>
              <w:t xml:space="preserve">rate</w:t>
            </w:r>
            <w:r>
              <w:t xml:space="preserve">over</w:t>
            </w:r>
            <w:r>
              <w:rPr>
                <w:i/>
                <w:iCs/>
              </w:rPr>
              <w:t xml:space="preserve">100</w:t>
            </w:r>
            <w:r>
              <w:t xml:space="preserve">clamped if the raw value exceeded 100. Then lerp anchors: 0%→5, 50%→30, 75%→65, 90%→90, 100%→100.</w:t>
            </w:r>
          </w:p>
        </w:tc>
      </w:tr>
    </w:tbl>
    <w:p>
      <w:pPr>
        <w:spacing w:after="160"/>
        <w:jc w:val="center"/>
      </w:pPr>
      <w:r>
        <w:t xml:space="preserve">P1 = lerp(clamp(fillRatePct, 0, 100), [[0,5],[50,30],[75,65],[90,90],[100,100]])</w:t>
      </w:r>
    </w:p>
    <w:p>
      <w:pPr>
        <w:spacing w:after="160"/>
      </w:pPr>
      <w:r>
        <w:rPr>
          <w:b/>
          <w:bCs/>
        </w:rPr>
        <w:t xml:space="preserve">Why the curve, not a straight line.</w:t>
      </w:r>
      <w:r>
        <w:t xml:space="preserve"> Below 50% fill, a network is genuinely wasting capacity and the score should read as poor across the whole range, not scale gently. Between 75–90% is where most well-run mid-size fleets actually sit — "good," not yet "excellent." Above 90% is uncommonly tight and earns the top of the band.</w:t>
      </w:r>
    </w:p>
    <w:p>
      <w:pPr>
        <w:pStyle w:val="Heading2"/>
        <w:spacing w:after="120" w:before="240"/>
      </w:pPr>
      <w:r>
        <w:t xml:space="preserve">4.2 P2. Cost Efficiency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Cost per ton-km (or cost per unit-distance) vs. lane/benchmark average</w:t>
            </w:r>
          </w:p>
        </w:tc>
        <w:tc>
          <w:p>
            <w:r>
              <w:t xml:space="preserve">ratio = costPerTonKm / benchmarkCostPerTonKm; clamp(60 − (ratio − 1)×150, 0, 100)</w:t>
            </w:r>
          </w:p>
        </w:tc>
      </w:tr>
    </w:tbl>
    <w:p>
      <w:pPr>
        <w:spacing w:after="160"/>
        <w:jc w:val="center"/>
      </w:pPr>
      <w:r>
        <w:t xml:space="preserve">P2 = clamp(60 − (costPerTonKm/benchmarkCostPerTonKm − 1) × 150, 0, 100)</w:t>
      </w:r>
    </w:p>
    <w:p>
      <w:pPr>
        <w:spacing w:after="160"/>
      </w:pPr>
      <w:r>
        <w:rPr>
          <w:b/>
          <w:bCs/>
        </w:rPr>
        <w:t xml:space="preserve">Why 60, not 100, is the baseline.</w:t>
      </w:r>
      <w:r>
        <w:t xml:space="preserve"> Sitting exactly at the benchmark cost is adequate, not good — matching a benchmark isn't an achievement, it's table stakes. Every 10% below benchmark earns 15 points; every 10% above benchmark costs 15 points. This is the steepest lever in the model, the same reasoning as NDQI's entry-multiple sub-score: cost-per-unit is the single most controllable driver of network-level margin.</w:t>
      </w:r>
    </w:p>
    <w:p>
      <w:pPr>
        <w:pStyle w:val="Heading2"/>
        <w:spacing w:after="120" w:before="240"/>
      </w:pPr>
      <w:r>
        <w:t xml:space="preserve">4.3 P3. Service Reliability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On-time delivery percentage</w:t>
            </w:r>
          </w:p>
        </w:tc>
        <w:tc>
          <w:p>
            <w:r>
              <w:t xml:space="preserve">70%</w:t>
            </w:r>
          </w:p>
        </w:tc>
        <w:tc>
          <w:p>
            <w:r>
              <w:t xml:space="preserve">lerp anchors: 70%→20, 85%→55, 95%→80, 98%→95, 100%→100</w:t>
            </w:r>
          </w:p>
        </w:tc>
      </w:tr>
      <w:tr>
        <w:tc>
          <w:tcPr>
            <w:shd w:fill="F3F4F6" w:val="solid"/>
          </w:tcPr>
          <w:p>
            <w:r>
              <w:t xml:space="preserve">b. Order cycle-time consistency (coefficient of variation)</w:t>
            </w:r>
          </w:p>
        </w:tc>
        <w:tc>
          <w:tcPr>
            <w:shd w:fill="F3F4F6" w:val="solid"/>
          </w:tcPr>
          <w:p>
            <w:r>
              <w:t xml:space="preserve">30%</w:t>
            </w:r>
          </w:p>
        </w:tc>
        <w:tc>
          <w:tcPr>
            <w:shd w:fill="F3F4F6" w:val="solid"/>
          </w:tcPr>
          <w:p>
            <w:r>
              <w:t xml:space="preserve">lerp anchors (inverse — lower CV is better): 0→100, 0.10→85, 0.25→60, 0.50→30, 1.0→5</w:t>
            </w:r>
          </w:p>
        </w:tc>
      </w:tr>
    </w:tbl>
    <w:p>
      <w:pPr>
        <w:spacing w:after="160"/>
        <w:jc w:val="center"/>
      </w:pPr>
      <w:r>
        <w:t xml:space="preserve">P3 = 0.70a + 0.30b</w:t>
      </w:r>
    </w:p>
    <w:p>
      <w:pPr>
        <w:spacing w:after="160"/>
      </w:pPr>
      <w:r>
        <w:t xml:space="preserve">95% OTD is anchored as "good" (80) rather than "excellent" because most mature networks treat 95% as the standard service commitment, not a stretch target — genuinely excellent reliability (98%+) is rarer and scores accordingly higher.</w:t>
      </w:r>
    </w:p>
    <w:p>
      <w:pPr>
        <w:pStyle w:val="Heading2"/>
        <w:spacing w:after="120" w:before="240"/>
      </w:pPr>
      <w:r>
        <w:t xml:space="preserve">4.4 P4. Empty-Mile / Deadhead Ratio</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 of total distance driven with no revenue load</w:t>
            </w:r>
          </w:p>
        </w:tc>
        <w:tc>
          <w:p>
            <w:r>
              <w:t xml:space="preserve">lerp anchors (inverse): 5%→100, 15%→80, 20%→65, 30%→40, 45%→10</w:t>
            </w:r>
          </w:p>
        </w:tc>
      </w:tr>
    </w:tbl>
    <w:p>
      <w:pPr>
        <w:spacing w:after="160"/>
        <w:jc w:val="center"/>
      </w:pPr>
      <w:r>
        <w:t xml:space="preserve">P4 = lerp(emptyMilePct, [[5,100],[15,80],[20,65],[30,40],[45,10]])</w:t>
      </w:r>
    </w:p>
    <w:p>
      <w:pPr>
        <w:spacing w:after="160"/>
      </w:pPr>
      <w:r>
        <w:rPr>
          <w:b/>
          <w:bCs/>
        </w:rPr>
        <w:t xml:space="preserve">Realistic benchmarks matter here.</w:t>
      </w:r>
      <w:r>
        <w:t xml:space="preserve"> 15–20% empty miles is common and broadly acceptable in most trucking networks — backhaul opportunities rarely close to zero, and treating 18% as a crisis would just be wrong. The anchors reflect that: 15% still scores 80 ("good"), not a failing grade. Above roughly 30%, though, it is no longer normal variance — it signals a real network-design problem (poor backhaul planning, one-directional lanes, under-utilized regional hubs) and the score drops sharply.</w:t>
      </w:r>
    </w:p>
    <w:p>
      <w:pPr>
        <w:pStyle w:val="Heading2"/>
        <w:spacing w:after="120" w:before="240"/>
      </w:pPr>
      <w:r>
        <w:t xml:space="preserve">4.5 P5. Network Density / Consolidation Potential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 of current shipment volume estimated to sit on overlapping origin-destination corridors that could plausibly be merged</w:t>
            </w:r>
          </w:p>
        </w:tc>
        <w:tc>
          <w:p>
            <w:r>
              <w:t xml:space="preserve">lerp anchors (inverse): 0%→100, 10%→80, 25%→55, 40%→30, 60%→5</w:t>
            </w:r>
          </w:p>
        </w:tc>
      </w:tr>
    </w:tbl>
    <w:p>
      <w:pPr>
        <w:spacing w:after="160"/>
        <w:jc w:val="center"/>
      </w:pPr>
      <w:r>
        <w:t xml:space="preserve">P5 = lerp(unrealizedConsolidationPct, [[0,100],[10,80],[25,55],[40,30],[60,5]])</w:t>
      </w:r>
    </w:p>
    <w:p>
      <w:pPr>
        <w:spacing w:after="160"/>
      </w:pPr>
      <w:r>
        <w:rPr>
          <w:b/>
          <w:bCs/>
        </w:rPr>
        <w:t xml:space="preserve">Why the score runs inverse to opportunity.</w:t>
      </w:r>
      <w:r>
        <w:t xml:space="preserve"> This pillar is a diagnostic of current fragmentation, not a reward for future upside. A network sitting on 40% unrealized consolidation potential is not "40% ahead" — it is inefficient today, and the score should say so plainly. This is deliberately the pillar most directly related to what a NCH run would find: a low P5 score is a strong signal that running NCH on the current shipment list will find real merge opportunities. Computing this pillar does not require running NCH; a rough estimate (e.g., from lane/OD overlap analysis) is sufficient for the diagnostic, and NCH is the follow-up action once the diagnostic flags the opportunity.</w:t>
      </w:r>
    </w:p>
    <w:p>
      <w:pPr>
        <w:pStyle w:val="Heading2"/>
        <w:spacing w:after="120" w:before="240"/>
      </w:pPr>
      <w:r>
        <w:t xml:space="preserve">4.6 P6. Sustainability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Input</w:t>
            </w:r>
          </w:p>
        </w:tc>
        <w:tc>
          <w:tcPr>
            <w:shd w:fill="1B2A4A" w:val="solid"/>
          </w:tcPr>
          <w:p>
            <w:r>
              <w:rPr>
                <w:b/>
                <w:bCs/>
                <w:color w:val="FFFFFF"/>
              </w:rPr>
              <w:t xml:space="preserve">Formula</w:t>
            </w:r>
          </w:p>
        </w:tc>
      </w:tr>
      <w:tr>
        <w:tc>
          <w:p>
            <w:r>
              <w:t xml:space="preserve">CO2e per ton-km vs. modal-mix-adjusted benchmark</w:t>
            </w:r>
          </w:p>
        </w:tc>
        <w:tc>
          <w:p>
            <w:r>
              <w:t xml:space="preserve">ratio = co2ePerTonKm / benchmarkCo2ePerTonKm; clamp(60 − (ratio − 1)×150, 0, 100)</w:t>
            </w:r>
          </w:p>
        </w:tc>
      </w:tr>
    </w:tbl>
    <w:p>
      <w:pPr>
        <w:spacing w:after="160"/>
        <w:jc w:val="center"/>
      </w:pPr>
      <w:r>
        <w:t xml:space="preserve">P6 = clamp(60 − (co2ePerTonKm/benchmarkCo2ePerTonKm − 1) × 150, 0, 100)</w:t>
      </w:r>
    </w:p>
    <w:p>
      <w:pPr>
        <w:spacing w:after="160"/>
      </w:pPr>
      <w:r>
        <w:t xml:space="preserve">Same shape as P2, for the same reason: matching a modal-mix-adjusted carbon benchmark is adequate, not exceptional. The benchmark must already be adjusted for modal mix (rail vs. road vs. air) — comparing an all-road network's raw CO2e/ton-km against an intermodal benchmark without that adjustment will unfairly tank this pillar; see Section 10.</w:t>
      </w:r>
    </w:p>
    <w:p>
      <w:pPr>
        <w:pStyle w:val="Heading1"/>
        <w:spacing w:after="120" w:before="240"/>
      </w:pPr>
      <w:r>
        <w:t xml:space="preserve">5. Qualitative Rubrics</w:t>
      </w:r>
    </w:p>
    <w:p>
      <w:pPr>
        <w:spacing w:after="160"/>
      </w:pPr>
      <w:r>
        <w:t xml:space="preserve">NLNES's six pillars are currently built entirely from measurable operational data — fill rate, cost, OTD, cycle-time variance, empty-mile ratio, unrealized consolidation estimate, and carbon intensity — rather than Likert-style qualitative judgment calls. There is no NLNES-equivalent, in version 1.0, of the moat/governance rubrics used elsewhere in the skills library (e.g. NDQI). This is stated plainly here rather than papered over: as currently specified, NLNES has no qualitative input and no calibrated rubric table governing one.</w:t>
      </w:r>
    </w:p>
    <w:p>
      <w:pPr>
        <w:spacing w:after="160"/>
      </w:pPr>
      <w:r>
        <w:t xml:space="preserve">If a future version needs a qualitative input — for example, "carrier relationship quality" or "network resilience to single-point failures" — the same 1–5 Likert anchor convention used elsewhere in the skills library would apply, for consistency across the skills library: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Any such addition would be a version bump (Section 11), not a silent extension. No qualitative rubric currently governs any live NLNES pillar.</w:t>
      </w:r>
    </w:p>
    <w:p>
      <w:pPr>
        <w:pStyle w:val="Heading1"/>
        <w:spacing w:after="120" w:before="240"/>
      </w:pPr>
      <w:r>
        <w:t xml:space="preserve">6. Confidence and Data-Quality Framework</w:t>
      </w:r>
    </w:p>
    <w:p>
      <w:pPr>
        <w:spacing w:after="160"/>
      </w:pPr>
      <w:r>
        <w:t xml:space="preserve">Every pillar has a required input list (specified as REQUIRED_FIELDS in the reference implementation, scripts/score.js). Before computing, the number of required fields that are missing or explicitly marked "unknown" is counted.</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tier as-is.</w:t>
            </w:r>
          </w:p>
        </w:tc>
      </w:tr>
      <w:tr>
        <w:tc>
          <w:tcPr>
            <w:shd w:fill="F3F4F6" w:val="solid"/>
          </w:tcPr>
          <w:p>
            <w:r>
              <w:t xml:space="preserve">0.7 ≤ completeness &lt; 0.9</w:t>
            </w:r>
          </w:p>
        </w:tc>
        <w:tc>
          <w:tcPr>
            <w:shd w:fill="F3F4F6" w:val="solid"/>
          </w:tcPr>
          <w:p>
            <w:r>
              <w:t xml:space="preserve">Medium confidence</w:t>
            </w:r>
          </w:p>
        </w:tc>
        <w:tc>
          <w:tcPr>
            <w:shd w:fill="F3F4F6" w:val="solid"/>
          </w:tcPr>
          <w:p>
            <w:r>
              <w:t xml:space="preserve">Report the tier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data source would resolve the biggest gap first (usually: real fleet telematics/TMS exports beat a manager's verbal estimate every time — prioritize closing capacity and cost gaps over sustainability ones, since P1+P2 carry 45% of the weight).</w:t>
            </w:r>
          </w:p>
        </w:tc>
      </w:tr>
    </w:tbl>
    <w:p>
      <w:pPr>
        <w:spacing w:after="160"/>
      </w:pPr>
      <w:r>
        <w:t xml:space="preserve">Never silently substitute a default value for a missing required field and present the result as if it were measured. If a value is genuinely unknown, it is passed as null/"unknown" and the completeness penalty is allowed to apply — a lower-confidence real answer beats a confident wrong one.</w:t>
      </w:r>
    </w:p>
    <w:p>
      <w:r>
        <w:br w:type="page"/>
      </w:r>
    </w:p>
    <w:p>
      <w:pPr>
        <w:pStyle w:val="Heading1"/>
        <w:spacing w:after="120" w:before="240"/>
      </w:pPr>
      <w:r>
        <w:t xml:space="preserve">7. Worked Example</w:t>
      </w:r>
    </w:p>
    <w:p>
      <w:pPr>
        <w:spacing w:after="160"/>
      </w:pPr>
      <w:r>
        <w:t xml:space="preserve">Regional mid-size distribution network, single-region road fleet. The full input is scripts/example-input.json in the reference implementation; running node scripts/score.js scripts/example-input.json reproduces the numbers below exactly (they are copied straight from that command's real output).</w:t>
      </w:r>
    </w:p>
    <w:p>
      <w:pPr>
        <w:pStyle w:val="Heading2"/>
        <w:spacing w:after="120" w:before="240"/>
      </w:pPr>
      <w:r>
        <w:t xml:space="preserve">7.1 Inputs</w:t>
      </w:r>
    </w:p>
    <w:p>
      <w:pPr>
        <w:pStyle w:val="ListParagraph"/>
        <w:numPr>
          <w:ilvl w:val="0"/>
          <w:numId w:val="1"/>
        </w:numPr>
        <w:spacing w:after="60"/>
      </w:pPr>
      <w:r>
        <w:t xml:space="preserve">Average fill rate 78%</w:t>
      </w:r>
    </w:p>
    <w:p>
      <w:pPr>
        <w:pStyle w:val="ListParagraph"/>
        <w:numPr>
          <w:ilvl w:val="0"/>
          <w:numId w:val="1"/>
        </w:numPr>
        <w:spacing w:after="60"/>
      </w:pPr>
      <w:r>
        <w:t xml:space="preserve">Cost per ton-km $0.092 vs. benchmark $0.085</w:t>
      </w:r>
    </w:p>
    <w:p>
      <w:pPr>
        <w:pStyle w:val="ListParagraph"/>
        <w:numPr>
          <w:ilvl w:val="0"/>
          <w:numId w:val="1"/>
        </w:numPr>
        <w:spacing w:after="60"/>
      </w:pPr>
      <w:r>
        <w:t xml:space="preserve">On-time delivery 94% with order cycle-time CV 0.22</w:t>
      </w:r>
    </w:p>
    <w:p>
      <w:pPr>
        <w:pStyle w:val="ListParagraph"/>
        <w:numPr>
          <w:ilvl w:val="0"/>
          <w:numId w:val="1"/>
        </w:numPr>
        <w:spacing w:after="60"/>
      </w:pPr>
      <w:r>
        <w:t xml:space="preserve">Empty-mile ratio 22%</w:t>
      </w:r>
    </w:p>
    <w:p>
      <w:pPr>
        <w:pStyle w:val="ListParagraph"/>
        <w:numPr>
          <w:ilvl w:val="0"/>
          <w:numId w:val="1"/>
        </w:numPr>
        <w:spacing w:after="60"/>
      </w:pPr>
      <w:r>
        <w:t xml:space="preserve">Estimated unrealized consolidation potential 18%</w:t>
      </w:r>
    </w:p>
    <w:p>
      <w:pPr>
        <w:pStyle w:val="ListParagraph"/>
        <w:numPr>
          <w:ilvl w:val="0"/>
          <w:numId w:val="1"/>
        </w:numPr>
        <w:spacing w:after="60"/>
      </w:pPr>
      <w:r>
        <w:t xml:space="preserve">Carbon intensity 0.071 kg CO2e/ton-km vs. modal-mix-adjusted benchmark 0.078</w:t>
      </w:r>
    </w:p>
    <w:p>
      <w:pPr>
        <w:pStyle w:val="Heading2"/>
        <w:spacing w:after="120" w:before="240"/>
      </w:pPr>
      <w:r>
        <w:t xml:space="preserve">7.2 Step-by-Step Computation</w:t>
      </w:r>
    </w:p>
    <w:p>
      <w:pPr>
        <w:spacing w:after="160"/>
      </w:pPr>
      <w:r>
        <w:t xml:space="preserve">P1:</w:t>
      </w:r>
    </w:p>
    <w:p>
      <w:pPr>
        <w:spacing w:after="160"/>
        <w:jc w:val="center"/>
      </w:pPr>
      <w:r>
        <w:t xml:space="preserve">P1 = lerp(78, [[0,5],[50,30],[75,65],[90,90],[100,100]]) = 65 + (78−75)/(90−75) × (90−65) = 65 + 0.2×25 = 70.0</w:t>
      </w:r>
    </w:p>
    <w:p>
      <w:pPr>
        <w:spacing w:after="160"/>
      </w:pPr>
      <w:r>
        <w:t xml:space="preserve">P2:</w:t>
      </w:r>
    </w:p>
    <w:p>
      <w:pPr>
        <w:pStyle w:val="ListParagraph"/>
        <w:numPr>
          <w:ilvl w:val="0"/>
          <w:numId w:val="1"/>
        </w:numPr>
        <w:spacing w:after="60"/>
      </w:pPr>
      <w:r>
        <w:t xml:space="preserve">ratio = 0.092/0.085 = 1.0824</w:t>
      </w:r>
    </w:p>
    <w:p>
      <w:pPr>
        <w:pStyle w:val="ListParagraph"/>
        <w:numPr>
          <w:ilvl w:val="0"/>
          <w:numId w:val="1"/>
        </w:numPr>
        <w:spacing w:after="60"/>
      </w:pPr>
      <w:r>
        <w:t xml:space="preserve">P2 = 60 − (1.0824−1)×150 = 60 − 12.35 = 47.6</w:t>
      </w:r>
    </w:p>
    <w:p>
      <w:pPr>
        <w:spacing w:after="160"/>
      </w:pPr>
      <w:r>
        <w:t xml:space="preserve">P3:</w:t>
      </w:r>
    </w:p>
    <w:p>
      <w:pPr>
        <w:pStyle w:val="ListParagraph"/>
        <w:numPr>
          <w:ilvl w:val="0"/>
          <w:numId w:val="1"/>
        </w:numPr>
        <w:spacing w:after="60"/>
      </w:pPr>
      <w:r>
        <w:t xml:space="preserve">a = lerp(94, [[70,20],[85,55],[95,80],[98,95],[100,100]]) = 55 + (94−85)/(95−85)×(80−55) = 55 + 0.9×25 = 77.5</w:t>
      </w:r>
    </w:p>
    <w:p>
      <w:pPr>
        <w:pStyle w:val="ListParagraph"/>
        <w:numPr>
          <w:ilvl w:val="0"/>
          <w:numId w:val="1"/>
        </w:numPr>
        <w:spacing w:after="60"/>
      </w:pPr>
      <w:r>
        <w:t xml:space="preserve">b = lerp(0.22, [[0,100],[0.10,85],[0.25,60],[0.50,30],[1.0,5]]) = 85 + (0.22−0.10)/(0.25−0.10)×(60−85) = 85 − 0.8×25 = 65.0</w:t>
      </w:r>
    </w:p>
    <w:p>
      <w:pPr>
        <w:pStyle w:val="ListParagraph"/>
        <w:numPr>
          <w:ilvl w:val="0"/>
          <w:numId w:val="1"/>
        </w:numPr>
        <w:spacing w:after="60"/>
      </w:pPr>
      <w:r>
        <w:t xml:space="preserve">P3 = 0.70(77.5) + 0.30(65.0) = 54.25 + 19.5 = 73.75</w:t>
      </w:r>
    </w:p>
    <w:p>
      <w:pPr>
        <w:spacing w:after="160"/>
      </w:pPr>
      <w:r>
        <w:t xml:space="preserve">P4:</w:t>
      </w:r>
    </w:p>
    <w:p>
      <w:pPr>
        <w:spacing w:after="160"/>
        <w:jc w:val="center"/>
      </w:pPr>
      <w:r>
        <w:t xml:space="preserve">P4 = lerp(22, [[5,100],[15,80],[20,65],[30,40],[45,10]]) = 65 + (22−20)/(30−20)×(40−65) = 65 − 0.2×25 = 60.0</w:t>
      </w:r>
    </w:p>
    <w:p>
      <w:pPr>
        <w:spacing w:after="160"/>
      </w:pPr>
      <w:r>
        <w:t xml:space="preserve">P5:</w:t>
      </w:r>
    </w:p>
    <w:p>
      <w:pPr>
        <w:spacing w:after="160"/>
        <w:jc w:val="center"/>
      </w:pPr>
      <w:r>
        <w:t xml:space="preserve">P5 = lerp(18, [[0,100],[10,80],[25,55],[40,30],[60,5]]) = 80 + (18−10)/(25−10)×(55−80) = 80 − 0.533×25 = 66.7</w:t>
      </w:r>
    </w:p>
    <w:p>
      <w:pPr>
        <w:spacing w:after="160"/>
      </w:pPr>
      <w:r>
        <w:t xml:space="preserve">P6:</w:t>
      </w:r>
    </w:p>
    <w:p>
      <w:pPr>
        <w:pStyle w:val="ListParagraph"/>
        <w:numPr>
          <w:ilvl w:val="0"/>
          <w:numId w:val="1"/>
        </w:numPr>
        <w:spacing w:after="60"/>
      </w:pPr>
      <w:r>
        <w:t xml:space="preserve">ratio = 0.071/0.078 = 0.9103</w:t>
      </w:r>
    </w:p>
    <w:p>
      <w:pPr>
        <w:pStyle w:val="ListParagraph"/>
        <w:numPr>
          <w:ilvl w:val="0"/>
          <w:numId w:val="1"/>
        </w:numPr>
        <w:spacing w:after="60"/>
      </w:pPr>
      <w:r>
        <w:t xml:space="preserve">P6 = 60 − (0.9103−1)×150 = 60 + 13.46 = 73.5</w:t>
      </w:r>
    </w:p>
    <w:p>
      <w:pPr>
        <w:spacing w:after="160"/>
        <w:jc w:val="center"/>
      </w:pPr>
      <w:r>
        <w:t xml:space="preserve">NLNES = 0.25(70.0) + 0.20(47.6) + 0.20(73.75) + 0.15(60.0) + 0.10(66.7) + 0.10(73.5) = 17.5 + 9.53 + 14.75 + 9.0 + 6.67 + 7.35 = 64.8</w:t>
      </w:r>
    </w:p>
    <w:p>
      <w:pPr>
        <w:pStyle w:val="Heading2"/>
        <w:spacing w:after="120" w:before="240"/>
      </w:pPr>
      <w:r>
        <w:t xml:space="preserve">7.3 Result and Interpretation</w:t>
      </w:r>
    </w:p>
    <w:p>
      <w:pPr>
        <w:spacing w:after="160"/>
      </w:pPr>
      <w:r>
        <w:rPr>
          <w:b/>
          <w:bCs/>
        </w:rPr>
        <w:t xml:space="preserve">Result: NLNES 64.8 — Adequate tier</w:t>
      </w:r>
      <w:r>
        <w:t xml:space="preserve"> (confidence: High, 100% complete, per the script's real output). The network is functional but leaving real money on the table: P2 (cost efficiency, 47.6) is the weakest pillar by a wide margin — the network is running about 8% above benchmark cost-per-ton-km, which alone costs roughly 2.5 composite points versus running at benchmark. P4 (empty miles, 60.0) is the second-largest drag; 22% deadhead is above the 15–20% "common/acceptable" band. Both P2 and P4 point toward the same fix — P5 (consolidation potential, 66.7) shows there is a real, if moderate, amount of unrealized consolidation (18%) that a NCH run against the current shipment list would likely convert into both lower empty miles and lower cost-per-ton-km.</w:t>
      </w:r>
    </w:p>
    <w:p>
      <w:pPr>
        <w:pStyle w:val="Heading1"/>
        <w:spacing w:after="120" w:before="240"/>
      </w:pPr>
      <w:r>
        <w:t xml:space="preserve">8. Comparative Positioning</w:t>
      </w:r>
    </w:p>
    <w:p>
      <w:pPr>
        <w:spacing w:after="160"/>
      </w:pPr>
      <w:r>
        <w:t xml:space="preserve">NLNES is built on top of a set of operational metrics that are already industry-standard and widely used in logistics and supply-chain management: fill rate/capacity utilization, cost per ton-km, on-time delivery (OTD) percentage, and empty-mile (deadhead) ratio are all real, recognized KPIs that appear routinely in TMS dashboards, carrier scorecards, and supply-chain benchmarking reports across the industry. NLNES does not claim to have invented any of these individual metrics. What it adds is a fixed, named way of converting that already-familiar vocabulary into one composite, auditable score, with explicit curves and weights rather than an unweighted checklist or an informal "logistics feels efficient" judgment.</w:t>
      </w:r>
    </w:p>
    <w:p>
      <w:pPr>
        <w:spacing w:after="160"/>
      </w:pPr>
      <w:r>
        <w:t xml:space="preserve">NLNES also belongs to a recognizable broader tradition of named, checkable diagnostic scoring models — the same tradition invoked explicitly in its own specification: the Altman Z-Score and the Piotroski F-Score in finance, and classic named operations-research heuristics such as the Clarke-Wright savings algorithm in logistics itself. The structural property these share with NLNES is the one that matters for defensibility: each replaces an unstructured impression with a fixed, reproducible formula, so the score means the same thing regardless of who computes it — "NLNES 65" is intended to carry the same evidentiary weight as "Altman Z-Score 1.8," not to be a one-off analyst opinion dressed up as a number.</w:t>
      </w:r>
    </w:p>
    <w:p>
      <w:pPr>
        <w:spacing w:after="160"/>
      </w:pPr>
      <w:r>
        <w:t xml:space="preserve">Within the same toolkit, NLNES and the Nishant Consolidation Heuristic (NCH) form a deliberate diagnose-then-act pairing, documented in a separate whitepaper. NLNES answers whether a network's current operating health is good, and if not, which pillar is driving the shortfall — including, via its Network Density pillar (§4.5), whether unrealized consolidation is part of the problem. NCH is the operational follow-on that takes an actual shipment list and computes a concrete consolidated route plan and distance savings. The two tools are complementary rather than interchangeable: NLNES's P5 estimate previews whether NCH-style consolidation would find much to work with, but computing P5 does not require running NCH, and running NCH does not require having computed a NLNES score first. This whitepaper does not restate NCH's savings formulas, priority-weighting overlay, or worked numeric example — those are documented in full in NCH's own whitepaper.</w:t>
      </w:r>
    </w:p>
    <w:p>
      <w:pPr>
        <w:spacing w:after="160"/>
      </w:pPr>
      <w:r>
        <w:t xml:space="preserve">No specific industry benchmark statistic, named third-party study, or comparative performance figure is asserted here beyond what is stated in NLNES's own specification (Section 4) — this section positions NLNES relative to general, well-known categories of metrics and models, not against unverified competitive claims.</w:t>
      </w:r>
    </w:p>
    <w:p>
      <w:r>
        <w:br w:type="page"/>
      </w:r>
    </w:p>
    <w:p>
      <w:pPr>
        <w:pStyle w:val="Heading1"/>
        <w:spacing w:after="120" w:before="240"/>
      </w:pPr>
      <w:r>
        <w:t xml:space="preserve">9. Intellectual Property and Defensibility Posture</w:t>
      </w:r>
    </w:p>
    <w:p>
      <w:pPr>
        <w:spacing w:after="160"/>
      </w:pPr>
      <w:r>
        <w:t xml:space="preserve">This section is adapted from the broader skills-library IP framing maintained alongside NLNES, applied specifically to this algorithm. It is provided to give a valuer, licensing counterparty, or reviewing attorney an accurate, non-inflated picture of what protection currently applies and what would need to be established to extend it — not a legal opinion.</w:t>
      </w:r>
    </w:p>
    <w:p>
      <w:pPr>
        <w:pStyle w:val="Heading2"/>
        <w:spacing w:after="120" w:before="240"/>
      </w:pPr>
      <w:r>
        <w:t xml:space="preserve">9.1 Trade Secret Protection Applies Now</w:t>
      </w:r>
    </w:p>
    <w:p>
      <w:pPr>
        <w:spacing w:after="160"/>
      </w:pPr>
      <w:r>
        <w:t xml:space="preserve">NLNES is documented as a proprietary, trade-secret methodology — named, versioned, and specified precisely enough to be defensible as original work product. Trade secret protection applies automatically, simply by virtue of the methodology being original, non-public, and treated as confidential (as this document itself is marked). That is the primary form of protection this document is written to support, and it does not require registration, filing, or examination — it exists the moment the criteria (secrecy, value from secrecy, reasonable protective measures) are met and continues for as long as those criteria hold.</w:t>
      </w:r>
    </w:p>
    <w:p>
      <w:pPr>
        <w:pStyle w:val="Heading2"/>
        <w:spacing w:after="120" w:before="240"/>
      </w:pPr>
      <w:r>
        <w:t xml:space="preserve">9.2 Patent Eligibility Is a Separate, Harder Question</w:t>
      </w:r>
    </w:p>
    <w:p>
      <w:pPr>
        <w:spacing w:after="160"/>
      </w:pPr>
      <w:r>
        <w:t xml:space="preserve">Patent eligibility is a distinct and materially harder question from trade-secret status. In the United States, abstract algorithms and pure business methods generally fail patent-eligibility review under the Alice/Mayo framework unless the claim ties the scoring method to a specific technical improvement — for example, a particular system architecture, or a measurable efficiency gain in how a computation runs — rather than simply "a new way to weight logistics ratios." NLNES, as a pure weighted-scoring model over operational metrics, is more naturally characterized as a trade secret than a patent candidate as currently specified.</w:t>
      </w:r>
    </w:p>
    <w:p>
      <w:pPr>
        <w:spacing w:after="160"/>
      </w:pPr>
      <w:r>
        <w:t xml:space="preserve">This is a candid limitation, not a hedge, and it is worth being explicit about the contrast within the same toolkit: the Nishant Consolidation Heuristic (NCH) — the route-consolidation algorithm documented in its own whitepaper — is understood internally to be a comparatively stronger patent-eligibility candidate than NLNES, precisely because NCH is a concrete computational method with a measurable output (a specific route assignment, a specific distance saved), closer to the kind of technical process that has cleared the Alice/Mayo bar before. NLNES, by contrast, is a scoring judgment over inputs rather than a computational routing method, and that distinction is exactly what makes it the weaker patent candidate of the two. This document does not overclaim a patent-eligibility argument for NLNES that its own structure does not support.</w:t>
      </w:r>
    </w:p>
    <w:p>
      <w:pPr>
        <w:spacing w:after="160"/>
      </w:pPr>
      <w:r>
        <w:t xml:space="preserve">"Patentable" language, if it appears anywhere in materials describing this methodology, means "specified with enough novelty and precision to be a serious patent-counsel conversation" — not "patented" or "guaranteed patentable." Actually obtaining a patent would require filing, examination, and often narrowing claims to survive prior-art and eligibility challenges.</w:t>
      </w:r>
    </w:p>
    <w:p>
      <w:pPr>
        <w:pStyle w:val="Heading2"/>
        <w:spacing w:after="120" w:before="240"/>
      </w:pPr>
      <w:r>
        <w:t xml:space="preserve">9.3 What Makes the Trade-Secret Claim Defensible</w:t>
      </w:r>
    </w:p>
    <w:p>
      <w:pPr>
        <w:spacing w:after="160"/>
      </w:pPr>
      <w:r>
        <w:t xml:space="preserve">Three properties of NLNES, as documented, are specifically what make a trade-secret claim over it defensible rather than aspirational:</w:t>
      </w:r>
    </w:p>
    <w:p>
      <w:pPr>
        <w:pStyle w:val="ListParagraph"/>
        <w:numPr>
          <w:ilvl w:val="0"/>
          <w:numId w:val="1"/>
        </w:numPr>
        <w:spacing w:after="60"/>
      </w:pPr>
      <w:r>
        <w:t xml:space="preserve">Specificity — every sub-score reduces to a named formula against a named input (piecewise-linear anchors, clamping functions), not a general description of "a proprietary logistics scoring approach." A trade secret claim is only as strong as the concreteness of what is actually being kept secret.</w:t>
      </w:r>
    </w:p>
    <w:p>
      <w:pPr>
        <w:pStyle w:val="ListParagraph"/>
        <w:numPr>
          <w:ilvl w:val="0"/>
          <w:numId w:val="1"/>
        </w:numPr>
        <w:spacing w:after="60"/>
      </w:pPr>
      <w:r>
        <w:t xml:space="preserve">Versioning discipline — any change to a weight, formula, or anchor value is required to be a version bump with a changelog entry (Section 11), so that the methodology's evolution is itself documented and attributable, rather than silently drifting in a way that would undermine a claim of a stable, identifiable asset.</w:t>
      </w:r>
    </w:p>
    <w:p>
      <w:pPr>
        <w:pStyle w:val="ListParagraph"/>
        <w:numPr>
          <w:ilvl w:val="0"/>
          <w:numId w:val="1"/>
        </w:numPr>
        <w:spacing w:after="60"/>
      </w:pPr>
      <w:r>
        <w:t xml:space="preserve">Reproducibility — the existence of a literal, runnable reference implementation (scripts/score.js) that reproduces every number in this document's worked example exactly (Section 7) is affirmative evidence that the described methodology is real, specific, and consistently applied — not an after-the-fact narrative constructed around a one-off result.</w:t>
      </w:r>
    </w:p>
    <w:p>
      <w:pPr>
        <w:spacing w:after="160"/>
      </w:pPr>
      <w:r>
        <w:t xml:space="preserve">This document does not constitute legal advice. A patent and IP attorney should be consulted before relying on any trade secret or patent protection for this methodology in a commercial context — including before any licensing negotiation, disclosure to a third party, or valuation exercise that treats this protection as a settled fact rather than a posture to be independently verified.</w:t>
      </w:r>
    </w:p>
    <w:p>
      <w:pPr>
        <w:pStyle w:val="Heading1"/>
        <w:spacing w:after="120" w:before="240"/>
      </w:pPr>
      <w:r>
        <w:t xml:space="preserve">10. Known Limitations</w:t>
      </w:r>
    </w:p>
    <w:p>
      <w:pPr>
        <w:pStyle w:val="ListParagraph"/>
        <w:numPr>
          <w:ilvl w:val="0"/>
          <w:numId w:val="1"/>
        </w:numPr>
        <w:spacing w:after="60"/>
      </w:pPr>
      <w:r>
        <w:t xml:space="preserve">NLNES benchmarks must be real, lane-level data, or the score is meaningless. "Benchmark cost-per-ton-km" and "modal-mix-adjusted carbon benchmark" are only as good as the comp set behind them. A generic industry-average benchmark applied to a specialized lane (e.g., last-mile cold-chain) will misscore P2 and P6 badly. Always record the benchmark's source and as-of date alongside the score.</w:t>
      </w:r>
    </w:p>
    <w:p>
      <w:pPr>
        <w:pStyle w:val="ListParagraph"/>
        <w:numPr>
          <w:ilvl w:val="0"/>
          <w:numId w:val="1"/>
        </w:numPr>
        <w:spacing w:after="60"/>
      </w:pPr>
      <w:r>
        <w:t xml:space="preserve">NLNES's P5 estimate and NCH's actual findings can disagree. P5 is a rough, often analyst-estimated proxy for consolidation opportunity; NCH works off the actual shipment list and real constraints. Treat a large gap between "P5 said there was room" and "NCH found little to merge" as a signal that P5's input estimate needs to be revisited, not that either tool is wrong.</w:t>
      </w:r>
    </w:p>
    <w:p>
      <w:pPr>
        <w:spacing w:after="160"/>
      </w:pPr>
      <w:r>
        <w:t xml:space="preserve">These limitations are transcribed as-stated in the authoritative specification and are not softened here. Additional limitations specific to NCH (savings-algorithm optimality gaps, real-time traffic modeling, capacity/duration constraint simplifications) are documented in NCH's own whitepaper and are not restated here, as they do not apply to NLNES as a diagnostic score.</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 for both NLNES and NCH</w:t>
            </w:r>
          </w:p>
        </w:tc>
      </w:tr>
    </w:tbl>
    <w:p>
      <w:pPr>
        <w:spacing w:after="160"/>
      </w:pPr>
      <w:r>
        <w:t xml:space="preserve">Any change to a weight, formula, or anchor value is a version bump with an entry in this table — the whole point of a proprietary, named algorithm is that "NLNES 65" means the same thing every time it is quoted. Silent tuning defeats that.</w:t>
      </w:r>
    </w:p>
    <w:p>
      <w:pPr>
        <w:pStyle w:val="Heading1"/>
        <w:spacing w:after="120" w:before="240"/>
      </w:pPr>
      <w:r>
        <w:t xml:space="preserve">12. Reference Implementation</w:t>
      </w:r>
    </w:p>
    <w:p>
      <w:pPr>
        <w:spacing w:after="160"/>
      </w:pPr>
      <w:r>
        <w:t xml:space="preserve">scripts/score.js, maintained alongside the authoritative methodology specification in the logistics-network-optimization skill folder, is a literal, runnable implementation of every NLNES formula described in this document. If the specification and the script ever disagree, the specification governs and the script is treated as having a bug — but in ordinary operation the two are required to stay in lockstep, and the worked example in Section 7 is generated directly from that script's output rather than hand-computed. Reproducibility of this kind is itself a valuation-relevant property: a proprietary claim that cannot be independently re-run and checked against its own stated formulas is much weaker evidence of real, defensible IP than a claim — like this one — that can be executed end-to-end by a third party and produces the exact numbers documented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2026-08-10T15:58:16.917Z</dcterms:created>
  <dcterms:modified xsi:type="dcterms:W3CDTF">2026-08-10T15:58:16.918Z</dcterms:modified>
</cp:coreProperties>
</file>

<file path=docProps/custom.xml><?xml version="1.0" encoding="utf-8"?>
<Properties xmlns="http://schemas.openxmlformats.org/officeDocument/2006/custom-properties" xmlns:vt="http://schemas.openxmlformats.org/officeDocument/2006/docPropsVTypes"/>
</file>