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Real Estate Investment Score (NREIS)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Nishant Real Estate Investment Score (NREIS) is a proprietary, six-pillar, weighted scoring algorithm developed by Nishant Prabhakar for screening and triaging commercial real estate acquisition opportunities. It converts the standard inputs of a deal — an offering memorandum, a rent roll, a comparable-sales/cap-rate set, and diligence notes — into a single, reproducible composite score on a 0–100 scale, mapped to a five-tier recommendation band, together with an explicit confidence rating that degrades honestly when required inputs are missing rather than silently defaulting them.</w:t>
      </w:r>
    </w:p>
    <w:p>
      <w:pPr>
        <w:spacing w:after="160"/>
      </w:pPr>
      <w:r>
        <w:t xml:space="preserve">The problem NREIS solves is not a shortage of real estate underwriting metrics — going-in cap rate, occupancy, WALE, mark-to-market rent gap, submarket vacancy trend, new-supply pipeline, loan-to-value, debt yield, and cap-rate spread to cost of debt are all standard, well-understood figures that any competent CRE analyst already tracks. The problem is that two analysts looking at the same deal, using the same standard metrics, routinely land on different "vibes" about whether to pursue it, and an investment committee is left adjudicating impressions rather than auditing a specific, named calculation. NREIS exists to force the same six questions to be answered, in the same way, against the same named formulas, for every acquisition target that passes through a pipeline — so that a disagreement about a deal becomes a disagreement about a specific input or a specific weight, not a disagreement about feel.</w:t>
      </w:r>
    </w:p>
    <w:p>
      <w:pPr>
        <w:spacing w:after="160"/>
      </w:pPr>
      <w:r>
        <w:t xml:space="preserve">NREIS's novelty is not in inventing new real estate concepts. It is in the specific, published, versioned combination of choices layered on top of standard metrics: the selection of exactly six pillars and their relative weights (25% / 20% / 20% / 15% / 10% / 10%); the piecewise-linear interpolation anchors chosen for each sub-metric; deliberate, non-obvious scoring inversions such as rewarding conservative (not optimistic) exit cap-rate assumptions in P6b; an explicit "extreme-gap guard" that caps the reward for an implausibly large mark-to-market rent gap in P2b rather than letting it buy an unlimited score; and a formal confidence-and-missing-data framework (§6 of the specification) that ties the reliability of the headline number to how complete the underlying inputs actually are. Taken together, these choices constitute a specific, checkable, and reproducible methodology — the kind of asset that is properly evaluated as intellectual property rather than as generic industry know-how.</w:t>
      </w:r>
    </w:p>
    <w:p>
      <w:pPr>
        <w:pStyle w:val="Heading1"/>
        <w:spacing w:after="120" w:before="240"/>
      </w:pPr>
      <w:r>
        <w:t xml:space="preserve">2. Purpose and Positioning</w:t>
      </w:r>
    </w:p>
    <w:p>
      <w:pPr>
        <w:spacing w:after="160"/>
      </w:pPr>
      <w:r>
        <w:t xml:space="preserve">The NREIS is a </w:t>
      </w:r>
      <w:r>
        <w:rPr>
          <w:b/>
          <w:bCs/>
        </w:rPr>
        <w:t xml:space="preserve">screening and triage tool</w:t>
      </w:r>
      <w:r>
        <w:t xml:space="preserve">, not an appraisal. It exists to do three things quickly and consistently across a deal pipeline:</w:t>
      </w:r>
    </w:p>
    <w:p>
      <w:pPr>
        <w:pStyle w:val="ListParagraph"/>
        <w:numPr>
          <w:ilvl w:val="0"/>
          <w:numId w:val="2"/>
        </w:numPr>
        <w:spacing w:after="60"/>
      </w:pPr>
      <w:r>
        <w:t xml:space="preserve">Convert an offering memorandum, rent roll, comp set, and diligence notes into one comparable number.</w:t>
      </w:r>
    </w:p>
    <w:p>
      <w:pPr>
        <w:pStyle w:val="ListParagraph"/>
        <w:numPr>
          <w:ilvl w:val="0"/>
          <w:numId w:val="2"/>
        </w:numPr>
        <w:spacing w:after="60"/>
      </w:pPr>
      <w:r>
        <w:t xml:space="preserve">Force the same six questions to get answered for every acquisition target, in the same way, so two analysts scoring the same property land on the same number (±5 points).</w:t>
      </w:r>
    </w:p>
    <w:p>
      <w:pPr>
        <w:pStyle w:val="ListParagraph"/>
        <w:numPr>
          <w:ilvl w:val="0"/>
          <w:numId w:val="2"/>
        </w:numPr>
        <w:spacing w:after="60"/>
      </w:pPr>
      <w:r>
        <w:t xml:space="preserve">Surface which specific pillar is weak, not just a vibe of "meh" — so the investment-committee conversation is "the submarket has a 9% supply pipeline against existing stock" instead of "I don't love the location."</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NREIS is not</w:t>
      </w:r>
      <w:r>
        <w:t xml:space="preserve">: an appraisal, a substitute for a real third-party valuation, or a substitute for a physical property condition inspection. It scores the *acquisition case* relative to comps and submarket data, not the building's true fair value or its actual structural condition. Commission a real appraisal and a property condition report in parallel — the NREIS tells you whether it's worth commissioning them.</w:t>
      </w:r>
    </w:p>
    <w:p>
      <w:pPr>
        <w:pStyle w:val="Heading1"/>
        <w:spacing w:after="120" w:before="240"/>
      </w:pPr>
      <w:r>
        <w:t xml:space="preserve">3. Methodology at a Glance</w:t>
      </w:r>
    </w:p>
    <w:p>
      <w:pPr>
        <w:pStyle w:val="Heading2"/>
        <w:spacing w:after="120" w:before="240"/>
      </w:pPr>
      <w:r>
        <w:t xml:space="preserve">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Income Quality</w:t>
            </w:r>
          </w:p>
        </w:tc>
        <w:tc>
          <w:p>
            <w:r>
              <w:t xml:space="preserve">25%</w:t>
            </w:r>
          </w:p>
        </w:tc>
        <w:tc>
          <w:p>
            <w:r>
              <w:t xml:space="preserve">Is the in-place income priced right, occupied, and durable?</w:t>
            </w:r>
          </w:p>
        </w:tc>
      </w:tr>
      <w:tr>
        <w:tc>
          <w:tcPr>
            <w:shd w:fill="F3F4F6" w:val="solid"/>
          </w:tcPr>
          <w:p>
            <w:r>
              <w:t xml:space="preserve">P2. Growth Potential</w:t>
            </w:r>
          </w:p>
        </w:tc>
        <w:tc>
          <w:tcPr>
            <w:shd w:fill="F3F4F6" w:val="solid"/>
          </w:tcPr>
          <w:p>
            <w:r>
              <w:t xml:space="preserve">20%</w:t>
            </w:r>
          </w:p>
        </w:tc>
        <w:tc>
          <w:tcPr>
            <w:shd w:fill="F3F4F6" w:val="solid"/>
          </w:tcPr>
          <w:p>
            <w:r>
              <w:t xml:space="preserve">Is there real upside in NOI and rents, or is this already fully priced?</w:t>
            </w:r>
          </w:p>
        </w:tc>
      </w:tr>
      <w:tr>
        <w:tc>
          <w:p>
            <w:r>
              <w:t xml:space="preserve">P3. Location &amp; Market</w:t>
            </w:r>
          </w:p>
        </w:tc>
        <w:tc>
          <w:p>
            <w:r>
              <w:t xml:space="preserve">20%</w:t>
            </w:r>
          </w:p>
        </w:tc>
        <w:tc>
          <w:p>
            <w:r>
              <w:t xml:space="preserve">Is the submarket tightening or about to get flooded with new supply?</w:t>
            </w:r>
          </w:p>
        </w:tc>
      </w:tr>
      <w:tr>
        <w:tc>
          <w:tcPr>
            <w:shd w:fill="F3F4F6" w:val="solid"/>
          </w:tcPr>
          <w:p>
            <w:r>
              <w:t xml:space="preserve">P4. Physical Asset Quality</w:t>
            </w:r>
          </w:p>
        </w:tc>
        <w:tc>
          <w:tcPr>
            <w:shd w:fill="F3F4F6" w:val="solid"/>
          </w:tcPr>
          <w:p>
            <w:r>
              <w:t xml:space="preserve">15%</w:t>
            </w:r>
          </w:p>
        </w:tc>
        <w:tc>
          <w:tcPr>
            <w:shd w:fill="F3F4F6" w:val="solid"/>
          </w:tcPr>
          <w:p>
            <w:r>
              <w:t xml:space="preserve">What condition is the building actually in, and what does that cost to fix?</w:t>
            </w:r>
          </w:p>
        </w:tc>
      </w:tr>
      <w:tr>
        <w:tc>
          <w:p>
            <w:r>
              <w:t xml:space="preserve">P5. Deal Structure &amp; Leverage</w:t>
            </w:r>
          </w:p>
        </w:tc>
        <w:tc>
          <w:p>
            <w:r>
              <w:t xml:space="preserve">10%</w:t>
            </w:r>
          </w:p>
        </w:tc>
        <w:tc>
          <w:p>
            <w:r>
              <w:t xml:space="preserve">Is the financing sound, or does it turn a good asset into a bad deal?</w:t>
            </w:r>
          </w:p>
        </w:tc>
      </w:tr>
      <w:tr>
        <w:tc>
          <w:tcPr>
            <w:shd w:fill="F3F4F6" w:val="solid"/>
          </w:tcPr>
          <w:p>
            <w:r>
              <w:t xml:space="preserve">P6. Exit / Liquidity Risk</w:t>
            </w:r>
          </w:p>
        </w:tc>
        <w:tc>
          <w:tcPr>
            <w:shd w:fill="F3F4F6" w:val="solid"/>
          </w:tcPr>
          <w:p>
            <w:r>
              <w:t xml:space="preserve">10%</w:t>
            </w:r>
          </w:p>
        </w:tc>
        <w:tc>
          <w:tcPr>
            <w:shd w:fill="F3F4F6" w:val="solid"/>
          </w:tcPr>
          <w:p>
            <w:r>
              <w:t xml:space="preserve">Can we actually sell this later, and did we underwrite the exit honestly?</w:t>
            </w:r>
          </w:p>
        </w:tc>
      </w:tr>
    </w:tbl>
    <w:p>
      <w:pPr>
        <w:spacing w:after="160"/>
      </w:pPr>
      <w:r>
        <w:t xml:space="preserve">NREIS = 0.25·P1 + 0.20·P2 + 0.20·P3 + 0.15·P4 + 0.10·P5 + 0.10·P6</w:t>
      </w:r>
    </w:p>
    <w:p>
      <w:pPr>
        <w:spacing w:after="160"/>
      </w:pPr>
      <w:r>
        <w:rPr>
          <w:b/>
          <w:bCs/>
        </w:rPr>
        <w:t xml:space="preserve">Weighting rationale</w:t>
      </w:r>
      <w:r>
        <w:t xml:space="preserve">: P1 and P2 together are 45% of the score by design — a great building bought at a bad basis and a mediocre building bought at a great basis both eventually work; a mediocre building bought at a bad basis never does. In-place income quality and growth potential are the two variables with the most evidence behind them (they're in the rent roll and the trailing financials), so they get the most weight. P3 (location/market) is weighted equally with P2 because submarket supply and demand dynamics are the biggest swing factor on whether growth potential is realized. The remaining pillars — physical condition, deal structure, and exit/liquidity risk — are real but more bounded in how much they can move the outcome on their own, so they're weighted lower individually, though at 35% combined they still meaningfully shape whether a good basis in a good submarket actually converts into a good realized return.</w:t>
      </w:r>
    </w:p>
    <w:p>
      <w:pPr>
        <w:pStyle w:val="Heading2"/>
        <w:spacing w:after="120" w:before="240"/>
      </w:pPr>
      <w:r>
        <w:t xml:space="preserve">Score Bands / Tiers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NREIS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Core</w:t>
            </w:r>
          </w:p>
        </w:tc>
        <w:tc>
          <w:p>
            <w:r>
              <w:t xml:space="preserve">Pursue aggressively</w:t>
            </w:r>
          </w:p>
        </w:tc>
      </w:tr>
      <w:tr>
        <w:tc>
          <w:tcPr>
            <w:shd w:fill="F3F4F6" w:val="solid"/>
          </w:tcPr>
          <w:p>
            <w:r>
              <w:t xml:space="preserve">65–79</w:t>
            </w:r>
          </w:p>
        </w:tc>
        <w:tc>
          <w:tcPr>
            <w:shd w:fill="F3F4F6" w:val="solid"/>
          </w:tcPr>
          <w:p>
            <w:r>
              <w:t xml:space="preserve">Core-plus</w:t>
            </w:r>
          </w:p>
        </w:tc>
        <w:tc>
          <w:tcPr>
            <w:shd w:fill="F3F4F6" w:val="solid"/>
          </w:tcPr>
          <w:p>
            <w:r>
              <w:t xml:space="preserve">Attractive</w:t>
            </w:r>
          </w:p>
        </w:tc>
      </w:tr>
      <w:tr>
        <w:tc>
          <w:p>
            <w:r>
              <w:t xml:space="preserve">50–64</w:t>
            </w:r>
          </w:p>
        </w:tc>
        <w:tc>
          <w:p>
            <w:r>
              <w:t xml:space="preserve">Value-add</w:t>
            </w:r>
          </w:p>
        </w:tc>
        <w:tc>
          <w:p>
            <w:r>
              <w:t xml:space="preserve">Proceed with plan</w:t>
            </w:r>
          </w:p>
        </w:tc>
      </w:tr>
      <w:tr>
        <w:tc>
          <w:tcPr>
            <w:shd w:fill="F3F4F6" w:val="solid"/>
          </w:tcPr>
          <w:p>
            <w:r>
              <w:t xml:space="preserve">35–49</w:t>
            </w:r>
          </w:p>
        </w:tc>
        <w:tc>
          <w:tcPr>
            <w:shd w:fill="F3F4F6" w:val="solid"/>
          </w:tcPr>
          <w:p>
            <w:r>
              <w:t xml:space="preserve">Opportunistic/high-risk</w:t>
            </w:r>
          </w:p>
        </w:tc>
        <w:tc>
          <w:tcPr>
            <w:shd w:fill="F3F4F6" w:val="solid"/>
          </w:tcPr>
          <w:p>
            <w:r>
              <w:t xml:space="preserve">Proceed only with strong mitigants</w:t>
            </w:r>
          </w:p>
        </w:tc>
      </w:tr>
      <w:tr>
        <w:tc>
          <w:p>
            <w:r>
              <w:t xml:space="preserve">0–34</w:t>
            </w:r>
          </w:p>
        </w:tc>
        <w:tc>
          <w:p>
            <w:r>
              <w:t xml:space="preserve">Pass</w:t>
            </w:r>
          </w:p>
        </w:tc>
        <w:tc>
          <w:p>
            <w:r>
              <w:t xml:space="preserve">Decline</w:t>
            </w:r>
          </w:p>
        </w:tc>
      </w:tr>
    </w:tbl>
    <w:p>
      <w:pPr>
        <w:spacing w:after="160"/>
      </w:pPr>
      <w:r>
        <w:t xml:space="preserve">These bands assume </w:t>
      </w:r>
      <w:r>
        <w:rPr>
          <w:b/>
          <w:bCs/>
        </w:rPr>
        <w:t xml:space="preserve">high confidence</w:t>
      </w:r>
      <w:r>
        <w:t xml:space="preserve"> inputs (see §6, "Confidence and Data-Quality Framework"). Under low confidence, treat the tier as directional only and widen the band by ±10 points in your head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P1. Income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Going-in cap rate vs. submarket comp median</w:t>
            </w:r>
          </w:p>
        </w:tc>
        <w:tc>
          <w:p>
            <w:r>
              <w:t xml:space="preserve">35%</w:t>
            </w:r>
          </w:p>
        </w:tc>
        <w:tc>
          <w:p>
            <w:r>
              <w:t xml:space="preserve">spreadPct = (dealCapRate − compMedianCapRate) / compMedianCapRate; clamp(70 + spreadPct × 100, 0, 100)</w:t>
            </w:r>
          </w:p>
        </w:tc>
      </w:tr>
      <w:tr>
        <w:tc>
          <w:tcPr>
            <w:shd w:fill="F3F4F6" w:val="solid"/>
          </w:tcPr>
          <w:p>
            <w:r>
              <w:t xml:space="preserve">b. Occupancy rate</w:t>
            </w:r>
          </w:p>
        </w:tc>
        <w:tc>
          <w:tcPr>
            <w:shd w:fill="F3F4F6" w:val="solid"/>
          </w:tcPr>
          <w:p>
            <w:r>
              <w:t xml:space="preserve">40%</w:t>
            </w:r>
          </w:p>
        </w:tc>
        <w:tc>
          <w:tcPr>
            <w:shd w:fill="F3F4F6" w:val="solid"/>
          </w:tcPr>
          <w:p>
            <w:r>
              <w:t xml:space="preserve">lerp anchors: 60%→20, 80%→50, 92%→85, 100%→100</w:t>
            </w:r>
          </w:p>
        </w:tc>
      </w:tr>
      <w:tr>
        <w:tc>
          <w:p>
            <w:r>
              <w:t xml:space="preserve">c. WALE (Weighted Average Lease Expiry, years) blended with tenant credit quality</w:t>
            </w:r>
          </w:p>
        </w:tc>
        <w:tc>
          <w:p>
            <w:r>
              <w:t xml:space="preserve">25%</w:t>
            </w:r>
          </w:p>
        </w:tc>
        <w:tc>
          <w:p>
            <w:r>
              <w:t xml:space="preserve">0.7 × lerp(waleYears, [0→20, 2→45, 5→75, 8→92, 12→100]) + 0.3 × likertToScore(tenantCreditQualityRubric)</w:t>
            </w:r>
          </w:p>
        </w:tc>
      </w:tr>
    </w:tbl>
    <w:p>
      <w:pPr>
        <w:spacing w:after="160"/>
      </w:pPr>
      <w:r>
        <w:t xml:space="preserve">P1 = 0.35a + 0.40b + 0.25c</w:t>
      </w:r>
    </w:p>
    <w:p>
      <w:pPr>
        <w:spacing w:after="160"/>
      </w:pPr>
      <w:r>
        <w:rPr>
          <w:b/>
          <w:bCs/>
        </w:rPr>
        <w:t xml:space="preserve">Why 70, not 100, is the baseline for (a)</w:t>
      </w:r>
      <w:r>
        <w:t xml:space="preserve">: buying at exactly the submarket comp median cap rate is *fair*, not *good* — it earns a passing-but-unremarkable score. Every 10% relative widening above the comp median (i.e. buying cheaper relative to income) earns 10 points; every 10% tightening below the comp median (paying up relative to income) costs 10 points. A wider cap rate than comps means paying less per dollar of NOI — this is intentionally the steepest lever in P1, because going-in basis relative to comps is the single most controllable driver of realized yield.</w:t>
      </w:r>
    </w:p>
    <w:p>
      <w:pPr>
        <w:spacing w:after="160"/>
      </w:pPr>
      <w:r>
        <w:rPr>
          <w:b/>
          <w:bCs/>
        </w:rPr>
        <w:t xml:space="preserve">WALE as a standard underwriting metric</w:t>
      </w:r>
      <w:r>
        <w:t xml:space="preserve">: Weighted Average Lease Expiry is a real, standard commercial real estate underwriting figure — the tenant-weighted average number of years remaining across all leases in the building. Longer WALE with credit-quality tenants means more durable, predictable income and less near-term re-leasing risk, which is why it carries real weight in P1 rather than being treated as a footnote.</w:t>
      </w:r>
    </w:p>
    <w:p>
      <w:pPr>
        <w:pStyle w:val="Heading2"/>
        <w:spacing w:after="120" w:before="240"/>
      </w:pPr>
      <w:r>
        <w:t xml:space="preserve">P2. Growth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NOI growth trend (trailing 2–3yr, avg annual %)</w:t>
            </w:r>
          </w:p>
        </w:tc>
        <w:tc>
          <w:p>
            <w:r>
              <w:t xml:space="preserve">55%</w:t>
            </w:r>
          </w:p>
        </w:tc>
        <w:tc>
          <w:p>
            <w:r>
              <w:t xml:space="preserve">lerp anchors: ≤0%→20, 3%→50, 6%→75, 10%→90, ≥15%→100</w:t>
            </w:r>
          </w:p>
        </w:tc>
      </w:tr>
      <w:tr>
        <w:tc>
          <w:tcPr>
            <w:shd w:fill="F3F4F6" w:val="solid"/>
          </w:tcPr>
          <w:p>
            <w:r>
              <w:t xml:space="preserve">b. Mark-to-market rent upside</w:t>
            </w:r>
          </w:p>
        </w:tc>
        <w:tc>
          <w:tcPr>
            <w:shd w:fill="F3F4F6" w:val="solid"/>
          </w:tcPr>
          <w:p>
            <w:r>
              <w:t xml:space="preserve">45%</w:t>
            </w:r>
          </w:p>
        </w:tc>
        <w:tc>
          <w:tcPr>
            <w:shd w:fill="F3F4F6" w:val="solid"/>
          </w:tcPr>
          <w:p>
            <w:r>
              <w:t xml:space="preserve">gapPct = (marketRentPsf − inPlaceRentPsf) / inPlaceRentPsf × 100; lerp anchors: −10%→30, 0%→50, 10%→70, 25%→90, 40%→97</w:t>
            </w:r>
          </w:p>
        </w:tc>
      </w:tr>
    </w:tbl>
    <w:p>
      <w:pPr>
        <w:spacing w:after="160"/>
      </w:pPr>
      <w:r>
        <w:t xml:space="preserve">P2 = 0.55a + 0.45b</w:t>
      </w:r>
    </w:p>
    <w:p>
      <w:pPr>
        <w:spacing w:after="160"/>
      </w:pPr>
      <w:r>
        <w:rPr>
          <w:b/>
          <w:bCs/>
        </w:rPr>
        <w:t xml:space="preserve">Mark-to-market as a standard value-add lever</w:t>
      </w:r>
      <w:r>
        <w:t xml:space="preserve">: the gap between current in-place rent and current market rent for comparable space is a real, standard value-add underwriting lever — a positive gap means upside as leases roll to market. But the formula deliberately does not let an implausibly large gap buy an unlimited score.</w:t>
      </w:r>
    </w:p>
    <w:p>
      <w:pPr>
        <w:spacing w:after="160"/>
      </w:pPr>
      <w:r>
        <w:rPr>
          <w:b/>
          <w:bCs/>
        </w:rPr>
        <w:t xml:space="preserve">Extreme-gap guard</w:t>
      </w:r>
      <w:r>
        <w:t xml:space="preserve">: if gapPct &gt; 35, cap the *effective* contribution of (b) at 80 regardless of the raw lerp result, and flag "implausible</w:t>
      </w:r>
      <w:r>
        <w:rPr>
          <w:i/>
          <w:iCs/>
        </w:rPr>
        <w:t xml:space="preserve">mark</w:t>
      </w:r>
      <w:r>
        <w:t xml:space="preserve">to</w:t>
      </w:r>
      <w:r>
        <w:rPr>
          <w:i/>
          <w:iCs/>
        </w:rPr>
        <w:t xml:space="preserve">market</w:t>
      </w:r>
      <w:r>
        <w:t xml:space="preserve">gap" in the output. A very large in-place-to-market gap can also mean the current tenants are significantly underpriced and at real risk of pushback, non-renewal, or requiring costly retention concessions — the gap is a risk signal as much as an opportunity signal once it gets extreme, so the model refuses to reward it without qualification.</w:t>
      </w:r>
    </w:p>
    <w:p>
      <w:pPr>
        <w:pStyle w:val="Heading2"/>
        <w:spacing w:after="120" w:before="240"/>
      </w:pPr>
      <w:r>
        <w:t xml:space="preserve">P3. Location &amp; Market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Submarket vacancy rate trend (pts/year)</w:t>
            </w:r>
          </w:p>
        </w:tc>
        <w:tc>
          <w:p>
            <w:r>
              <w:t xml:space="preserve">35%</w:t>
            </w:r>
          </w:p>
        </w:tc>
        <w:tc>
          <w:p>
            <w:r>
              <w:t xml:space="preserve">lerp anchors: −3→95, −1→80, 0→60, 1→40, 3→15</w:t>
            </w:r>
          </w:p>
        </w:tc>
      </w:tr>
      <w:tr>
        <w:tc>
          <w:tcPr>
            <w:shd w:fill="F3F4F6" w:val="solid"/>
          </w:tcPr>
          <w:p>
            <w:r>
              <w:t xml:space="preserve">b. Local population/job growth rate</w:t>
            </w:r>
          </w:p>
        </w:tc>
        <w:tc>
          <w:tcPr>
            <w:shd w:fill="F3F4F6" w:val="solid"/>
          </w:tcPr>
          <w:p>
            <w:r>
              <w:t xml:space="preserve">30%</w:t>
            </w:r>
          </w:p>
        </w:tc>
        <w:tc>
          <w:tcPr>
            <w:shd w:fill="F3F4F6" w:val="solid"/>
          </w:tcPr>
          <w:p>
            <w:r>
              <w:t xml:space="preserve">lerp anchors: −1%→20, 0%→40, 1.5%→65, 3%→85, 5%→100</w:t>
            </w:r>
          </w:p>
        </w:tc>
      </w:tr>
      <w:tr>
        <w:tc>
          <w:p>
            <w:r>
              <w:t xml:space="preserve">c. New-supply pipeline as % of existing submarket stock</w:t>
            </w:r>
          </w:p>
        </w:tc>
        <w:tc>
          <w:p>
            <w:r>
              <w:t xml:space="preserve">35%</w:t>
            </w:r>
          </w:p>
        </w:tc>
        <w:tc>
          <w:p>
            <w:r>
              <w:t xml:space="preserve">lerp anchors: 0%→95, 3%→80, 6%→55, 10%→30, 15%→10</w:t>
            </w:r>
          </w:p>
        </w:tc>
      </w:tr>
    </w:tbl>
    <w:p>
      <w:pPr>
        <w:spacing w:after="160"/>
      </w:pPr>
      <w:r>
        <w:t xml:space="preserve">P3 = 0.35a + 0.30b + 0.35c</w:t>
      </w:r>
    </w:p>
    <w:p>
      <w:pPr>
        <w:spacing w:after="160"/>
      </w:pPr>
      <w:r>
        <w:t xml:space="preserve">Falling submarket vacancy (a negative trend) scores higher — demand is outpacing supply. A large new-supply pipeline relative to existing stock is a real, standard oversupply risk flag in CRE underwriting: it can compress rent growth and stall lease-up regardless of how strong current fundamentals look, so it is weighted equally with vacancy trend rather than treated as secondary.</w:t>
      </w:r>
    </w:p>
    <w:p>
      <w:pPr>
        <w:pStyle w:val="Heading2"/>
        <w:spacing w:after="120" w:before="240"/>
      </w:pPr>
      <w:r>
        <w:t xml:space="preserve">P4. Physical Asset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Building class/age rubric (1–5, see §5)</w:t>
            </w:r>
          </w:p>
        </w:tc>
        <w:tc>
          <w:p>
            <w:r>
              <w:t xml:space="preserve">45%</w:t>
            </w:r>
          </w:p>
        </w:tc>
        <w:tc>
          <w:p>
            <w:r>
              <w:t xml:space="preserve">likertToScore(buildingClassRubric)</w:t>
            </w:r>
          </w:p>
        </w:tc>
      </w:tr>
      <w:tr>
        <w:tc>
          <w:tcPr>
            <w:shd w:fill="F3F4F6" w:val="solid"/>
          </w:tcPr>
          <w:p>
            <w:r>
              <w:t xml:space="preserve">b. Deferred capex needs as % of purchase price</w:t>
            </w:r>
          </w:p>
        </w:tc>
        <w:tc>
          <w:tcPr>
            <w:shd w:fill="F3F4F6" w:val="solid"/>
          </w:tcPr>
          <w:p>
            <w:r>
              <w:t xml:space="preserve">40%</w:t>
            </w:r>
          </w:p>
        </w:tc>
        <w:tc>
          <w:tcPr>
            <w:shd w:fill="F3F4F6" w:val="solid"/>
          </w:tcPr>
          <w:p>
            <w:r>
              <w:t xml:space="preserve">lerp anchors: 0%→100, 2%→85, 5%→60, 10%→30, 20%→5</w:t>
            </w:r>
          </w:p>
        </w:tc>
      </w:tr>
      <w:tr>
        <w:tc>
          <w:p>
            <w:r>
              <w:t xml:space="preserve">c. Energy-efficiency / ESG rating modifier</w:t>
            </w:r>
          </w:p>
        </w:tc>
        <w:tc>
          <w:p>
            <w:r>
              <w:t xml:space="preserve">15%</w:t>
            </w:r>
          </w:p>
        </w:tc>
        <w:tc>
          <w:p>
            <w:r>
              <w:t xml:space="preserve">"certified"→90, "partial"→65, "none"→50</w:t>
            </w:r>
          </w:p>
        </w:tc>
      </w:tr>
    </w:tbl>
    <w:p>
      <w:pPr>
        <w:spacing w:after="160"/>
      </w:pPr>
      <w:r>
        <w:t xml:space="preserve">P4 = 0.45a + 0.40b + 0.15c</w:t>
      </w:r>
    </w:p>
    <w:p>
      <w:pPr>
        <w:spacing w:after="160"/>
      </w:pPr>
      <w:r>
        <w:t xml:space="preserve">Deferred-capex-needs-as-percentage-of-purchase-price is a real, standard CRE diligence metric — it's the direct dollar cost of catching a building up to where its class rating implies it should be. The ESG/energy-efficiency modifier is deliberately weighted lowest in P4: it's a real and growing factor in institutional capital preference and running utility costs, but it's a modifier on top of class and capex condition, not a substitute for them.</w:t>
      </w:r>
    </w:p>
    <w:p>
      <w:pPr>
        <w:pStyle w:val="Heading2"/>
        <w:spacing w:after="120" w:before="240"/>
      </w:pPr>
      <w:r>
        <w:t xml:space="preserve">P5. Deal Structure &amp; Leverage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Loan-to-Value (LTV) ratio</w:t>
            </w:r>
          </w:p>
        </w:tc>
        <w:tc>
          <w:p>
            <w:r>
              <w:t xml:space="preserve">35%</w:t>
            </w:r>
          </w:p>
        </w:tc>
        <w:tc>
          <w:p>
            <w:r>
              <w:t xml:space="preserve">lerp anchors: 45%→100, 55%→85, 65%→65, 70%→50, 80%→25, 90%→5</w:t>
            </w:r>
          </w:p>
        </w:tc>
      </w:tr>
      <w:tr>
        <w:tc>
          <w:tcPr>
            <w:shd w:fill="F3F4F6" w:val="solid"/>
          </w:tcPr>
          <w:p>
            <w:r>
              <w:t xml:space="preserve">b. Debt yield (NOI / loan amount)</w:t>
            </w:r>
          </w:p>
        </w:tc>
        <w:tc>
          <w:tcPr>
            <w:shd w:fill="F3F4F6" w:val="solid"/>
          </w:tcPr>
          <w:p>
            <w:r>
              <w:t xml:space="preserve">35%</w:t>
            </w:r>
          </w:p>
        </w:tc>
        <w:tc>
          <w:tcPr>
            <w:shd w:fill="F3F4F6" w:val="solid"/>
          </w:tcPr>
          <w:p>
            <w:r>
              <w:t xml:space="preserve">debtYieldPct = noiUSD / loanAmountUSD × 100; lerp anchors: 5%→15, 8%→40, 9%→60, 10%→80, 12%→95, 15%→100</w:t>
            </w:r>
          </w:p>
        </w:tc>
      </w:tr>
      <w:tr>
        <w:tc>
          <w:p>
            <w:r>
              <w:t xml:space="preserve">c. Going-in cap rate minus cost of debt (spread, pts)</w:t>
            </w:r>
          </w:p>
        </w:tc>
        <w:tc>
          <w:p>
            <w:r>
              <w:t xml:space="preserve">30%</w:t>
            </w:r>
          </w:p>
        </w:tc>
        <w:tc>
          <w:p>
            <w:r>
              <w:t xml:space="preserve">spreadPts = goingInCapRate − costOfDebtPct; lerp anchors: −2→10, 0→30, 1→55, 2→75, 3→90, 4→100</w:t>
            </w:r>
          </w:p>
        </w:tc>
      </w:tr>
    </w:tbl>
    <w:p>
      <w:pPr>
        <w:spacing w:after="160"/>
      </w:pPr>
      <w:r>
        <w:t xml:space="preserve">P5 = 0.35a + 0.35b + 0.30c</w:t>
      </w:r>
    </w:p>
    <w:p>
      <w:pPr>
        <w:spacing w:after="160"/>
      </w:pPr>
      <w:r>
        <w:t xml:space="preserve">Debt yield is a real, standard CRE lending metric lenders themselves underwrite to — below roughly 8% is considered thin/risky, above roughly 10% is considered comfortable, independent of LTV. A positive, wide spread between going-in cap rate and cost of debt indicates healthy leveraged-return potential; a negative or thin spread means leverage is working against the deal, not for it.</w:t>
      </w:r>
    </w:p>
    <w:p>
      <w:pPr>
        <w:pStyle w:val="Heading2"/>
        <w:spacing w:after="120" w:before="240"/>
      </w:pPr>
      <w:r>
        <w:t xml:space="preserve">P6. Exit / Liquidity Risk</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Asset-class liquidity rubric (1–5, see §5)</w:t>
            </w:r>
          </w:p>
        </w:tc>
        <w:tc>
          <w:p>
            <w:r>
              <w:t xml:space="preserve">55%</w:t>
            </w:r>
          </w:p>
        </w:tc>
        <w:tc>
          <w:p>
            <w:r>
              <w:t xml:space="preserve">likertToScore(assetClassLiquidityRubric)</w:t>
            </w:r>
          </w:p>
        </w:tc>
      </w:tr>
      <w:tr>
        <w:tc>
          <w:tcPr>
            <w:shd w:fill="F3F4F6" w:val="solid"/>
          </w:tcPr>
          <w:p>
            <w:r>
              <w:t xml:space="preserve">b. Projected exit cap-rate expansion risk (bps, exit minus going-in)</w:t>
            </w:r>
          </w:p>
        </w:tc>
        <w:tc>
          <w:tcPr>
            <w:shd w:fill="F3F4F6" w:val="solid"/>
          </w:tcPr>
          <w:p>
            <w:r>
              <w:t xml:space="preserve">45%</w:t>
            </w:r>
          </w:p>
        </w:tc>
        <w:tc>
          <w:tcPr>
            <w:shd w:fill="F3F4F6" w:val="solid"/>
          </w:tcPr>
          <w:p>
            <w:r>
              <w:t xml:space="preserve">lerp anchors: −100→20, −50→40, 0→65, 50→85, 100→95, 150→100</w:t>
            </w:r>
          </w:p>
        </w:tc>
      </w:tr>
    </w:tbl>
    <w:p>
      <w:pPr>
        <w:spacing w:after="160"/>
      </w:pPr>
      <w:r>
        <w:t xml:space="preserve">P6 = 0.55a + 0.45b</w:t>
      </w:r>
    </w:p>
    <w:p>
      <w:pPr>
        <w:spacing w:after="160"/>
      </w:pPr>
      <w:r>
        <w:rPr>
          <w:b/>
          <w:bCs/>
        </w:rPr>
        <w:t xml:space="preserve">Why underwriting conservatism scores better, not optimism</w:t>
      </w:r>
      <w:r>
        <w:t xml:space="preserve">: (b) is deliberately inverted from what might feel intuitive. Underwriting *no* cap-rate movement by exit scores a middling 65; underwriting *cap-rate expansion* (a more conservative, more defensible assumption that exit pricing will be tighter for the buyer than for you) scores progressively higher. Underwriting cap-rate *compression* — betting the market gets more expensive by the time you sell — scores progressively lower, because it is the underwriting assumption most likely to be wrong in a rate downturn and the one an IC reviewer should be most skeptical of. This rewards the analyst who underwrites the exit conservatively over the analyst who underwrites the exit optimistically, even though both are theoretically "just an assumption."</w:t>
      </w:r>
    </w:p>
    <w:p>
      <w:pPr>
        <w:pStyle w:val="Heading1"/>
        <w:spacing w:after="120" w:before="240"/>
      </w:pPr>
      <w:r>
        <w:t xml:space="preserve">5. Qualitative Rubrics / Calibration Anchors</w:t>
      </w:r>
    </w:p>
    <w:p>
      <w:pPr>
        <w:spacing w:after="160"/>
      </w:pPr>
      <w:r>
        <w:t xml:space="preserve">Used for P1c (tenant credit quality), P4a (building class/age), and P6a (asset-class liquidity).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market-standard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 (e.g. a tenant credit quality average of 3.5 → score 70).</w:t>
      </w:r>
    </w:p>
    <w:p>
      <w:pPr>
        <w:pStyle w:val="Heading3"/>
        <w:spacing w:after="120" w:before="240"/>
      </w:pPr>
      <w:r>
        <w:t xml:space="preserve">Tenant Credit Quality (P1c)</w:t>
      </w:r>
    </w:p>
    <w:p>
      <w:pPr>
        <w:spacing w:after="160"/>
      </w:pPr>
      <w:r>
        <w:t xml:space="preserve">Rate the WALE-weighted tenant roster as a whole — 5 = investment-grade/national credit tenants dominate the rent roll; 3 = a mix of regional/local tenants with adequate but unverified financials; 1 = mostly unrated tenants with visible payment or renewal risk.</w:t>
      </w:r>
    </w:p>
    <w:p>
      <w:pPr>
        <w:pStyle w:val="Heading3"/>
        <w:spacing w:after="120" w:before="240"/>
      </w:pPr>
      <w:r>
        <w:t xml:space="preserve">Building Class/Age Rubric (P4a)</w:t>
      </w:r>
    </w:p>
    <w:p>
      <w:pPr>
        <w:spacing w:after="160"/>
      </w:pPr>
      <w:r>
        <w:t xml:space="preserve">5 = Class A, newer construction (built or fully renovated within roughly the last 10–15 years), minimal deferred maintenance; 3 = Class B, functional but showing its age, moderate deferred items; 1 = Class C, older construction with material deferred capex and functional obsolescence relative to the current tenant market.</w:t>
      </w:r>
    </w:p>
    <w:p>
      <w:pPr>
        <w:pStyle w:val="Heading3"/>
        <w:spacing w:after="120" w:before="240"/>
      </w:pPr>
      <w:r>
        <w:t xml:space="preserve">Asset-Class Liquidity Rubric (P6a)</w:t>
      </w:r>
    </w:p>
    <w:p>
      <w:pPr>
        <w:spacing w:after="160"/>
      </w:pPr>
      <w:r>
        <w:t xml:space="preserve">5 = core asset type (multifamily, industrial/logistics) in a gateway or top-tier metro with deep institutional buyer demand; 3 = a solid asset type in a secondary market with an adequate but thinner buyer pool; 1 = a niche, single-tenant, special-purpose asset (e.g. a build-to-suit call center or a specialized manufacturing facility) in a tertiary market with few natural buyers if the current use ends.</w:t>
      </w:r>
    </w:p>
    <w:p>
      <w:pPr>
        <w:pStyle w:val="Heading1"/>
        <w:spacing w:after="120" w:before="240"/>
      </w:pPr>
      <w:r>
        <w:t xml:space="preserve">6. Confidence and Data-Quality Framework</w:t>
      </w:r>
    </w:p>
    <w:p>
      <w:pPr>
        <w:spacing w:after="160"/>
      </w:pPr>
      <w:r>
        <w:t xml:space="preserve">Every pillar has a required input list (see scripts/score.js's REQUIRED_FIELDS). Before computing, count how many required fields across all six pillars are missing or explicitly marked "unknown".</w:t>
      </w:r>
    </w:p>
    <w:p>
      <w:pPr>
        <w:spacing w:after="160"/>
      </w:pPr>
      <w:r>
        <w:t xml:space="preserve">completeness = 1 − (missingCount / totalRequiredFields)</w:t>
      </w:r>
    </w:p>
    <w:p>
      <w:pPr>
        <w:pStyle w:val="ListParagraph"/>
        <w:numPr>
          <w:ilvl w:val="0"/>
          <w:numId w:val="1"/>
        </w:numPr>
        <w:spacing w:after="60"/>
      </w:pPr>
      <w:r>
        <w:t xml:space="preserve">completeness ≥ 0.9 → </w:t>
      </w:r>
      <w:r>
        <w:rPr>
          <w:b/>
          <w:bCs/>
        </w:rPr>
        <w:t xml:space="preserve">High confidence</w:t>
      </w:r>
      <w:r>
        <w:t xml:space="preserve">. Report the tier as-is.</w:t>
      </w:r>
    </w:p>
    <w:p>
      <w:pPr>
        <w:pStyle w:val="ListParagraph"/>
        <w:numPr>
          <w:ilvl w:val="0"/>
          <w:numId w:val="1"/>
        </w:numPr>
        <w:spacing w:after="60"/>
      </w:pPr>
      <w:r>
        <w:t xml:space="preserve">0.7 ≤ completeness &lt; 0.9 → </w:t>
      </w:r>
      <w:r>
        <w:rPr>
          <w:b/>
          <w:bCs/>
        </w:rPr>
        <w:t xml:space="preserve">Medium confidence</w:t>
      </w:r>
      <w:r>
        <w:t xml:space="preserve">. Report the tier with a note listing which pillars used estimates.</w:t>
      </w:r>
    </w:p>
    <w:p>
      <w:pPr>
        <w:pStyle w:val="ListParagraph"/>
        <w:numPr>
          <w:ilvl w:val="0"/>
          <w:numId w:val="1"/>
        </w:numPr>
        <w:spacing w:after="60"/>
      </w:pPr>
      <w:r>
        <w:t xml:space="preserve">completeness &lt; 0.7 → </w:t>
      </w:r>
      <w:r>
        <w:rPr>
          <w:b/>
          <w:bCs/>
        </w:rPr>
        <w:t xml:space="preserve">Low confidence</w:t>
      </w:r>
      <w:r>
        <w:t xml:space="preserve">. Prefix the output "PRELIMINARY — insufficient data for a reliable score" and explicitly recommend which documents/data would resolve the biggest gaps first (usually: a real rent roll and trailing operating statements beat an offering memorandum's pro forma every time — prioritize closing income/leasing gaps over qualitative ones).</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Class A single-tenant industrial/logistics acquisition. Full input is scripts/example-input.json — run node scripts/score.js scripts/example-input.json to reproduce these numbers exactly (they are copied straight from that output).</w:t>
      </w:r>
    </w:p>
    <w:p>
      <w:pPr>
        <w:pStyle w:val="ListParagraph"/>
        <w:numPr>
          <w:ilvl w:val="0"/>
          <w:numId w:val="1"/>
        </w:numPr>
        <w:spacing w:after="60"/>
      </w:pPr>
      <w:r>
        <w:t xml:space="preserve">Going-in cap rate 6.25% vs. submarket median 5.75%, occupancy 96%, WALE 6.5 years with tenant credit quality rubric = 4</w:t>
      </w:r>
    </w:p>
    <w:p>
      <w:pPr>
        <w:pStyle w:val="ListParagraph"/>
        <w:numPr>
          <w:ilvl w:val="0"/>
          <w:numId w:val="1"/>
        </w:numPr>
        <w:spacing w:after="60"/>
      </w:pPr>
      <w:r>
        <w:t xml:space="preserve">NOI growth trend +4.2%/yr, in-place rent $5.10/SF vs. market rent $6.25/SF</w:t>
      </w:r>
    </w:p>
    <w:p>
      <w:pPr>
        <w:pStyle w:val="ListParagraph"/>
        <w:numPr>
          <w:ilvl w:val="0"/>
          <w:numId w:val="1"/>
        </w:numPr>
        <w:spacing w:after="60"/>
      </w:pPr>
      <w:r>
        <w:t xml:space="preserve">Submarket vacancy trend −0.8pt/yr, population/job growth 2.1%, new-supply pipeline 4.5% of existing stock</w:t>
      </w:r>
    </w:p>
    <w:p>
      <w:pPr>
        <w:pStyle w:val="ListParagraph"/>
        <w:numPr>
          <w:ilvl w:val="0"/>
          <w:numId w:val="1"/>
        </w:numPr>
        <w:spacing w:after="60"/>
      </w:pPr>
      <w:r>
        <w:t xml:space="preserve">Building class rubric = 4, deferred capex 1.2% of purchase price, ESG rating "certified"</w:t>
      </w:r>
    </w:p>
    <w:p>
      <w:pPr>
        <w:pStyle w:val="ListParagraph"/>
        <w:numPr>
          <w:ilvl w:val="0"/>
          <w:numId w:val="1"/>
        </w:numPr>
        <w:spacing w:after="60"/>
      </w:pPr>
      <w:r>
        <w:t xml:space="preserve">LTV 62%, NOI $3,750,000 on a $40,000,000 loan, going-in cap rate 6.25% vs. cost of debt 5.1%</w:t>
      </w:r>
    </w:p>
    <w:p>
      <w:pPr>
        <w:pStyle w:val="ListParagraph"/>
        <w:numPr>
          <w:ilvl w:val="0"/>
          <w:numId w:val="1"/>
        </w:numPr>
        <w:spacing w:after="60"/>
      </w:pPr>
      <w:r>
        <w:t xml:space="preserve">Asset-class liquidity rubric = 4, underwritten exit cap-rate expansion +25bps</w:t>
      </w:r>
    </w:p>
    <w:p>
      <w:pPr>
        <w:spacing w:after="160"/>
      </w:pPr>
      <w:r>
        <w:t xml:space="preserve">P1: a = 70 + (6.25-5.75)/5.75×100 = 70 + 8.696 = 78.7</w:t>
      </w:r>
    </w:p>
    <w:p>
      <w:pPr>
        <w:spacing w:after="160"/>
      </w:pPr>
      <w:r>
        <w:t xml:space="preserve">    b = lerp(96, [92→85, 100→100]) = 85 + (96-92)/8×15 = 92.5</w:t>
      </w:r>
    </w:p>
    <w:p>
      <w:pPr>
        <w:spacing w:after="160"/>
      </w:pPr>
      <w:r>
        <w:t xml:space="preserve">    waleLerp = lerp(6.5, [5→75, 8→92]) = 75 + (6.5-5)/3×17 = 83.5</w:t>
      </w:r>
    </w:p>
    <w:p>
      <w:pPr>
        <w:spacing w:after="160"/>
      </w:pPr>
      <w:r>
        <w:t xml:space="preserve">    c = 0.7(83.5) + 0.3(likert(4)=80) = 58.45 + 24.0 = 82.45</w:t>
      </w:r>
    </w:p>
    <w:p>
      <w:pPr>
        <w:spacing w:after="160"/>
      </w:pPr>
      <w:r>
        <w:t xml:space="preserve">P1 = 0.35(78.7) + 0.40(92.5) + 0.25(82.45) = 27.5 + 37.0 + 20.6 = 85.2</w:t>
      </w:r>
    </w:p>
    <w:p>
      <w:pPr>
        <w:spacing w:after="160"/>
      </w:pPr>
      <w:r>
        <w:t xml:space="preserve">P2: a = lerp(4.2, [3→50, 6→75]) = 50 + (4.2-3)/3×25 = 60.0</w:t>
      </w:r>
    </w:p>
    <w:p>
      <w:pPr>
        <w:spacing w:after="160"/>
      </w:pPr>
      <w:r>
        <w:t xml:space="preserve">    gapPct = (6.25-5.10)/5.10×100 = 22.55%</w:t>
      </w:r>
    </w:p>
    <w:p>
      <w:pPr>
        <w:spacing w:after="160"/>
      </w:pPr>
      <w:r>
        <w:t xml:space="preserve">    b = lerp(22.55, [10→70, 25→90]) = 70 + (22.55-10)/15×20 = 86.7 (no cap; gap ≤ 35)</w:t>
      </w:r>
    </w:p>
    <w:p>
      <w:pPr>
        <w:spacing w:after="160"/>
      </w:pPr>
      <w:r>
        <w:t xml:space="preserve">P2 = 0.55(60.0) + 0.45(86.7) = 33.0 + 39.0 = 72.0</w:t>
      </w:r>
    </w:p>
    <w:p>
      <w:pPr>
        <w:spacing w:after="160"/>
      </w:pPr>
      <w:r>
        <w:t xml:space="preserve">P3: a = lerp(-0.8, [-1→80, 0→60]) = 80 + (-0.8-(-1))/1×(-20) = 76.0</w:t>
      </w:r>
    </w:p>
    <w:p>
      <w:pPr>
        <w:spacing w:after="160"/>
      </w:pPr>
      <w:r>
        <w:t xml:space="preserve">    b = lerp(2.1, [1.5→65, 3→85]) = 65 + (2.1-1.5)/1.5×20 = 73.0</w:t>
      </w:r>
    </w:p>
    <w:p>
      <w:pPr>
        <w:spacing w:after="160"/>
      </w:pPr>
      <w:r>
        <w:t xml:space="preserve">    c = lerp(4.5, [3→80, 6→55]) = 80 + (4.5-3)/3×(-25) = 67.5</w:t>
      </w:r>
    </w:p>
    <w:p>
      <w:pPr>
        <w:spacing w:after="160"/>
      </w:pPr>
      <w:r>
        <w:t xml:space="preserve">P3 = 0.35(76.0) + 0.30(73.0) + 0.35(67.5) = 26.6 + 21.9 + 23.6 = 72.1</w:t>
      </w:r>
    </w:p>
    <w:p>
      <w:pPr>
        <w:spacing w:after="160"/>
      </w:pPr>
      <w:r>
        <w:t xml:space="preserve">P4: a = likert(4) = 80</w:t>
      </w:r>
    </w:p>
    <w:p>
      <w:pPr>
        <w:spacing w:after="160"/>
      </w:pPr>
      <w:r>
        <w:t xml:space="preserve">    b = lerp(1.2, [0→100, 2→85]) = 100 + (1.2/2)×(-15) = 91.0</w:t>
      </w:r>
    </w:p>
    <w:p>
      <w:pPr>
        <w:spacing w:after="160"/>
      </w:pPr>
      <w:r>
        <w:t xml:space="preserve">    c = "certified" = 90</w:t>
      </w:r>
    </w:p>
    <w:p>
      <w:pPr>
        <w:spacing w:after="160"/>
      </w:pPr>
      <w:r>
        <w:t xml:space="preserve">P4 = 0.45(80) + 0.40(91.0) + 0.15(90) = 36.0 + 36.4 + 13.5 = 85.9</w:t>
      </w:r>
    </w:p>
    <w:p>
      <w:pPr>
        <w:spacing w:after="160"/>
      </w:pPr>
      <w:r>
        <w:t xml:space="preserve">P5: a = lerp(62, [55→85, 65→65]) = 85 + (62-55)/10×(-20) = 71.0</w:t>
      </w:r>
    </w:p>
    <w:p>
      <w:pPr>
        <w:spacing w:after="160"/>
      </w:pPr>
      <w:r>
        <w:t xml:space="preserve">    debtYieldPct = 3,750,000/40,000,000×100 = 9.375%</w:t>
      </w:r>
    </w:p>
    <w:p>
      <w:pPr>
        <w:spacing w:after="160"/>
      </w:pPr>
      <w:r>
        <w:t xml:space="preserve">    b = lerp(9.375, [9→60, 10→80]) = 60 + 0.375×20 = 67.5</w:t>
      </w:r>
    </w:p>
    <w:p>
      <w:pPr>
        <w:spacing w:after="160"/>
      </w:pPr>
      <w:r>
        <w:t xml:space="preserve">    spreadPts = 6.25 - 5.1 = 1.15</w:t>
      </w:r>
    </w:p>
    <w:p>
      <w:pPr>
        <w:spacing w:after="160"/>
      </w:pPr>
      <w:r>
        <w:t xml:space="preserve">    c = lerp(1.15, [1→55, 2→75]) = 55 + 0.15×20 = 58.0</w:t>
      </w:r>
    </w:p>
    <w:p>
      <w:pPr>
        <w:spacing w:after="160"/>
      </w:pPr>
      <w:r>
        <w:t xml:space="preserve">P5 = 0.35(71.0) + 0.35(67.5) + 0.30(58.0) = 24.85 + 23.6 + 17.4 = 65.9</w:t>
      </w:r>
    </w:p>
    <w:p>
      <w:pPr>
        <w:spacing w:after="160"/>
      </w:pPr>
      <w:r>
        <w:t xml:space="preserve">P6: a = likert(4) = 80</w:t>
      </w:r>
    </w:p>
    <w:p>
      <w:pPr>
        <w:spacing w:after="160"/>
      </w:pPr>
      <w:r>
        <w:t xml:space="preserve">    b = lerp(25, [0→65, 50→85]) = 65 + (25/50)×20 = 75.0</w:t>
      </w:r>
    </w:p>
    <w:p>
      <w:pPr>
        <w:spacing w:after="160"/>
      </w:pPr>
      <w:r>
        <w:t xml:space="preserve">P6 = 0.55(80) + 0.45(75.0) = 44.0 + 33.75 = 77.8</w:t>
      </w:r>
    </w:p>
    <w:p>
      <w:pPr>
        <w:spacing w:after="160"/>
      </w:pPr>
      <w:r>
        <w:t xml:space="preserve">NREIS = 0.25(85.2) + 0.20(72.0) + 0.20(72.1) + 0.15(85.9) + 0.10(65.9) + 0.10(77.8)</w:t>
      </w:r>
    </w:p>
    <w:p>
      <w:pPr>
        <w:spacing w:after="160"/>
      </w:pPr>
      <w:r>
        <w:t xml:space="preserve">     = 21.3 + 14.4 + 14.4 + 12.9 + 6.6 + 7.8 = 77.4</w:t>
      </w:r>
    </w:p>
    <w:p>
      <w:pPr>
        <w:spacing w:after="160"/>
      </w:pPr>
      <w:r>
        <w:rPr>
          <w:b/>
          <w:bCs/>
        </w:rPr>
        <w:t xml:space="preserve">Result: NREIS 77.4 — Core-plus tier.</w:t>
      </w:r>
      <w:r>
        <w:t xml:space="preserve"> Attractive; proceed toward deep diligence. The two pillars doing the most work here are P4 (physical asset quality, 85.9 — a well-maintained Class A box with light deferred capex and an efficiency certification) and P1 (income quality, 85.2 — a wide cap-rate spread to comps with strong occupancy and a long, credit-tenant WALE). The pillar with the most room to improve is P5 (deal structure &amp; leverage, 65.9) — the 62% LTV and 9.4% debt yield are adequate but unremarkable; tightening leverage toward 55% LTV would meaningfully lift P5a and the spread sub-score, and would be worth re-running through score.js before going to committee.</w:t>
      </w:r>
    </w:p>
    <w:p>
      <w:pPr>
        <w:pStyle w:val="Heading1"/>
        <w:spacing w:after="120" w:before="240"/>
      </w:pPr>
      <w:r>
        <w:t xml:space="preserve">8. Comparative Positioning</w:t>
      </w:r>
    </w:p>
    <w:p>
      <w:pPr>
        <w:spacing w:after="160"/>
      </w:pPr>
      <w:r>
        <w:t xml:space="preserve">NREIS does not compete with or replace the standard toolkit of commercial real estate underwriting — cap-rate analysis, NOI-based valuation, discounted cash flow, and the general discipline of judging a deal on income quality, location, physical condition, and leverage. It is built explicitly on top of that toolkit. Every individual sub-metric in the specification — going-in cap rate versus a comp set, occupancy, WALE, mark-to-market rent gap, submarket vacancy trend, new-supply pipeline, deferred capex as a percentage of price, LTV, debt yield, and the spread between going-in cap rate and cost of debt — is a named, standard figure that any experienced CRE analyst, appraiser, or lender already uses in some form. NREIS's contribution is not a new metric; it is a specific, fixed, published way of combining an established set of metrics into one repeatable number.</w:t>
      </w:r>
    </w:p>
    <w:p>
      <w:pPr>
        <w:spacing w:after="160"/>
      </w:pPr>
      <w:r>
        <w:t xml:space="preserve">The six-pillar structure itself tracks the universal shape of CRE underwriting judgment rather than inventing a new one: income quality and growth potential correspond to the basis and upside questions at the heart of any acquisition case; location/market dynamics corresponds to the submarket supply-and-demand read that determines whether growth potential is realized or absorbed by competing new supply; physical asset quality corresponds to the property-condition and capex diligence that any lender or buyer would separately commission; deal structure and leverage corresponds to standard debt underwriting (LTV, debt yield, cap-rate-to-cost-of-debt spread); and exit/liquidity risk corresponds to the disposition-side thinking that separates a well-underwritten hold period from a purely acquisitive one. What NREIS adds is fixed relative weights across these dimensions, piecewise-linear scoring curves with named anchor points instead of ad hoc judgment calls, and a small number of deliberate, documented design choices — such as rewarding conservative exit cap-rate assumptions over optimistic ones, and capping the reward for an implausibly large mark-to-market rent gap — that encode specific underwriting philosophy rather than leaving it to be re-derived, inconsistently, by whichever analyst happens to be scoring the deal that week.</w:t>
      </w:r>
    </w:p>
    <w:p>
      <w:pPr>
        <w:spacing w:after="160"/>
      </w:pPr>
      <w:r>
        <w:t xml:space="preserve">NREIS also sits within a broader, decades-long tradition of named, checkable analyst scoring models — the kind of methodology that earns a name specifically because the name becomes shorthand for a fixed, auditable calculation rather than a vibe. The Altman Z-Score (bankruptcy prediction from financial ratios) and the Piotroski F-Score (a nine-point fundamental-strength checklist for equity screening) are the most widely cited examples of this pattern in finance: each is a small number of weighted, named inputs, combined by a fixed and published formula, such that quoting the score means the same thing to any two people who both know the methodology. NREIS is built in that same tradition, applied to a different asset class and a different set of underwriting inputs — the design goal is that "NREIS 77" should mean the same specific thing regardless of who computed it or who is being told the number, which is a property purely qualitative underwriting narratives do not have.</w:t>
      </w:r>
    </w:p>
    <w:p>
      <w:pPr>
        <w:spacing w:after="160"/>
      </w:pPr>
      <w:r>
        <w:t xml:space="preserve">This section is deliberately kept qualitative. It does not cite specific cap-rate benchmarks, market-size figures, or third-party studies of scoring-model efficacy, because none of those can be verified against the source specification this whitepaper is drawn from — asserting them here would misrepresent what is actually documented. The comparison offered above is about methodological positioning (how NREIS relates to standard underwriting practice and to the tradition of named scoring models), not about any claimed empirical outperformance.</w:t>
      </w:r>
    </w:p>
    <w:p>
      <w:r>
        <w:br w:type="page"/>
      </w:r>
    </w:p>
    <w:p>
      <w:pPr>
        <w:pStyle w:val="Heading1"/>
        <w:spacing w:after="120" w:before="240"/>
      </w:pPr>
      <w:r>
        <w:t xml:space="preserve">9. Intellectual Property and Defensibility Posture</w:t>
      </w:r>
    </w:p>
    <w:p>
      <w:pPr>
        <w:spacing w:after="160"/>
      </w:pPr>
      <w:r>
        <w:t xml:space="preserve">NREIS is documented here as a </w:t>
      </w:r>
      <w:r>
        <w:rPr>
          <w:b/>
          <w:bCs/>
        </w:rPr>
        <w:t xml:space="preserve">proprietary, trade-secret methodology</w:t>
      </w:r>
      <w:r>
        <w:t xml:space="preserve"> — named, versioned, and specified precisely enough to be defensible as original work product. The following is a plain, non-legal-advice description of what that posture does and does not mean, adapted from the intellectual property framing that governs the full skills library this algorithm belongs to.</w:t>
      </w:r>
    </w:p>
    <w:p>
      <w:pPr>
        <w:spacing w:after="160"/>
      </w:pPr>
      <w:r>
        <w:rPr>
          <w:b/>
          <w:bCs/>
        </w:rPr>
        <w:t xml:space="preserve">Trade secret protection applies now</w:t>
      </w:r>
      <w:r>
        <w:t xml:space="preserve">, automatically, simply by virtue of the methodology being original, non-public, and treated as confidential. That is the primary protection this document, and the underlying specification, are written to support. The specification (`reference/algorithm.md`) and its reference implementation (`scripts/score.js`) are the evidentiary backbone of that protection: they establish, with a date and a version number, exactly what the methodology consists of and when it existed in that form.</w:t>
      </w:r>
    </w:p>
    <w:p>
      <w:pPr>
        <w:spacing w:after="160"/>
      </w:pPr>
      <w:r>
        <w:rPr>
          <w:b/>
          <w:bCs/>
        </w:rPr>
        <w:t xml:space="preserve">Patent eligibility is a separate, and harder, question.</w:t>
      </w:r>
      <w:r>
        <w:t xml:space="preserve">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itself runs, not merely "a new way to weight financial ratios." NREIS, as specified, is a pure scoring model: six weighted pillars, piecewise-linear interpolation curves, and Likert-based qualitative rubrics, applied to real estate underwriting inputs. That places it, honestly, closer to the trade-secret end of the spectrum than the patent-candidate end — it is a specified methodology worth protecting as confidential know-how, not a strong candidate for utility-patent claims as currently written. This is a materially weaker patent position than a methodology that also includes a concrete computational technique with a measurable technical output (for instance, a route-optimization heuristic that assigns physical routes and produces a measurable distance or cost saving) — no such technical-process element exists in NREIS's specification, which is confined to scoring an already-assembled set of financial and qualitative inputs.</w:t>
      </w:r>
    </w:p>
    <w:p>
      <w:pPr>
        <w:spacing w:after="160"/>
      </w:pPr>
      <w:r>
        <w:rPr>
          <w:b/>
          <w:bCs/>
        </w:rPr>
        <w:t xml:space="preserve">Specificity, versioning, and reproducibility are the defensibility factors that actually matter here</w:t>
      </w:r>
      <w:r>
        <w:t xml:space="preserve">, whether the protection sought is trade secret or (eventually, with counsel) patent. The specification names every weight, every anchor point, and every formula; the worked example in §7 of this document reproduces exact numbers that any reader can independently recompute by hand or by running the reference script; and §11 (Versioning and Change Control) establishes that any change to a weight, formula, or anchor value is a version bump with a changelog entry, not a silent tweak. That combination — a fully specified, reproducible, versioned methodology, distinct from a vague description of "a real estate scoring approach" — is precisely what separates a defensible trade secret from an unprotectable idea. A methodology that cannot be independently reproduced from its own documentation is not a strong trade secret asset; NREIS is written specifically so that it can be.</w:t>
      </w:r>
    </w:p>
    <w:p>
      <w:pPr>
        <w:spacing w:after="160"/>
      </w:pPr>
      <w:r>
        <w:rPr>
          <w:b/>
          <w:bCs/>
        </w:rPr>
        <w:t xml:space="preserve">"Patentable" or "patent-eligible" language anywhere in this document or the underlying specification means only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 Nothing in this document should be read as legal advice, as a representation that any claim would survive an *Alice*/*Mayo* challenge, or as a substitute for engaging a qualified patent attorney before relying on patent protection — or before making any licensing, sale, or valuation decision premised on the strength of either trade-secret or patent protection — for this methodology commercially.</w:t>
      </w:r>
    </w:p>
    <w:p>
      <w:pPr>
        <w:pStyle w:val="Heading1"/>
        <w:spacing w:after="120" w:before="240"/>
      </w:pPr>
      <w:r>
        <w:t xml:space="preserve">10. Known Limitations</w:t>
      </w:r>
    </w:p>
    <w:p>
      <w:pPr>
        <w:spacing w:after="160"/>
      </w:pPr>
      <w:r>
        <w:t xml:space="preserve">The specification documents the following limitations without softening them, because an honest accounting of where a scoring methodology can be wrong is itself part of what makes it a credible, checkable asset rather than a marketing claim.</w:t>
      </w:r>
    </w:p>
    <w:p>
      <w:pPr>
        <w:pStyle w:val="ListParagraph"/>
        <w:numPr>
          <w:ilvl w:val="0"/>
          <w:numId w:val="1"/>
        </w:numPr>
        <w:spacing w:after="60"/>
      </w:pPr>
      <w:r>
        <w:rPr>
          <w:b/>
          <w:bCs/>
        </w:rPr>
        <w:t xml:space="preserve">Cap rates and comps are only as good as the comp set's recency and relevance.</w:t>
      </w:r>
      <w:r>
        <w:t xml:space="preserve"> "Submarket median cap rate" is only as reliable as the comps behind it — a stale comp set (trades more than 6–12 months old) or one that mixes asset subtypes will silently bias P1a and, indirectly, the perceived quality of the whole deal. Always record the comp set's source, size, and as-of date alongside the score.</w:t>
      </w:r>
    </w:p>
    <w:p>
      <w:pPr>
        <w:pStyle w:val="ListParagraph"/>
        <w:numPr>
          <w:ilvl w:val="0"/>
          <w:numId w:val="1"/>
        </w:numPr>
        <w:spacing w:after="60"/>
      </w:pPr>
      <w:r>
        <w:rPr>
          <w:b/>
          <w:bCs/>
        </w:rPr>
        <w:t xml:space="preserve">The model does not independently verify physical condition or environmental issues.</w:t>
      </w:r>
      <w:r>
        <w:t xml:space="preserve"> P4 scores what a property condition report (PCR) and Phase I environmental assessment actually disclose — it cannot catch what those reports missed or what wasn't commissioned. A clean P4 score on an unordered PCR is not the same thing as a clean building.</w:t>
      </w:r>
    </w:p>
    <w:p>
      <w:pPr>
        <w:pStyle w:val="ListParagraph"/>
        <w:numPr>
          <w:ilvl w:val="0"/>
          <w:numId w:val="1"/>
        </w:numPr>
        <w:spacing w:after="60"/>
      </w:pPr>
      <w:r>
        <w:rPr>
          <w:b/>
          <w:bCs/>
        </w:rPr>
        <w:t xml:space="preserve">Submarket supply-pipeline data can lag real construction starts.</w:t>
      </w:r>
      <w:r>
        <w:t xml:space="preserve"> Published pipeline figures (permits, announced projects) can run months behind what's actually breaking ground, especially in fast-moving industrial and multifamily submarkets — treat P3c as directional and cross-check against a recent local brokerage supply report before leaning on it heavily.</w:t>
      </w:r>
    </w:p>
    <w:p>
      <w:pPr>
        <w:pStyle w:val="ListParagraph"/>
        <w:numPr>
          <w:ilvl w:val="0"/>
          <w:numId w:val="1"/>
        </w:numPr>
        <w:spacing w:after="60"/>
      </w:pPr>
      <w:r>
        <w:rPr>
          <w:b/>
          <w:bCs/>
        </w:rPr>
        <w:t xml:space="preserve">Interest-rate regime shifts can move going-in vs. exit cap-rate spreads faster than the model's inputs get refreshed.</w:t>
      </w:r>
      <w:r>
        <w:t xml:space="preserve"> P5c and P6b are only as good as the cost-of-debt and exit cap-rate assumptions typed into the input — in a fast-moving rate environment, a spread that looked healthy when the model was last run can be stale within weeks. Re-run the score against current rate quotes before an IC decision, not just at initial screening.</w:t>
      </w:r>
    </w:p>
    <w:p>
      <w:pPr>
        <w:pStyle w:val="ListParagraph"/>
        <w:numPr>
          <w:ilvl w:val="0"/>
          <w:numId w:val="1"/>
        </w:numPr>
        <w:spacing w:after="60"/>
      </w:pPr>
      <w:r>
        <w:rPr>
          <w:b/>
          <w:bCs/>
        </w:rPr>
        <w:t xml:space="preserve">Qualitative rubrics are analyst-dependent.</w:t>
      </w:r>
      <w:r>
        <w:t xml:space="preserve"> Two analysts can legitimately land one Likert point apart on tenant credit quality, building class, or asset-class liquidity. Mitigate by having a second reviewer score P1c/P4a/P6a independently on contested deals and averaging.</w:t>
      </w:r>
    </w:p>
    <w:p>
      <w:pPr>
        <w:pStyle w:val="ListParagraph"/>
        <w:numPr>
          <w:ilvl w:val="0"/>
          <w:numId w:val="1"/>
        </w:numPr>
        <w:spacing w:after="60"/>
      </w:pPr>
      <w:r>
        <w:rPr>
          <w:b/>
          <w:bCs/>
        </w:rPr>
        <w:t xml:space="preserve">Not asset-type-agnostic in practice.</w:t>
      </w:r>
      <w:r>
        <w:t xml:space="preserve"> The anchor values (WALE bands, occupancy stabilization thresholds) are tuned for a multi-tenant commercial lens (office, industrial, retail). A multifamily deal with typically short, 1-year lease terms will misscore on P1c almost by definition — for multifamily, treat the WALE sub-metric as largely uninformative and weight occupancy and rent-growth trend more heavily in the qualitative read-through.</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"NREIS 77" means the same thing every time it's quoted. Silent tuning defeats that. This discipline is also directly relevant to the IP posture described in §9: a trade secret that is silently and undocumented-ly re-tuned over time is materially harder to point to as a specific, stable asset at any given valuation date than one with a maintained version history.</w:t>
      </w:r>
    </w:p>
    <w:p>
      <w:pPr>
        <w:pStyle w:val="Heading1"/>
        <w:spacing w:after="120" w:before="240"/>
      </w:pPr>
      <w:r>
        <w:t xml:space="preserve">12. Reference Implementation</w:t>
      </w:r>
    </w:p>
    <w:p>
      <w:pPr>
        <w:spacing w:after="160"/>
      </w:pPr>
      <w:r>
        <w:t xml:space="preserve">The specification is not merely descriptive prose — `scripts/score.js` is a literal, runnable implementation of every formula in this document, and the authoritative specification states plainly that if the script and the document ever disagree, the document is correct and the script has a bug, not the reverse. Running the reference implementation against the example input reproduces the exact figures transcribed in §7 of this whitepaper, to the decimal. That reproducibility is itself valuation-relevant evidence: a methodology that can be independently re-run by a counterparty, a licensee, or a diligence reviewer — and that consistently produces the documented numbers — is a materially stronger and more defensible asset than a description of an approach that exists only as narrative judgment. It is the difference between an asset that can be inspected and an asset that can only be taken on faith.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2026-08-10T15:58:29.914Z</dcterms:created>
  <dcterms:modified xsi:type="dcterms:W3CDTF">2026-08-10T15:58:29.916Z</dcterms:modified>
</cp:coreProperties>
</file>

<file path=docProps/custom.xml><?xml version="1.0" encoding="utf-8"?>
<Properties xmlns="http://schemas.openxmlformats.org/officeDocument/2006/custom-properties" xmlns:vt="http://schemas.openxmlformats.org/officeDocument/2006/docPropsVTypes"/>
</file>