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Startup Traction Score (NSTS)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Executive Summary</w:t>
      </w:r>
    </w:p>
    <w:p>
      <w:pPr>
        <w:spacing w:after="160"/>
      </w:pPr>
      <w:r>
        <w:t xml:space="preserve">The </w:t>
      </w:r>
      <w:r>
        <w:rPr>
          <w:b/>
          <w:bCs/>
        </w:rPr>
        <w:t xml:space="preserve">Nishant Startup Traction Score (NSTS)</w:t>
      </w:r>
      <w:r>
        <w:t xml:space="preserve"> is a proprietary, six-pillar weighted scoring algorithm developed by Nishant Prabhakar for triaging early-stage venture capital opportunities — pre-seed through Series B — where the investment case rests primarily on the founding team and the market opportunity rather than an established financial track record. It converts pitch-deck claims, data-room extracts, and early operating metrics into a single 0–100 composite score, a tier classification, and an explicit confidence rating, using a fixed, published, versioned set of formulas rather than ad hoc analyst judgment applied inconsistently deal to deal.</w:t>
      </w:r>
    </w:p>
    <w:p>
      <w:pPr>
        <w:spacing w:after="160"/>
      </w:pPr>
      <w:r>
        <w:t xml:space="preserve">It exists to solve a specific, recurring problem at the top of a venture funnel: a partner or associate reviewing a large volume of inbound opportunities needs a fast, comparable, and defensible way to decide where diligence time goes next — without either reducing every company to an unstructured gut read that varies from analyst to analyst, or forcing an early-stage company through a financial-trajectory analysis that presumes multi-year revenue history it does not yet have.</w:t>
      </w:r>
    </w:p>
    <w:p>
      <w:pPr>
        <w:spacing w:after="160"/>
      </w:pPr>
      <w:r>
        <w:t xml:space="preserve">The methodology's core novelty is structural rather than merely numerical. Rather than adapting a later-stage financial scoring model to earlier companies by simply omitting or estimating the missing financial fields, NSTS was deliberately engineered as an independent sibling model to the author's later-stage </w:t>
      </w:r>
      <w:r>
        <w:rPr>
          <w:b/>
          <w:bCs/>
        </w:rPr>
        <w:t xml:space="preserve">Nishant Deal Quality Index (NDQI)</w:t>
      </w:r>
      <w:r>
        <w:t xml:space="preserve"> — with pillar weights, growth-rate anchors, and confidence treatment re-derived from first principles for pre-revenue economics, including a formal, auditable treatment of missing data (the completeness/confidence framework at §6) that treats a genuinely early company's thin documented history as an expected condition of the asset class, not a scoring defect to paper over. This document presents the full specification — every weight, formula, anchor, and rubric — together with the worked numeric example and known limitations, as supporting material for a valuation, licensing, or IP-diligence review of the methodology as an asset in its own right.</w:t>
      </w:r>
    </w:p>
    <w:p>
      <w:pPr>
        <w:pStyle w:val="Heading1"/>
        <w:spacing w:after="120" w:before="240"/>
      </w:pPr>
      <w:r>
        <w:t xml:space="preserve">Purpose and Positioning</w:t>
      </w:r>
    </w:p>
    <w:p>
      <w:pPr>
        <w:spacing w:after="160"/>
      </w:pPr>
      <w:r>
        <w:t xml:space="preserve">NSTS is named in the tradition of other analyst-attributed scoring models — the Altman Z-Score, the Piotroski F-Score. The point of putting a name on a model is that the name becomes shorthand for a specific, checkable methodology, not a vibe. It is also formalizing something venture investors already do informally: every partner meeting eventually asks "how's the team, how big is the market, is there real traction" — NSTS forces those judgments into named, weighted, auditable sub-scores instead of a gut-feel average. "NSTS 71" should mean the same thing regardless of who is asking or who is answering.</w:t>
      </w:r>
    </w:p>
    <w:p>
      <w:pPr>
        <w:pStyle w:val="Heading2"/>
        <w:spacing w:after="120" w:before="240"/>
      </w:pPr>
      <w:r>
        <w:t xml:space="preserve">1. Purpose and Positioning</w:t>
      </w:r>
    </w:p>
    <w:p>
      <w:pPr>
        <w:spacing w:after="160"/>
      </w:pPr>
      <w:r>
        <w:t xml:space="preserve">The NSTS is a </w:t>
      </w:r>
      <w:r>
        <w:rPr>
          <w:b/>
          <w:bCs/>
        </w:rPr>
        <w:t xml:space="preserve">deal-flow triage tool</w:t>
      </w:r>
      <w:r>
        <w:t xml:space="preserve">, not a substitute for diligence and absolutely not a valuation model. It exists to do one job well: take a firm that sees hundreds of inbound pitches and get to a fast, consistent, comparable pass/fail-ish read on each one, so partner time goes to the opportunities that clear a bar — not to every deck that lands in the inbox.</w:t>
      </w:r>
    </w:p>
    <w:p>
      <w:pPr>
        <w:spacing w:after="160"/>
      </w:pPr>
      <w:r>
        <w:t xml:space="preserve">It exists to do three things quickly and consistently across a funnel:</w:t>
      </w:r>
    </w:p>
    <w:p>
      <w:pPr>
        <w:pStyle w:val="ListParagraph"/>
        <w:numPr>
          <w:ilvl w:val="0"/>
          <w:numId w:val="2"/>
        </w:numPr>
        <w:spacing w:after="60"/>
      </w:pPr>
      <w:r>
        <w:t xml:space="preserve">Convert a pitch deck, a data-room, and a set of scrappy early metrics into one comparable number, usable across a pipeline of wildly different-looking companies (a bio-adjacent SaaS tool and a fintech marketplace should still land on the same 0–100 scale via the same six questions).</w:t>
      </w:r>
    </w:p>
    <w:p>
      <w:pPr>
        <w:pStyle w:val="ListParagraph"/>
        <w:numPr>
          <w:ilvl w:val="0"/>
          <w:numId w:val="2"/>
        </w:numPr>
        <w:spacing w:after="60"/>
      </w:pPr>
      <w:r>
        <w:t xml:space="preserve">Force the same six questions to get asked of every company, in the same way, so two analysts screening the same pitch land on the same number (±5 points) — and so "I don't love the team" becomes "domain expertise rubric = 2, no prior startup experience, and the technical co-founder gap is unaddressed" instead of a vibe.</w:t>
      </w:r>
    </w:p>
    <w:p>
      <w:pPr>
        <w:pStyle w:val="ListParagraph"/>
        <w:numPr>
          <w:ilvl w:val="0"/>
          <w:numId w:val="2"/>
        </w:numPr>
        <w:spacing w:after="60"/>
      </w:pPr>
      <w:r>
        <w:t xml:space="preserve">Surface *which specific pillar* is weak, so the next conversation with the founder (if there is one) is targeted — "come back with 3 more months of retention data" instead of a form-letter pass.</w:t>
      </w:r>
    </w:p>
    <w:p>
      <w:pPr>
        <w:spacing w:after="160"/>
      </w:pPr>
      <w:r>
        <w:rPr>
          <w:b/>
          <w:bCs/>
        </w:rPr>
        <w:t xml:space="preserve">What the NSTS is explicitly not:</w:t>
      </w:r>
    </w:p>
    <w:p>
      <w:pPr>
        <w:pStyle w:val="ListParagraph"/>
        <w:numPr>
          <w:ilvl w:val="0"/>
          <w:numId w:val="1"/>
        </w:numPr>
        <w:spacing w:after="60"/>
      </w:pPr>
      <w:r>
        <w:rPr>
          <w:b/>
          <w:bCs/>
        </w:rPr>
        <w:t xml:space="preserve">Not a valuation model.</w:t>
      </w:r>
      <w:r>
        <w:t xml:space="preserve"> It says nothing about what the company is worth; §4's P6 pillar checks whether the *ask* is reasonably priced against the company's own traction stage, which is a sanity check, not a valuation.</w:t>
      </w:r>
    </w:p>
    <w:p>
      <w:pPr>
        <w:pStyle w:val="ListParagraph"/>
        <w:numPr>
          <w:ilvl w:val="0"/>
          <w:numId w:val="1"/>
        </w:numPr>
        <w:spacing w:after="60"/>
      </w:pPr>
      <w:r>
        <w:rPr>
          <w:b/>
          <w:bCs/>
        </w:rPr>
        <w:t xml:space="preserve">Not an IRR or ownership-return forecaster.</w:t>
      </w:r>
      <w:r>
        <w:t xml:space="preserve"> Run real portfolio-construction math separately — NSTS tells you whether a deal is worth spending diligence time on, not what it will return.</w:t>
      </w:r>
    </w:p>
    <w:p>
      <w:pPr>
        <w:pStyle w:val="ListParagraph"/>
        <w:numPr>
          <w:ilvl w:val="0"/>
          <w:numId w:val="1"/>
        </w:numPr>
        <w:spacing w:after="60"/>
      </w:pPr>
      <w:r>
        <w:rPr>
          <w:b/>
          <w:bCs/>
        </w:rPr>
        <w:t xml:space="preserve">Not a guarantee of outcome, and it should never be presented as one.</w:t>
      </w:r>
      <w:r>
        <w:t xml:space="preserve"> This needs to be said plainly: most startups that score well on this model will still fail. That is not a flaw in the model — it is the base-rate reality of early-stage venture, where the large majority of funded companies return less than invested capital even when the team, market, and product looked strong at the time of the check. NSTS improves *consistency and speed of triage*; it does not — cannot — repeal the power-law economics of the asset class. Treat a high score as "worth the partner's time," never as "safe."</w:t>
      </w:r>
    </w:p>
    <w:p>
      <w:pPr>
        <w:spacing w:after="160"/>
      </w:pPr>
      <w:r>
        <w:t xml:space="preserve">It is deliberately </w:t>
      </w:r>
      <w:r>
        <w:rPr>
          <w:b/>
          <w:bCs/>
        </w:rPr>
        <w:t xml:space="preserve">not</w:t>
      </w:r>
      <w:r>
        <w:t xml:space="preserve"> a black box: every sub-score is a named, auditable formula or rubric against a named input. If an input is unknown, the algorithm says so and degrades its confidence rating rather than guessing silently — this matters more here than in later-stage investing, because early-stage companies legitimately have less documented history to draw on (see §6).</w:t>
      </w:r>
    </w:p>
    <w:p>
      <w:pPr>
        <w:pStyle w:val="Heading1"/>
        <w:spacing w:after="120" w:before="240"/>
      </w:pPr>
      <w:r>
        <w:t xml:space="preserve">Methodology at a Glance</w:t>
      </w:r>
    </w:p>
    <w:p>
      <w:pPr>
        <w:pStyle w:val="Heading2"/>
        <w:spacing w:after="120" w:before="240"/>
      </w:pPr>
      <w:r>
        <w:t xml:space="preserve">2. 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Founder &amp; Team Quality</w:t>
            </w:r>
          </w:p>
        </w:tc>
        <w:tc>
          <w:p>
            <w:r>
              <w:t xml:space="preserve">25%</w:t>
            </w:r>
          </w:p>
        </w:tc>
        <w:tc>
          <w:p>
            <w:r>
              <w:t xml:space="preserve">Can this specific team actually execute this specific plan?</w:t>
            </w:r>
          </w:p>
        </w:tc>
      </w:tr>
      <w:tr>
        <w:tc>
          <w:tcPr>
            <w:shd w:fill="F3F4F6" w:val="solid"/>
          </w:tcPr>
          <w:p>
            <w:r>
              <w:t xml:space="preserve">P2. Market Opportunity</w:t>
            </w:r>
          </w:p>
        </w:tc>
        <w:tc>
          <w:tcPr>
            <w:shd w:fill="F3F4F6" w:val="solid"/>
          </w:tcPr>
          <w:p>
            <w:r>
              <w:t xml:space="preserve">20%</w:t>
            </w:r>
          </w:p>
        </w:tc>
        <w:tc>
          <w:tcPr>
            <w:shd w:fill="F3F4F6" w:val="solid"/>
          </w:tcPr>
          <w:p>
            <w:r>
              <w:t xml:space="preserve">Is the prize big enough, and is now actually the right time?</w:t>
            </w:r>
          </w:p>
        </w:tc>
      </w:tr>
      <w:tr>
        <w:tc>
          <w:p>
            <w:r>
              <w:t xml:space="preserve">P3. Traction &amp; PMF Signals</w:t>
            </w:r>
          </w:p>
        </w:tc>
        <w:tc>
          <w:p>
            <w:r>
              <w:t xml:space="preserve">20%</w:t>
            </w:r>
          </w:p>
        </w:tc>
        <w:tc>
          <w:p>
            <w:r>
              <w:t xml:space="preserve">Is anything real happening yet, and does it stick?</w:t>
            </w:r>
          </w:p>
        </w:tc>
      </w:tr>
      <w:tr>
        <w:tc>
          <w:tcPr>
            <w:shd w:fill="F3F4F6" w:val="solid"/>
          </w:tcPr>
          <w:p>
            <w:r>
              <w:t xml:space="preserve">P4. Product &amp; Technology Differentiation</w:t>
            </w:r>
          </w:p>
        </w:tc>
        <w:tc>
          <w:tcPr>
            <w:shd w:fill="F3F4F6" w:val="solid"/>
          </w:tcPr>
          <w:p>
            <w:r>
              <w:t xml:space="preserve">15%</w:t>
            </w:r>
          </w:p>
        </w:tc>
        <w:tc>
          <w:tcPr>
            <w:shd w:fill="F3F4F6" w:val="solid"/>
          </w:tcPr>
          <w:p>
            <w:r>
              <w:t xml:space="preserve">If this works, how hard is it for someone else to copy?</w:t>
            </w:r>
          </w:p>
        </w:tc>
      </w:tr>
      <w:tr>
        <w:tc>
          <w:p>
            <w:r>
              <w:t xml:space="preserve">P5. Unit Economics Trajectory</w:t>
            </w:r>
          </w:p>
        </w:tc>
        <w:tc>
          <w:p>
            <w:r>
              <w:t xml:space="preserve">10%</w:t>
            </w:r>
          </w:p>
        </w:tc>
        <w:tc>
          <w:p>
            <w:r>
              <w:t xml:space="preserve">When the company does spend/earn money, is the underlying math sound?</w:t>
            </w:r>
          </w:p>
        </w:tc>
      </w:tr>
      <w:tr>
        <w:tc>
          <w:tcPr>
            <w:shd w:fill="F3F4F6" w:val="solid"/>
          </w:tcPr>
          <w:p>
            <w:r>
              <w:t xml:space="preserve">P6. Round Terms &amp; Dilution</w:t>
            </w:r>
          </w:p>
        </w:tc>
        <w:tc>
          <w:tcPr>
            <w:shd w:fill="F3F4F6" w:val="solid"/>
          </w:tcPr>
          <w:p>
            <w:r>
              <w:t xml:space="preserve">10%</w:t>
            </w:r>
          </w:p>
        </w:tc>
        <w:tc>
          <w:tcPr>
            <w:shd w:fill="F3F4F6" w:val="solid"/>
          </w:tcPr>
          <w:p>
            <w:r>
              <w:t xml:space="preserve">Are we paying a sane price for this stage, and is the cap table clean?</w:t>
            </w:r>
          </w:p>
        </w:tc>
      </w:tr>
    </w:tbl>
    <w:p>
      <w:pPr>
        <w:spacing w:after="160"/>
      </w:pPr>
      <w:r>
        <w:rPr>
          <w:b/>
          <w:bCs/>
        </w:rPr>
        <w:t xml:space="preserve">Composite formula:</w:t>
      </w:r>
    </w:p>
    <w:p>
      <w:pPr>
        <w:spacing w:after="160"/>
        <w:jc w:val="center"/>
      </w:pPr>
      <w:r>
        <w:t xml:space="preserve">NSTS = 0.25·P1 + 0.20·P2 + 0.20·P3 + 0.15·P4 + 0.10·P5 + 0.10·P6</w:t>
      </w:r>
    </w:p>
    <w:p>
      <w:pPr>
        <w:spacing w:after="160"/>
      </w:pPr>
      <w:r>
        <w:rPr>
          <w:b/>
          <w:bCs/>
        </w:rPr>
        <w:t xml:space="preserve">Weighting rationale</w:t>
      </w:r>
      <w:r>
        <w:t xml:space="preserve">: P1 and P2 together are 45% of the score by design — at pre-seed through Series B, the business itself is still mostly a bet on *who* is building and *how big the room is*, because the financial evidence that would let you underwrite the business directly usually doesn't exist yet. That's the single biggest structural difference from the NDQI (the PE/growth sibling of this model): NDQI weights realized financial trajectory at 25% because it's measurable and dominant; NSTS can't do that honestly this early, so it shifts that weight onto team and market, the two things that *do* have signal before revenue does. P3 (traction) is weighted 20% because early metrics — while noisy (see §8) — are still the closest thing to objective evidence a young company has. P4, P5, and P6 matter but are weighted lower individually: technology differentiation and round terms are real but second-order at this stage, and unit economics (P5) is frequently not yet measurable at all, which is exactly why it carries the lowest weight and the most forgiving confidence treatment (§6).</w:t>
      </w:r>
    </w:p>
    <w:p>
      <w:pPr>
        <w:pStyle w:val="Heading2"/>
        <w:spacing w:after="120" w:before="240"/>
      </w:pPr>
      <w:r>
        <w:t xml:space="preserve">3.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NSTS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Fast-track to partner meeting</w:t>
            </w:r>
          </w:p>
        </w:tc>
        <w:tc>
          <w:p>
            <w:r>
              <w:t xml:space="preserve">Prioritize; get this in front of a decision-maker this week</w:t>
            </w:r>
          </w:p>
        </w:tc>
      </w:tr>
      <w:tr>
        <w:tc>
          <w:tcPr>
            <w:shd w:fill="F3F4F6" w:val="solid"/>
          </w:tcPr>
          <w:p>
            <w:r>
              <w:t xml:space="preserve">65–79</w:t>
            </w:r>
          </w:p>
        </w:tc>
        <w:tc>
          <w:tcPr>
            <w:shd w:fill="F3F4F6" w:val="solid"/>
          </w:tcPr>
          <w:p>
            <w:r>
              <w:t xml:space="preserve">Strong — proceed to diligence</w:t>
            </w:r>
          </w:p>
        </w:tc>
        <w:tc>
          <w:tcPr>
            <w:shd w:fill="F3F4F6" w:val="solid"/>
          </w:tcPr>
          <w:p>
            <w:r>
              <w:t xml:space="preserve">Open a data room, start reference calls</w:t>
            </w:r>
          </w:p>
        </w:tc>
      </w:tr>
      <w:tr>
        <w:tc>
          <w:p>
            <w:r>
              <w:t xml:space="preserve">50–64</w:t>
            </w:r>
          </w:p>
        </w:tc>
        <w:tc>
          <w:p>
            <w:r>
              <w:t xml:space="preserve">Promising — needs one more data point</w:t>
            </w:r>
          </w:p>
        </w:tc>
        <w:tc>
          <w:p>
            <w:r>
              <w:t xml:space="preserve">Ask for the specific missing signal (usually P3 or P5) before deciding</w:t>
            </w:r>
          </w:p>
        </w:tc>
      </w:tr>
      <w:tr>
        <w:tc>
          <w:tcPr>
            <w:shd w:fill="F3F4F6" w:val="solid"/>
          </w:tcPr>
          <w:p>
            <w:r>
              <w:t xml:space="preserve">35–49</w:t>
            </w:r>
          </w:p>
        </w:tc>
        <w:tc>
          <w:tcPr>
            <w:shd w:fill="F3F4F6" w:val="solid"/>
          </w:tcPr>
          <w:p>
            <w:r>
              <w:t xml:space="preserve">Pass for now — revisit at next milestone</w:t>
            </w:r>
          </w:p>
        </w:tc>
        <w:tc>
          <w:tcPr>
            <w:shd w:fill="F3F4F6" w:val="solid"/>
          </w:tcPr>
          <w:p>
            <w:r>
              <w:t xml:space="preserve">Tell the founder what would change the read (e.g. "come back at $30k MRR")</w:t>
            </w:r>
          </w:p>
        </w:tc>
      </w:tr>
      <w:tr>
        <w:tc>
          <w:p>
            <w:r>
              <w:t xml:space="preserve">0–34</w:t>
            </w:r>
          </w:p>
        </w:tc>
        <w:tc>
          <w:p>
            <w:r>
              <w:t xml:space="preserve">Pass</w:t>
            </w:r>
          </w:p>
        </w:tc>
        <w:tc>
          <w:p>
            <w:r>
              <w:t xml:space="preserve">Decline; no need to re-engage absent a material change</w:t>
            </w:r>
          </w:p>
        </w:tc>
      </w:tr>
    </w:tbl>
    <w:p>
      <w:pPr>
        <w:spacing w:after="160"/>
      </w:pPr>
      <w:r>
        <w:t xml:space="preserve">These bands assume </w:t>
      </w:r>
      <w:r>
        <w:rPr>
          <w:b/>
          <w:bCs/>
        </w:rPr>
        <w:t xml:space="preserve">high confidence</w:t>
      </w:r>
      <w:r>
        <w:t xml:space="preserve"> inputs (see §6). Under low confidence — which is common and expected at pre-seed — treat the tier as directional only, and prefer "Promising, needs one more data point" over a false "Pass" or false "Fast-track" when the completeness score is low. A funnel tool that confidently kills a good deal on thin data is worse than one that routes it back for one more look.</w:t>
      </w:r>
    </w:p>
    <w:p>
      <w:pPr>
        <w:pStyle w:val="Heading1"/>
        <w:spacing w:after="120" w:before="240"/>
      </w:pPr>
      <w:r>
        <w:t xml:space="preserve">Detailed Pillar Formulas</w:t>
      </w:r>
    </w:p>
    <w:p>
      <w:pPr>
        <w:pStyle w:val="Heading2"/>
        <w:spacing w:after="120" w:before="240"/>
      </w:pPr>
      <w:r>
        <w:t xml:space="preserve">4. Pillar Formulas</w:t>
      </w:r>
    </w:p>
    <w:p>
      <w:pPr>
        <w:spacing w:after="160"/>
      </w:pPr>
      <w:r>
        <w:t xml:space="preserve">All sub-scores are clamped to [0, 100] after computation unless stated otherwise. clamp(x, lo, hi) = min(max(x, lo), hi). lerp = piecewise-linear interpolation between named anchor points. likertToScore converts a 1–5 rubric value (fractional averages allowed) to 0–100 per §5.</w:t>
      </w:r>
    </w:p>
    <w:p>
      <w:pPr>
        <w:pStyle w:val="Heading3"/>
        <w:spacing w:after="120" w:before="240"/>
      </w:pPr>
      <w:r>
        <w:t xml:space="preserve">P1. Founder &amp; Team Quality</w:t>
      </w:r>
    </w:p>
    <w:p>
      <w:pPr>
        <w:spacing w:after="160"/>
      </w:pPr>
      <w:r>
        <w:t xml:space="preserve">Three 1–5 rubrics, averaged as raw Likert values, then converted once via likertToScore: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Sub-rubric</w:t>
            </w:r>
          </w:p>
        </w:tc>
        <w:tc>
          <w:tcPr>
            <w:shd w:fill="1B2A4A" w:val="solid"/>
          </w:tcPr>
          <w:p>
            <w:r>
              <w:rPr>
                <w:b/>
                <w:bCs/>
                <w:color w:val="FFFFFF"/>
              </w:rPr>
              <w:t xml:space="preserve">What it rates</w:t>
            </w:r>
          </w:p>
        </w:tc>
      </w:tr>
      <w:tr>
        <w:tc>
          <w:p>
            <w:r>
              <w:t xml:space="preserve">a. Domain expertise depth</w:t>
            </w:r>
          </w:p>
        </w:tc>
        <w:tc>
          <w:p>
            <w:r>
              <w:t xml:space="preserve">How deep is the founding team's actual knowledge of this specific problem space?</w:t>
            </w:r>
          </w:p>
        </w:tc>
      </w:tr>
      <w:tr>
        <w:tc>
          <w:tcPr>
            <w:shd w:fill="F3F4F6" w:val="solid"/>
          </w:tcPr>
          <w:p>
            <w:r>
              <w:t xml:space="preserve">b. Prior startup experience</w:t>
            </w:r>
          </w:p>
        </w:tc>
        <w:tc>
          <w:tcPr>
            <w:shd w:fill="F3F4F6" w:val="solid"/>
          </w:tcPr>
          <w:p>
            <w:r>
              <w:t xml:space="preserve">Have they built or scaled something before — ideally to an exit?</w:t>
            </w:r>
          </w:p>
        </w:tc>
      </w:tr>
      <w:tr>
        <w:tc>
          <w:p>
            <w:r>
              <w:t xml:space="preserve">c. Team completeness</w:t>
            </w:r>
          </w:p>
        </w:tc>
        <w:tc>
          <w:p>
            <w:r>
              <w:t xml:space="preserve">Does the founding team cover both technical and commercial execution?</w:t>
            </w:r>
          </w:p>
        </w:tc>
      </w:tr>
    </w:tbl>
    <w:p>
      <w:pPr>
        <w:pStyle w:val="ListParagraph"/>
        <w:numPr>
          <w:ilvl w:val="0"/>
          <w:numId w:val="1"/>
        </w:numPr>
        <w:spacing w:after="60"/>
      </w:pPr>
      <w:r>
        <w:t xml:space="preserve">teamAvg = (a + b + c) / 3</w:t>
      </w:r>
    </w:p>
    <w:p>
      <w:pPr>
        <w:pStyle w:val="ListParagraph"/>
        <w:numPr>
          <w:ilvl w:val="0"/>
          <w:numId w:val="1"/>
        </w:numPr>
        <w:spacing w:after="60"/>
      </w:pPr>
      <w:r>
        <w:t xml:space="preserve">P1 = likertToScore(teamAvg)</w:t>
      </w:r>
    </w:p>
    <w:p>
      <w:pPr>
        <w:spacing w:after="160"/>
      </w:pPr>
      <w:r>
        <w:t xml:space="preserve">Anchor descriptions for all three are in §5. Note (c) in particular: a lone non-technical founder building a deep-tech product is a real, specific red flag and should score low (1–2) on team completeness regardless of how strong that founder is commercially — the gap is structural, not a personality judgment.</w:t>
      </w:r>
    </w:p>
    <w:p>
      <w:pPr>
        <w:pStyle w:val="Heading3"/>
        <w:spacing w:after="120" w:before="240"/>
      </w:pPr>
      <w:r>
        <w:t xml:space="preserve">P2. Market Opportunity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TAM size (USD, millions)</w:t>
            </w:r>
          </w:p>
        </w:tc>
        <w:tc>
          <w:p>
            <w:r>
              <w:t xml:space="preserve">55%</w:t>
            </w:r>
          </w:p>
        </w:tc>
        <w:tc>
          <w:p>
            <w:r>
              <w:t xml:space="preserve">lerp anchors ($M → score): 50→10, 100→20, 500→50, 1000→75, 3000→90, 10000→100</w:t>
            </w:r>
          </w:p>
        </w:tc>
      </w:tr>
      <w:tr>
        <w:tc>
          <w:tcPr>
            <w:shd w:fill="F3F4F6" w:val="solid"/>
          </w:tcPr>
          <w:p>
            <w:r>
              <w:t xml:space="preserve">b. "Why now" timing rubric (1–5, see §5)</w:t>
            </w:r>
          </w:p>
        </w:tc>
        <w:tc>
          <w:tcPr>
            <w:shd w:fill="F3F4F6" w:val="solid"/>
          </w:tcPr>
          <w:p>
            <w:r>
              <w:t xml:space="preserve">45%</w:t>
            </w:r>
          </w:p>
        </w:tc>
        <w:tc>
          <w:tcPr>
            <w:shd w:fill="F3F4F6" w:val="solid"/>
          </w:tcPr>
          <w:p>
            <w:r>
              <w:t xml:space="preserve">likertToScore(rubricValue)</w:t>
            </w:r>
          </w:p>
        </w:tc>
      </w:tr>
    </w:tbl>
    <w:p>
      <w:pPr>
        <w:pStyle w:val="ListParagraph"/>
        <w:numPr>
          <w:ilvl w:val="0"/>
          <w:numId w:val="1"/>
        </w:numPr>
        <w:spacing w:after="60"/>
      </w:pPr>
      <w:r>
        <w:t xml:space="preserve">P2 = 0.55a + 0.45b</w:t>
      </w:r>
    </w:p>
    <w:p>
      <w:pPr>
        <w:spacing w:after="160"/>
      </w:pPr>
      <w:r>
        <w:rPr>
          <w:b/>
          <w:bCs/>
        </w:rPr>
        <w:t xml:space="preserve">Why TAM is anchored the way it is</w:t>
      </w:r>
      <w:r>
        <w:t xml:space="preserve">: a sub-$100M realistic addressable market caps venture-scale outcomes almost regardless of everything else the company does well — even a dominant player in a $100M market rarely returns venture capital at fund scale. The curve is deliberately steep between $100M and $1B (where most real venture debates actually happen) and flattens above $3B, because past a certain size, "is the market big enough" stops being the binding question and other pillars start mattering more.</w:t>
      </w:r>
    </w:p>
    <w:p>
      <w:pPr>
        <w:spacing w:after="160"/>
      </w:pPr>
      <w:r>
        <w:rPr>
          <w:b/>
          <w:bCs/>
        </w:rPr>
        <w:t xml:space="preserve">"Why now" (b)</w:t>
      </w:r>
      <w:r>
        <w:t xml:space="preserve"> asks whether there's a *named, specific* structural, technological, or regulatory shift that makes this newly possible or newly urgent — not "the market is growing." A market that has looked the same for a decade with no catalyst should score low here even if it's large, because "why hasn't someone already done this" needs a real answer.</w:t>
      </w:r>
    </w:p>
    <w:p>
      <w:pPr>
        <w:pStyle w:val="Heading3"/>
        <w:spacing w:after="120" w:before="240"/>
      </w:pPr>
      <w:r>
        <w:t xml:space="preserve">P3. Traction &amp; Product-Market-Fit Signals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MoM growth rate of primary metric</w:t>
            </w:r>
          </w:p>
        </w:tc>
        <w:tc>
          <w:p>
            <w:r>
              <w:t xml:space="preserve">55%</w:t>
            </w:r>
          </w:p>
        </w:tc>
        <w:tc>
          <w:p>
            <w:r>
              <w:t xml:space="preserve">lerp anchors (% MoM → score): 0→15, 5→45, 10→70, 15→90, 25→100</w:t>
            </w:r>
          </w:p>
        </w:tc>
      </w:tr>
      <w:tr>
        <w:tc>
          <w:tcPr>
            <w:shd w:fill="F3F4F6" w:val="solid"/>
          </w:tcPr>
          <w:p>
            <w:r>
              <w:t xml:space="preserve">b. Retention / cohort-curve quality rubric (1–5, see §5)</w:t>
            </w:r>
          </w:p>
        </w:tc>
        <w:tc>
          <w:tcPr>
            <w:shd w:fill="F3F4F6" w:val="solid"/>
          </w:tcPr>
          <w:p>
            <w:r>
              <w:t xml:space="preserve">45%</w:t>
            </w:r>
          </w:p>
        </w:tc>
        <w:tc>
          <w:tcPr>
            <w:shd w:fill="F3F4F6" w:val="solid"/>
          </w:tcPr>
          <w:p>
            <w:r>
              <w:t xml:space="preserve">likertToScore(rubricValue)</w:t>
            </w:r>
          </w:p>
        </w:tc>
      </w:tr>
    </w:tbl>
    <w:p>
      <w:pPr>
        <w:pStyle w:val="ListParagraph"/>
        <w:numPr>
          <w:ilvl w:val="0"/>
          <w:numId w:val="1"/>
        </w:numPr>
        <w:spacing w:after="60"/>
      </w:pPr>
      <w:r>
        <w:t xml:space="preserve">P3 = 0.55a + 0.45b</w:t>
      </w:r>
    </w:p>
    <w:p>
      <w:pPr>
        <w:spacing w:after="160"/>
      </w:pPr>
      <w:r>
        <w:t xml:space="preserve">primaryMetric is whichever number is stage-appropriate — revenue, active users, transactions, whatever the company's core loop actually produces. Be explicit in reporting about which metric was used; comparing MoM growth on revenue for one company against MoM growth on signups for another is comparing two different things wearing the same units.</w:t>
      </w:r>
    </w:p>
    <w:p>
      <w:pPr>
        <w:spacing w:after="160"/>
      </w:pPr>
      <w:r>
        <w:rPr>
          <w:b/>
          <w:bCs/>
        </w:rPr>
        <w:t xml:space="preserve">These growth thresholds are deliberately aggressive and deliberately stage-specific.</w:t>
      </w:r>
      <w:r>
        <w:t xml:space="preserve"> Sustained &gt;15% MoM is exceptional and 5–10% is solid *for an early-stage company* — a mature, $50M-revenue business growing 10% a *month* would be one of the fastest-growing companies in the world and something has probably gone wrong with the input data. That mismatch is exactly why this is a separate model from the NDQI rather than a re-skin of it: NDQI's P1a anchors a 15% *annual* CAGR at a similar score-band position. Never port NSTS's growth anchors onto a company with an established, multi-year financial history — use the NDQI for that company instead.</w:t>
      </w:r>
    </w:p>
    <w:p>
      <w:pPr>
        <w:spacing w:after="160"/>
      </w:pPr>
      <w:r>
        <w:rPr>
          <w:b/>
          <w:bCs/>
        </w:rPr>
        <w:t xml:space="preserve">Retention/cohort quality (b)</w:t>
      </w:r>
      <w:r>
        <w:t xml:space="preserve"> is arguably the single highest-signal number in this entire model for an early company: does usage from a cohort flatten at a healthy plateau (real product-market fit, people keep coming back) or decay toward zero (no PMF yet, growth is being bought or is one-time curiosity)? Ask for a cohort retention curve specifically, not just a point-in-time retention percentage — the shape matters more than the number.</w:t>
      </w:r>
    </w:p>
    <w:p>
      <w:pPr>
        <w:pStyle w:val="Heading3"/>
        <w:spacing w:after="120" w:before="240"/>
      </w:pPr>
      <w:r>
        <w:t xml:space="preserve">P4. Product &amp; Technology Differentiation</w:t>
      </w:r>
    </w:p>
    <w:p>
      <w:pPr>
        <w:spacing w:after="160"/>
      </w:pPr>
      <w:r>
        <w:t xml:space="preserve">A single 1–5 rubric (see §5) on defensibility — proprietary data or technology, technical complexity a well-funded competitor can't quickly replicate, any IP filed:</w:t>
      </w:r>
    </w:p>
    <w:p>
      <w:pPr>
        <w:pStyle w:val="ListParagraph"/>
        <w:numPr>
          <w:ilvl w:val="0"/>
          <w:numId w:val="1"/>
        </w:numPr>
        <w:spacing w:after="60"/>
      </w:pPr>
      <w:r>
        <w:t xml:space="preserve">P4 = likertToScore(differentiationRubric)</w:t>
      </w:r>
    </w:p>
    <w:p>
      <w:pPr>
        <w:spacing w:after="160"/>
      </w:pPr>
      <w:r>
        <w:t xml:space="preserve">This is framed specifically for </w:t>
      </w:r>
      <w:r>
        <w:rPr>
          <w:b/>
          <w:bCs/>
        </w:rPr>
        <w:t xml:space="preserve">pre-revenue technical differentiation</w:t>
      </w:r>
      <w:r>
        <w:t xml:space="preserve"> — unlike the NDQI's competitive-moat rubric (P3c there), which averages four sub-ratings (switching costs, IP, network effects, brand/regulatory) because an established business has all four to evaluate, an early-stage company usually only has one or two of those yet. Rate what actually exists today — don't average in "will eventually have network effects" as if it were already true.</w:t>
      </w:r>
    </w:p>
    <w:p>
      <w:pPr>
        <w:pStyle w:val="Heading3"/>
        <w:spacing w:after="120" w:before="240"/>
      </w:pPr>
      <w:r>
        <w:t xml:space="preserve">P5. Unit Economics Trajectory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LTV:CAC ratio</w:t>
            </w:r>
          </w:p>
        </w:tc>
        <w:tc>
          <w:p>
            <w:r>
              <w:t xml:space="preserve">50%</w:t>
            </w:r>
          </w:p>
        </w:tc>
        <w:tc>
          <w:p>
            <w:r>
              <w:t xml:space="preserve">lerp anchors (ratio → score): 0.5→10, 1→25, 2→55, 3→80, 4→95, 5→100</w:t>
            </w:r>
          </w:p>
        </w:tc>
      </w:tr>
      <w:tr>
        <w:tc>
          <w:tcPr>
            <w:shd w:fill="F3F4F6" w:val="solid"/>
          </w:tcPr>
          <w:p>
            <w:r>
              <w:t xml:space="preserve">b. Burn multiple (net burn ÷ net new ARR)</w:t>
            </w:r>
          </w:p>
        </w:tc>
        <w:tc>
          <w:tcPr>
            <w:shd w:fill="F3F4F6" w:val="solid"/>
          </w:tcPr>
          <w:p>
            <w:r>
              <w:t xml:space="preserve">50%</w:t>
            </w:r>
          </w:p>
        </w:tc>
        <w:tc>
          <w:tcPr>
            <w:shd w:fill="F3F4F6" w:val="solid"/>
          </w:tcPr>
          <w:p>
            <w:r>
              <w:t xml:space="preserve">lerp anchors (multiple → score, inverse): 0.5→100, 1→90, 1.5→75, 2→55, 3→35, 5→10</w:t>
            </w:r>
          </w:p>
        </w:tc>
      </w:tr>
    </w:tbl>
    <w:p>
      <w:pPr>
        <w:pStyle w:val="ListParagraph"/>
        <w:numPr>
          <w:ilvl w:val="0"/>
          <w:numId w:val="1"/>
        </w:numPr>
        <w:spacing w:after="60"/>
      </w:pPr>
      <w:r>
        <w:t xml:space="preserve">P5 = 0.50a + 0.50b</w:t>
      </w:r>
    </w:p>
    <w:p>
      <w:pPr>
        <w:spacing w:after="160"/>
      </w:pPr>
      <w:r>
        <w:t xml:space="preserve">Both are real, current, industry-standard efficiency metrics — LTV:CAC of 3:1 or better is the standard SaaS-era health benchmark, and below 1:1 is an outright red flag (the company loses money on every customer, structurally). Burn multiple (a metric popularized industry-wide as a cleaner efficiency signal than burn rate alone) below 1 is excellent capital efficiency; above 3 is a real concern about whether growth is being bought at an unsustainable price.</w:t>
      </w:r>
    </w:p>
    <w:p>
      <w:pPr>
        <w:spacing w:after="160"/>
      </w:pPr>
      <w:r>
        <w:rPr>
          <w:b/>
          <w:bCs/>
        </w:rPr>
        <w:t xml:space="preserve">This pillar is explicitly optional and low-confidence-tolerant by design.</w:t>
      </w:r>
      <w:r>
        <w:t xml:space="preserve"> A genuinely pre-revenue company, or one with too few paying customers to compute a meaningful CAC/LTV yet, does not have this data because it is *too early*, not because it did anything wrong. Setting unitEconomics.dataAvailable: false in the input causes the score to treat P5 as neutral (60, "n/a — not yet applicable") and </w:t>
      </w:r>
      <w:r>
        <w:rPr>
          <w:b/>
          <w:bCs/>
        </w:rPr>
        <w:t xml:space="preserve">excludes</w:t>
      </w:r>
      <w:r>
        <w:t xml:space="preserve"> its two fields from the completeness denominator entirely, rather than either inventing a number or dragging down completeness for a company that is behaving exactly as an early-stage company should. This flag should not be set just because a founder didn't send the number in a given pitch cycle — it is reserved for cases where the metric genuinely isn't computable yet at the company's real stage.</w:t>
      </w:r>
    </w:p>
    <w:p>
      <w:pPr>
        <w:pStyle w:val="Heading3"/>
        <w:spacing w:after="120" w:before="240"/>
      </w:pPr>
      <w:r>
        <w:t xml:space="preserve">P6. Round Terms &amp; Dilution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Valuation-to-traction reasonableness</w:t>
            </w:r>
          </w:p>
        </w:tc>
        <w:tc>
          <w:p>
            <w:r>
              <w:t xml:space="preserve">40%</w:t>
            </w:r>
          </w:p>
        </w:tc>
        <w:tc>
          <w:p>
            <w:r>
              <w:t xml:space="preserve">premiumPct = (askMultiple − stageBenchmarkMultiple) / stageBenchmarkMultiple; clamp(70 − premiumPct × 100, 0, 100)</w:t>
            </w:r>
          </w:p>
        </w:tc>
      </w:tr>
      <w:tr>
        <w:tc>
          <w:tcPr>
            <w:shd w:fill="F3F4F6" w:val="solid"/>
          </w:tcPr>
          <w:p>
            <w:r>
              <w:t xml:space="preserve">b. Cap-table cleanliness rubric (1–5, see §5)</w:t>
            </w:r>
          </w:p>
        </w:tc>
        <w:tc>
          <w:tcPr>
            <w:shd w:fill="F3F4F6" w:val="solid"/>
          </w:tcPr>
          <w:p>
            <w:r>
              <w:t xml:space="preserve">35%</w:t>
            </w:r>
          </w:p>
        </w:tc>
        <w:tc>
          <w:tcPr>
            <w:shd w:fill="F3F4F6" w:val="solid"/>
          </w:tcPr>
          <w:p>
            <w:r>
              <w:t xml:space="preserve">likertToScore(rubricValue)</w:t>
            </w:r>
          </w:p>
        </w:tc>
      </w:tr>
      <w:tr>
        <w:tc>
          <w:p>
            <w:r>
              <w:t xml:space="preserve">c. Option-pool adequacy</w:t>
            </w:r>
          </w:p>
        </w:tc>
        <w:tc>
          <w:p>
            <w:r>
              <w:t xml:space="preserve">25%</w:t>
            </w:r>
          </w:p>
        </w:tc>
        <w:tc>
          <w:p>
            <w:r>
              <w:t xml:space="preserve">ratio = actualPoolPct / recommendedPoolPctForStage; lerp anchors (ratio → score): 0.4→15, 0.7→50, 1.0→85, 1.25→100</w:t>
            </w:r>
          </w:p>
        </w:tc>
      </w:tr>
    </w:tbl>
    <w:p>
      <w:pPr>
        <w:pStyle w:val="ListParagraph"/>
        <w:numPr>
          <w:ilvl w:val="0"/>
          <w:numId w:val="1"/>
        </w:numPr>
        <w:spacing w:after="60"/>
      </w:pPr>
      <w:r>
        <w:t xml:space="preserve">P6 = 0.40a + 0.35b + 0.25c</w:t>
      </w:r>
    </w:p>
    <w:p>
      <w:pPr>
        <w:spacing w:after="160"/>
      </w:pPr>
      <w:r>
        <w:t xml:space="preserve">askMultiple is a valuation-to-traction proxy appropriate to the company's stage (e.g. valuation ÷ ARR for revenue-stage companies, or whatever multiple convention is normal for the round type) and stageBenchmarkMultiple is the going market rate for that stage/sector — this needs to be sourced (recent comparable rounds), the same caveat as the NDQI's sector-comp inputs. The formula's baseline-at-70-for-fair-price logic is deliberately identical to the NDQI's P2a entry-multiple formula: pricing exactly at the going rate is fair, not exceptional, and every 10% paid above benchmark costs 10 points.</w:t>
      </w:r>
    </w:p>
    <w:p>
      <w:pPr>
        <w:spacing w:after="160"/>
      </w:pPr>
      <w:r>
        <w:rPr>
          <w:b/>
          <w:bCs/>
        </w:rPr>
        <w:t xml:space="preserve">Cap-table cleanliness (b)</w:t>
      </w:r>
      <w:r>
        <w:t xml:space="preserve"> rates the existing cap table as a whole: few prior investors on standard terms with no unusual liquidation stacking is clean; multiple stacked uncapped notes, a prior down round, or non-standard preference stacking is messy.</w:t>
      </w:r>
    </w:p>
    <w:p>
      <w:pPr>
        <w:spacing w:after="160"/>
      </w:pPr>
      <w:r>
        <w:rPr>
          <w:b/>
          <w:bCs/>
        </w:rPr>
        <w:t xml:space="preserve">Option-pool adequacy (c)</w:t>
      </w:r>
      <w:r>
        <w:t xml:space="preserve"> checks whether the option pool set aside for future hires is actually sized for the stage — a pool below ~40% of the stage-typical size is a real problem (it means either founders or existing investors will eat an unplanned dilution hit later, or hiring will be underpowered), while at or above the typical pool size it stops mattering much further.</w:t>
      </w:r>
    </w:p>
    <w:p>
      <w:pPr>
        <w:pStyle w:val="Heading1"/>
        <w:spacing w:after="120" w:before="240"/>
      </w:pPr>
      <w:r>
        <w:t xml:space="preserve">Qualitative Rubrics / Calibration Anchors</w:t>
      </w:r>
    </w:p>
    <w:p>
      <w:pPr>
        <w:pStyle w:val="Heading2"/>
        <w:spacing w:after="120" w:before="240"/>
      </w:pPr>
      <w:r>
        <w:t xml:space="preserve">5. Qualitative Rubrics (Likert → Score)</w:t>
      </w:r>
    </w:p>
    <w:p>
      <w:pPr>
        <w:spacing w:after="160"/>
      </w:pPr>
      <w:r>
        <w:t xml:space="preserve">Used for P1a/b/c, P2b, P3b, P4, and P6b. Anchors, not vibes — the score should be assigned only after identifying which anchor description matches, not the other way around.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Generic anchor</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credible for the stage</w:t>
            </w:r>
          </w:p>
        </w:tc>
      </w:tr>
      <w:tr>
        <w:tc>
          <w:tcPr>
            <w:shd w:fill="F3F4F6" w:val="solid"/>
          </w:tcPr>
          <w:p>
            <w:r>
              <w:t xml:space="preserve">4</w:t>
            </w:r>
          </w:p>
        </w:tc>
        <w:tc>
          <w:tcPr>
            <w:shd w:fill="F3F4F6" w:val="solid"/>
          </w:tcPr>
          <w:p>
            <w:r>
              <w:t xml:space="preserve">80</w:t>
            </w:r>
          </w:p>
        </w:tc>
        <w:tc>
          <w:tcPr>
            <w:shd w:fill="F3F4F6" w:val="solid"/>
          </w:tcPr>
          <w:p>
            <w:r>
              <w:t xml:space="preserve">Strong — clearly above the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averages (e.g. a P1 team average of 3.5 → score 70).</w:t>
      </w:r>
    </w:p>
    <w:p>
      <w:pPr>
        <w:pStyle w:val="Heading3"/>
        <w:spacing w:after="120" w:before="240"/>
      </w:pPr>
      <w:r>
        <w:t xml:space="preserve">Domain expertise depth (P1a)</w:t>
      </w:r>
    </w:p>
    <w:p>
      <w:pPr>
        <w:pStyle w:val="ListParagraph"/>
        <w:numPr>
          <w:ilvl w:val="0"/>
          <w:numId w:val="1"/>
        </w:numPr>
        <w:spacing w:after="60"/>
      </w:pPr>
      <w:r>
        <w:t xml:space="preserve">1 — No relevant domain background; this space is new to the whole team.</w:t>
      </w:r>
    </w:p>
    <w:p>
      <w:pPr>
        <w:pStyle w:val="ListParagraph"/>
        <w:numPr>
          <w:ilvl w:val="0"/>
          <w:numId w:val="1"/>
        </w:numPr>
        <w:spacing w:after="60"/>
      </w:pPr>
      <w:r>
        <w:t xml:space="preserve">2 — Adjacent experience only; domain knowledge is shallow or secondhand.</w:t>
      </w:r>
    </w:p>
    <w:p>
      <w:pPr>
        <w:pStyle w:val="ListParagraph"/>
        <w:numPr>
          <w:ilvl w:val="0"/>
          <w:numId w:val="1"/>
        </w:numPr>
        <w:spacing w:after="60"/>
      </w:pPr>
      <w:r>
        <w:t xml:space="preserve">3 — Solid, direct domain experience — has worked in or closely adjacent to this exact problem.</w:t>
      </w:r>
    </w:p>
    <w:p>
      <w:pPr>
        <w:pStyle w:val="ListParagraph"/>
        <w:numPr>
          <w:ilvl w:val="0"/>
          <w:numId w:val="1"/>
        </w:numPr>
        <w:spacing w:after="60"/>
      </w:pPr>
      <w:r>
        <w:t xml:space="preserve">4 — Deep domain expertise; recognized as knowledgeable within the space.</w:t>
      </w:r>
    </w:p>
    <w:p>
      <w:pPr>
        <w:pStyle w:val="ListParagraph"/>
        <w:numPr>
          <w:ilvl w:val="0"/>
          <w:numId w:val="1"/>
        </w:numPr>
        <w:spacing w:after="60"/>
      </w:pPr>
      <w:r>
        <w:t xml:space="preserve">5 — Leading authority or a genuine unfair advantage — e.g. built the exact system before, or has insider technical/regulatory knowledge competitors can't easily acquire.</w:t>
      </w:r>
    </w:p>
    <w:p>
      <w:pPr>
        <w:pStyle w:val="Heading3"/>
        <w:spacing w:after="120" w:before="240"/>
      </w:pPr>
      <w:r>
        <w:t xml:space="preserve">Prior startup experience (P1b)</w:t>
      </w:r>
    </w:p>
    <w:p>
      <w:pPr>
        <w:pStyle w:val="ListParagraph"/>
        <w:numPr>
          <w:ilvl w:val="0"/>
          <w:numId w:val="1"/>
        </w:numPr>
        <w:spacing w:after="60"/>
      </w:pPr>
      <w:r>
        <w:t xml:space="preserve">1 — First-time founder, no relevant startup experience.</w:t>
      </w:r>
    </w:p>
    <w:p>
      <w:pPr>
        <w:pStyle w:val="ListParagraph"/>
        <w:numPr>
          <w:ilvl w:val="0"/>
          <w:numId w:val="1"/>
        </w:numPr>
        <w:spacing w:after="60"/>
      </w:pPr>
      <w:r>
        <w:t xml:space="preserve">2 — First-time founder with some relevant operating experience (e.g. early employee at a startup) but never in a founder seat.</w:t>
      </w:r>
    </w:p>
    <w:p>
      <w:pPr>
        <w:pStyle w:val="ListParagraph"/>
        <w:numPr>
          <w:ilvl w:val="0"/>
          <w:numId w:val="1"/>
        </w:numPr>
        <w:spacing w:after="60"/>
      </w:pPr>
      <w:r>
        <w:t xml:space="preserve">3 — First-time founder with a strong, directly relevant domain background.</w:t>
      </w:r>
    </w:p>
    <w:p>
      <w:pPr>
        <w:pStyle w:val="ListParagraph"/>
        <w:numPr>
          <w:ilvl w:val="0"/>
          <w:numId w:val="1"/>
        </w:numPr>
        <w:spacing w:after="60"/>
      </w:pPr>
      <w:r>
        <w:t xml:space="preserve">4 — Repeat founder, or a senior operator who has clearly scaled something before (no exit yet, but real scaling experience — e.g. took a team from 5 to 100).</w:t>
      </w:r>
    </w:p>
    <w:p>
      <w:pPr>
        <w:pStyle w:val="ListParagraph"/>
        <w:numPr>
          <w:ilvl w:val="0"/>
          <w:numId w:val="1"/>
        </w:numPr>
        <w:spacing w:after="60"/>
      </w:pPr>
      <w:r>
        <w:t xml:space="preserve">5 — Repeat founder with at least one prior successful exit, or another clearly-scaled outcome of comparable weight.</w:t>
      </w:r>
    </w:p>
    <w:p>
      <w:pPr>
        <w:pStyle w:val="Heading3"/>
        <w:spacing w:after="120" w:before="240"/>
      </w:pPr>
      <w:r>
        <w:t xml:space="preserve">Team completeness (P1c)</w:t>
      </w:r>
    </w:p>
    <w:p>
      <w:pPr>
        <w:pStyle w:val="ListParagraph"/>
        <w:numPr>
          <w:ilvl w:val="0"/>
          <w:numId w:val="1"/>
        </w:numPr>
        <w:spacing w:after="60"/>
      </w:pPr>
      <w:r>
        <w:t xml:space="preserve">1 — Solo founder with a critical, unaddressed gap (e.g. a lone non-technical founder building a deep-tech product with no technical co-founder or committed technical hire).</w:t>
      </w:r>
    </w:p>
    <w:p>
      <w:pPr>
        <w:pStyle w:val="ListParagraph"/>
        <w:numPr>
          <w:ilvl w:val="0"/>
          <w:numId w:val="1"/>
        </w:numPr>
        <w:spacing w:after="60"/>
      </w:pPr>
      <w:r>
        <w:t xml:space="preserve">2 — Founding team covers only one side (all-technical or all-commercial) with a real, live gap on the other side.</w:t>
      </w:r>
    </w:p>
    <w:p>
      <w:pPr>
        <w:pStyle w:val="ListParagraph"/>
        <w:numPr>
          <w:ilvl w:val="0"/>
          <w:numId w:val="1"/>
        </w:numPr>
        <w:spacing w:after="60"/>
      </w:pPr>
      <w:r>
        <w:t xml:space="preserve">3 — Founding team covers both technical and commercial basics, but the bench is thin (e.g. one person wearing too many hats).</w:t>
      </w:r>
    </w:p>
    <w:p>
      <w:pPr>
        <w:pStyle w:val="ListParagraph"/>
        <w:numPr>
          <w:ilvl w:val="0"/>
          <w:numId w:val="1"/>
        </w:numPr>
        <w:spacing w:after="60"/>
      </w:pPr>
      <w:r>
        <w:t xml:space="preserve">4 — Well-rounded founding team with clear ownership of product, engineering, and go-to-market.</w:t>
      </w:r>
    </w:p>
    <w:p>
      <w:pPr>
        <w:pStyle w:val="ListParagraph"/>
        <w:numPr>
          <w:ilvl w:val="0"/>
          <w:numId w:val="1"/>
        </w:numPr>
        <w:spacing w:after="60"/>
      </w:pPr>
      <w:r>
        <w:t xml:space="preserve">5 — Complete founding team with proven, complementary skillsets on both technical and commercial sides, plus early hires or advisors already filling any remaining gaps.</w:t>
      </w:r>
    </w:p>
    <w:p>
      <w:pPr>
        <w:pStyle w:val="Heading3"/>
        <w:spacing w:after="120" w:before="240"/>
      </w:pPr>
      <w:r>
        <w:t xml:space="preserve">"Why now" timing (P2b)</w:t>
      </w:r>
    </w:p>
    <w:p>
      <w:pPr>
        <w:pStyle w:val="ListParagraph"/>
        <w:numPr>
          <w:ilvl w:val="0"/>
          <w:numId w:val="1"/>
        </w:numPr>
        <w:spacing w:after="60"/>
      </w:pPr>
      <w:r>
        <w:t xml:space="preserve">1 — No identifiable catalyst; the market has looked the same for years and nothing explains why this wasn't built already.</w:t>
      </w:r>
    </w:p>
    <w:p>
      <w:pPr>
        <w:pStyle w:val="ListParagraph"/>
        <w:numPr>
          <w:ilvl w:val="0"/>
          <w:numId w:val="1"/>
        </w:numPr>
        <w:spacing w:after="60"/>
      </w:pPr>
      <w:r>
        <w:t xml:space="preserve">3 — A plausible, named shift (a cost curve moving, a platform opening up, a regulatory change) exists but isn't clearly decisive yet.</w:t>
      </w:r>
    </w:p>
    <w:p>
      <w:pPr>
        <w:pStyle w:val="ListParagraph"/>
        <w:numPr>
          <w:ilvl w:val="0"/>
          <w:numId w:val="1"/>
        </w:numPr>
        <w:spacing w:after="60"/>
      </w:pPr>
      <w:r>
        <w:t xml:space="preserve">5 — A specific, well-evidenced structural/technological/regulatory shift makes this newly possible or newly urgent, with a clear answer to "why didn't this exist five years ago."</w:t>
      </w:r>
    </w:p>
    <w:p>
      <w:pPr>
        <w:pStyle w:val="Heading3"/>
        <w:spacing w:after="120" w:before="240"/>
      </w:pPr>
      <w:r>
        <w:t xml:space="preserve">Retention / cohort-curve quality (P3b)</w:t>
      </w:r>
    </w:p>
    <w:p>
      <w:pPr>
        <w:pStyle w:val="ListParagraph"/>
        <w:numPr>
          <w:ilvl w:val="0"/>
          <w:numId w:val="1"/>
        </w:numPr>
        <w:spacing w:after="60"/>
      </w:pPr>
      <w:r>
        <w:t xml:space="preserve">1 — Retention decays toward zero within a few months for every cohort; no durable usage signal.</w:t>
      </w:r>
    </w:p>
    <w:p>
      <w:pPr>
        <w:pStyle w:val="ListParagraph"/>
        <w:numPr>
          <w:ilvl w:val="0"/>
          <w:numId w:val="1"/>
        </w:numPr>
        <w:spacing w:after="60"/>
      </w:pPr>
      <w:r>
        <w:t xml:space="preserve">3 — Retention flattens at a modest plateau; some real habitual usage but not yet a standout curve.</w:t>
      </w:r>
    </w:p>
    <w:p>
      <w:pPr>
        <w:pStyle w:val="ListParagraph"/>
        <w:numPr>
          <w:ilvl w:val="0"/>
          <w:numId w:val="1"/>
        </w:numPr>
        <w:spacing w:after="60"/>
      </w:pPr>
      <w:r>
        <w:t xml:space="preserve">5 — Retention flattens at a high, durable plateau (or improves — net negative churn) — a strong, textbook PMF signal.</w:t>
      </w:r>
    </w:p>
    <w:p>
      <w:pPr>
        <w:pStyle w:val="Heading3"/>
        <w:spacing w:after="120" w:before="240"/>
      </w:pPr>
      <w:r>
        <w:t xml:space="preserve">Product/technology differentiation (P4)</w:t>
      </w:r>
    </w:p>
    <w:p>
      <w:pPr>
        <w:pStyle w:val="ListParagraph"/>
        <w:numPr>
          <w:ilvl w:val="0"/>
          <w:numId w:val="1"/>
        </w:numPr>
        <w:spacing w:after="60"/>
      </w:pPr>
      <w:r>
        <w:t xml:space="preserve">1 — No real differentiation; easily replicated by a funded competitor in weeks.</w:t>
      </w:r>
    </w:p>
    <w:p>
      <w:pPr>
        <w:pStyle w:val="ListParagraph"/>
        <w:numPr>
          <w:ilvl w:val="0"/>
          <w:numId w:val="1"/>
        </w:numPr>
        <w:spacing w:after="60"/>
      </w:pPr>
      <w:r>
        <w:t xml:space="preserve">2 — Some differentiation, but shallow — a well-funded competitor could close the gap within 6–12 months.</w:t>
      </w:r>
    </w:p>
    <w:p>
      <w:pPr>
        <w:pStyle w:val="ListParagraph"/>
        <w:numPr>
          <w:ilvl w:val="0"/>
          <w:numId w:val="1"/>
        </w:numPr>
        <w:spacing w:after="60"/>
      </w:pPr>
      <w:r>
        <w:t xml:space="preserve">3 — Meaningful technical complexity or proprietary data that would take a competitor roughly 1–2 years to replicate.</w:t>
      </w:r>
    </w:p>
    <w:p>
      <w:pPr>
        <w:pStyle w:val="ListParagraph"/>
        <w:numPr>
          <w:ilvl w:val="0"/>
          <w:numId w:val="1"/>
        </w:numPr>
        <w:spacing w:after="60"/>
      </w:pPr>
      <w:r>
        <w:t xml:space="preserve">4 — Strong defensibility — a genuine proprietary-data flywheel, hard-to-replicate technical architecture, and/or IP filed.</w:t>
      </w:r>
    </w:p>
    <w:p>
      <w:pPr>
        <w:pStyle w:val="ListParagraph"/>
        <w:numPr>
          <w:ilvl w:val="0"/>
          <w:numId w:val="1"/>
        </w:numPr>
        <w:spacing w:after="60"/>
      </w:pPr>
      <w:r>
        <w:t xml:space="preserve">5 — Exceptional, structural defensibility — patented core technology, exclusive data access or partnerships, or technical complexity that is a multi-year build even for a well-capitalized competitor.</w:t>
      </w:r>
    </w:p>
    <w:p>
      <w:pPr>
        <w:pStyle w:val="Heading3"/>
        <w:spacing w:after="120" w:before="240"/>
      </w:pPr>
      <w:r>
        <w:t xml:space="preserve">Cap-table cleanliness (P6b)</w:t>
      </w:r>
    </w:p>
    <w:p>
      <w:pPr>
        <w:pStyle w:val="ListParagraph"/>
        <w:numPr>
          <w:ilvl w:val="0"/>
          <w:numId w:val="1"/>
        </w:numPr>
        <w:spacing w:after="60"/>
      </w:pPr>
      <w:r>
        <w:t xml:space="preserve">1 — Messy — multiple stacked uncapped notes, a prior down round, and/or complex or unusual liquidation-preference stacking.</w:t>
      </w:r>
    </w:p>
    <w:p>
      <w:pPr>
        <w:pStyle w:val="ListParagraph"/>
        <w:numPr>
          <w:ilvl w:val="0"/>
          <w:numId w:val="1"/>
        </w:numPr>
        <w:spacing w:after="60"/>
      </w:pPr>
      <w:r>
        <w:t xml:space="preserve">3 — Adequate — a handful of prior investors on standard terms, nothing unusual.</w:t>
      </w:r>
    </w:p>
    <w:p>
      <w:pPr>
        <w:pStyle w:val="ListParagraph"/>
        <w:numPr>
          <w:ilvl w:val="0"/>
          <w:numId w:val="1"/>
        </w:numPr>
        <w:spacing w:after="60"/>
      </w:pPr>
      <w:r>
        <w:t xml:space="preserve">5 — Clean — simple structure, standard market terms, no note-stacking or down-round history.</w:t>
      </w:r>
    </w:p>
    <w:p>
      <w:pPr>
        <w:pStyle w:val="Heading1"/>
        <w:spacing w:after="120" w:before="240"/>
      </w:pPr>
      <w:r>
        <w:t xml:space="preserve">Confidence and Data-Quality Framework</w:t>
      </w:r>
    </w:p>
    <w:p>
      <w:pPr>
        <w:pStyle w:val="Heading2"/>
        <w:spacing w:after="120" w:before="240"/>
      </w:pPr>
      <w:r>
        <w:t xml:space="preserve">6. Confidence and Missing Data</w:t>
      </w:r>
    </w:p>
    <w:p>
      <w:pPr>
        <w:spacing w:after="160"/>
      </w:pPr>
      <w:r>
        <w:t xml:space="preserve">Every pillar has a required input list (defined in scripts/score.js's REQUIRED_FIELDS). Before computing, the number of required fields across all six pillars that are missing or explicitly marked "unknown" is counted — with one exception (P5, below).</w:t>
      </w:r>
    </w:p>
    <w:p>
      <w:pPr>
        <w:pStyle w:val="ListParagraph"/>
        <w:numPr>
          <w:ilvl w:val="0"/>
          <w:numId w:val="1"/>
        </w:numPr>
        <w:spacing w:after="60"/>
      </w:pPr>
      <w:r>
        <w:t xml:space="preserve">completeness = 1 − (missingCount / totalRequiredFields)</w:t>
      </w:r>
    </w:p>
    <w:p>
      <w:pPr>
        <w:pStyle w:val="ListParagraph"/>
        <w:numPr>
          <w:ilvl w:val="0"/>
          <w:numId w:val="1"/>
        </w:numPr>
        <w:spacing w:after="60"/>
      </w:pPr>
      <w:r>
        <w:t xml:space="preserve">completeness ≥ 0.9 → </w:t>
      </w:r>
      <w:r>
        <w:rPr>
          <w:b/>
          <w:bCs/>
        </w:rPr>
        <w:t xml:space="preserve">High confidence</w:t>
      </w:r>
      <w:r>
        <w:t xml:space="preserve">. Report the tier as-is.</w:t>
      </w:r>
    </w:p>
    <w:p>
      <w:pPr>
        <w:pStyle w:val="ListParagraph"/>
        <w:numPr>
          <w:ilvl w:val="0"/>
          <w:numId w:val="1"/>
        </w:numPr>
        <w:spacing w:after="60"/>
      </w:pPr>
      <w:r>
        <w:t xml:space="preserve">0.7 ≤ completeness &lt; 0.9 → </w:t>
      </w:r>
      <w:r>
        <w:rPr>
          <w:b/>
          <w:bCs/>
        </w:rPr>
        <w:t xml:space="preserve">Medium confidence</w:t>
      </w:r>
      <w:r>
        <w:t xml:space="preserve">. Report the tier with a note listing which pillars used estimates.</w:t>
      </w:r>
    </w:p>
    <w:p>
      <w:pPr>
        <w:pStyle w:val="ListParagraph"/>
        <w:numPr>
          <w:ilvl w:val="0"/>
          <w:numId w:val="1"/>
        </w:numPr>
        <w:spacing w:after="60"/>
      </w:pPr>
      <w:r>
        <w:t xml:space="preserve">completeness &lt; 0.7 → </w:t>
      </w:r>
      <w:r>
        <w:rPr>
          <w:b/>
          <w:bCs/>
        </w:rPr>
        <w:t xml:space="preserve">Low confidence</w:t>
      </w:r>
      <w:r>
        <w:t xml:space="preserve">. Prefix the output "PRELIMINARY — insufficient data for a reliable score" and explicitly recommend which single data point would resolve the biggest gap first.</w:t>
      </w:r>
    </w:p>
    <w:p>
      <w:pPr>
        <w:spacing w:after="160"/>
      </w:pPr>
      <w:r>
        <w:rPr>
          <w:b/>
          <w:bCs/>
        </w:rPr>
        <w:t xml:space="preserve">Early-stage deals will legitimately, routinely, score lower on completeness than PE/growth deals — this is expected and is not a flaw in the target company.</w:t>
      </w:r>
      <w:r>
        <w:t xml:space="preserve"> A pre-seed company simply hasn't existed long enough to generate the documented history a Series C company has. A Medium or Low confidence NSTS score should not be read as "this founder is hiding something" by default — it usually just means "this company is early," which is the entire premise of investing at this stage. Missing data should only be treated as a real yellow flag when the specific missing item is something a company at that company's actual stage should reasonably already have (e.g. a Series A company with genuinely no retention data at all is a more meaningful gap than a pre-seed company with no retention data yet).</w:t>
      </w:r>
    </w:p>
    <w:p>
      <w:pPr>
        <w:spacing w:after="160"/>
      </w:pPr>
      <w:r>
        <w:rPr>
          <w:b/>
          <w:bCs/>
        </w:rPr>
        <w:t xml:space="preserve">P5 exception</w:t>
      </w:r>
      <w:r>
        <w:t xml:space="preserve">: when unitEconomics.dataAvailable is explicitly set to false, its two fields (ltvCacRatio, burnMultiple) are excluded from both the missing-count numerator and the totalRequiredFields denominator — they simply don't apply yet, and a company that is honestly too early to have unit economics should not be penalized on completeness for that. If dataAvailable is omitted entirely (not stated either way), the fields are treated as expected-but-missing like any other field, which does count against completeness — the explicit flag is the deliberate way to say "this genuinely isn't measurable yet," not a default assumption.</w:t>
      </w:r>
    </w:p>
    <w:p>
      <w:pPr>
        <w:spacing w:after="160"/>
      </w:pPr>
      <w:r>
        <w:t xml:space="preserve">Missing required fields are never silently substituted with a default value and presented as if measured. If a value is genuinely unknown, it is passed as null and the completeness penalty applies — a lower-confidence real answer beats a confident wrong one.</w:t>
      </w:r>
    </w:p>
    <w:p>
      <w:r>
        <w:br w:type="page"/>
      </w:r>
    </w:p>
    <w:p>
      <w:pPr>
        <w:pStyle w:val="Heading1"/>
        <w:spacing w:after="120" w:before="240"/>
      </w:pPr>
      <w:r>
        <w:t xml:space="preserve">Worked Example</w:t>
      </w:r>
    </w:p>
    <w:p>
      <w:pPr>
        <w:pStyle w:val="Heading2"/>
        <w:spacing w:after="120" w:before="240"/>
      </w:pPr>
      <w:r>
        <w:t xml:space="preserve">7. Worked Example</w:t>
      </w:r>
    </w:p>
    <w:p>
      <w:pPr>
        <w:spacing w:after="160"/>
      </w:pPr>
      <w:r>
        <w:t xml:space="preserve">Series A-stage B2B SaaS startup. Full input is scripts/example-input.json — running node scripts/score.js scripts/example-input.json reproduces the numbers below exactly (they are copied from that output, not hand-estimated).</w:t>
      </w:r>
    </w:p>
    <w:p>
      <w:pPr>
        <w:pStyle w:val="ListParagraph"/>
        <w:numPr>
          <w:ilvl w:val="0"/>
          <w:numId w:val="1"/>
        </w:numPr>
        <w:spacing w:after="60"/>
      </w:pPr>
      <w:r>
        <w:t xml:space="preserve">Team: domain expertise rubric 4, prior startup experience rubric 4 (repeat founder/operator, clear prior scaling, no exit yet), team completeness rubric 4</w:t>
      </w:r>
    </w:p>
    <w:p>
      <w:pPr>
        <w:pStyle w:val="ListParagraph"/>
        <w:numPr>
          <w:ilvl w:val="0"/>
          <w:numId w:val="1"/>
        </w:numPr>
        <w:spacing w:after="60"/>
      </w:pPr>
      <w:r>
        <w:t xml:space="preserve">Market: TAM $2,500M, "why now" timing rubric 4</w:t>
      </w:r>
    </w:p>
    <w:p>
      <w:pPr>
        <w:pStyle w:val="ListParagraph"/>
        <w:numPr>
          <w:ilvl w:val="0"/>
          <w:numId w:val="1"/>
        </w:numPr>
        <w:spacing w:after="60"/>
      </w:pPr>
      <w:r>
        <w:t xml:space="preserve">Traction: 9% MoM revenue growth, retention/cohort quality rubric 4</w:t>
      </w:r>
    </w:p>
    <w:p>
      <w:pPr>
        <w:pStyle w:val="ListParagraph"/>
        <w:numPr>
          <w:ilvl w:val="0"/>
          <w:numId w:val="1"/>
        </w:numPr>
        <w:spacing w:after="60"/>
      </w:pPr>
      <w:r>
        <w:t xml:space="preserve">Product: differentiation rubric 3</w:t>
      </w:r>
    </w:p>
    <w:p>
      <w:pPr>
        <w:pStyle w:val="ListParagraph"/>
        <w:numPr>
          <w:ilvl w:val="0"/>
          <w:numId w:val="1"/>
        </w:numPr>
        <w:spacing w:after="60"/>
      </w:pPr>
      <w:r>
        <w:t xml:space="preserve">Unit economics: data available; LTV:CAC 3.2, burn multiple 1.4</w:t>
      </w:r>
    </w:p>
    <w:p>
      <w:pPr>
        <w:pStyle w:val="ListParagraph"/>
        <w:numPr>
          <w:ilvl w:val="0"/>
          <w:numId w:val="1"/>
        </w:numPr>
        <w:spacing w:after="60"/>
      </w:pPr>
      <w:r>
        <w:t xml:space="preserve">Round terms: ask multiple 18x vs. stage benchmark 15x, cap-table cleanliness rubric 4, option pool 12% vs. 10% recommended for stage</w:t>
      </w:r>
    </w:p>
    <w:p>
      <w:pPr>
        <w:pStyle w:val="ListParagraph"/>
        <w:numPr>
          <w:ilvl w:val="0"/>
          <w:numId w:val="1"/>
        </w:numPr>
        <w:spacing w:after="60"/>
      </w:pPr>
      <w:r>
        <w:t xml:space="preserve">P1: teamAvg = (4+4+4)/3 = 4.0 → likertToScore(4.0) = 80.0</w:t>
      </w:r>
    </w:p>
    <w:p>
      <w:pPr>
        <w:pStyle w:val="ListParagraph"/>
        <w:numPr>
          <w:ilvl w:val="0"/>
          <w:numId w:val="1"/>
        </w:numPr>
        <w:spacing w:after="60"/>
      </w:pPr>
      <w:r>
        <w:t xml:space="preserve">P1 = 80.0</w:t>
      </w:r>
    </w:p>
    <w:p>
      <w:pPr>
        <w:pStyle w:val="ListParagraph"/>
        <w:numPr>
          <w:ilvl w:val="0"/>
          <w:numId w:val="1"/>
        </w:numPr>
        <w:spacing w:after="60"/>
      </w:pPr>
      <w:r>
        <w:t xml:space="preserve">P2: a = lerp(2500, [1000,75]→[3000,90]) = 75 + (2500-1000)/(3000-1000)×15 = 86.25</w:t>
      </w:r>
    </w:p>
    <w:p>
      <w:pPr>
        <w:pStyle w:val="ListParagraph"/>
        <w:numPr>
          <w:ilvl w:val="0"/>
          <w:numId w:val="1"/>
        </w:numPr>
        <w:spacing w:after="60"/>
      </w:pPr>
      <w:r>
        <w:t xml:space="preserve">b = likertToScore(4) = 80.0</w:t>
      </w:r>
    </w:p>
    <w:p>
      <w:pPr>
        <w:pStyle w:val="ListParagraph"/>
        <w:numPr>
          <w:ilvl w:val="0"/>
          <w:numId w:val="1"/>
        </w:numPr>
        <w:spacing w:after="60"/>
      </w:pPr>
      <w:r>
        <w:t xml:space="preserve">P2 = 0.55(86.25) + 0.45(80.0) = 47.44 + 36.0 = 83.4</w:t>
      </w:r>
    </w:p>
    <w:p>
      <w:pPr>
        <w:pStyle w:val="ListParagraph"/>
        <w:numPr>
          <w:ilvl w:val="0"/>
          <w:numId w:val="1"/>
        </w:numPr>
        <w:spacing w:after="60"/>
      </w:pPr>
      <w:r>
        <w:t xml:space="preserve">P3: a = lerp(9, [5,45]→[10,70]) = 45 + (9-5)/(10-5)×25 = 65.0</w:t>
      </w:r>
    </w:p>
    <w:p>
      <w:pPr>
        <w:pStyle w:val="ListParagraph"/>
        <w:numPr>
          <w:ilvl w:val="0"/>
          <w:numId w:val="1"/>
        </w:numPr>
        <w:spacing w:after="60"/>
      </w:pPr>
      <w:r>
        <w:t xml:space="preserve">b = likertToScore(4) = 80.0</w:t>
      </w:r>
    </w:p>
    <w:p>
      <w:pPr>
        <w:pStyle w:val="ListParagraph"/>
        <w:numPr>
          <w:ilvl w:val="0"/>
          <w:numId w:val="1"/>
        </w:numPr>
        <w:spacing w:after="60"/>
      </w:pPr>
      <w:r>
        <w:t xml:space="preserve">P3 = 0.55(65.0) + 0.45(80.0) = 35.75 + 36.0 = 71.75</w:t>
      </w:r>
    </w:p>
    <w:p>
      <w:pPr>
        <w:pStyle w:val="ListParagraph"/>
        <w:numPr>
          <w:ilvl w:val="0"/>
          <w:numId w:val="1"/>
        </w:numPr>
        <w:spacing w:after="60"/>
      </w:pPr>
      <w:r>
        <w:t xml:space="preserve">P4: likertToScore(3) = 60.0</w:t>
      </w:r>
    </w:p>
    <w:p>
      <w:pPr>
        <w:pStyle w:val="ListParagraph"/>
        <w:numPr>
          <w:ilvl w:val="0"/>
          <w:numId w:val="1"/>
        </w:numPr>
        <w:spacing w:after="60"/>
      </w:pPr>
      <w:r>
        <w:t xml:space="preserve">P4 = 60.0</w:t>
      </w:r>
    </w:p>
    <w:p>
      <w:pPr>
        <w:pStyle w:val="ListParagraph"/>
        <w:numPr>
          <w:ilvl w:val="0"/>
          <w:numId w:val="1"/>
        </w:numPr>
        <w:spacing w:after="60"/>
      </w:pPr>
      <w:r>
        <w:t xml:space="preserve">P5: a = lerp(3.2, [3,80]→[4,95]) = 80 + (3.2-3)/(4-3)×15 = 83.0</w:t>
      </w:r>
    </w:p>
    <w:p>
      <w:pPr>
        <w:pStyle w:val="ListParagraph"/>
        <w:numPr>
          <w:ilvl w:val="0"/>
          <w:numId w:val="1"/>
        </w:numPr>
        <w:spacing w:after="60"/>
      </w:pPr>
      <w:r>
        <w:t xml:space="preserve">b = lerp(1.4, [1,90]→[1.5,75]) = 90 + (1.4-1)/(1.5-1)×(75-90) = 78.0</w:t>
      </w:r>
    </w:p>
    <w:p>
      <w:pPr>
        <w:pStyle w:val="ListParagraph"/>
        <w:numPr>
          <w:ilvl w:val="0"/>
          <w:numId w:val="1"/>
        </w:numPr>
        <w:spacing w:after="60"/>
      </w:pPr>
      <w:r>
        <w:t xml:space="preserve">P5 = 0.50(83.0) + 0.50(78.0) = 80.5</w:t>
      </w:r>
    </w:p>
    <w:p>
      <w:pPr>
        <w:pStyle w:val="ListParagraph"/>
        <w:numPr>
          <w:ilvl w:val="0"/>
          <w:numId w:val="1"/>
        </w:numPr>
        <w:spacing w:after="60"/>
      </w:pPr>
      <w:r>
        <w:t xml:space="preserve">P6: premiumPct = (18-15)/15 = 0.20 → a = clamp(70-20,0,100) = 50.0</w:t>
      </w:r>
    </w:p>
    <w:p>
      <w:pPr>
        <w:pStyle w:val="ListParagraph"/>
        <w:numPr>
          <w:ilvl w:val="0"/>
          <w:numId w:val="1"/>
        </w:numPr>
        <w:spacing w:after="60"/>
      </w:pPr>
      <w:r>
        <w:t xml:space="preserve">b = likertToScore(4) = 80.0</w:t>
      </w:r>
    </w:p>
    <w:p>
      <w:pPr>
        <w:pStyle w:val="ListParagraph"/>
        <w:numPr>
          <w:ilvl w:val="0"/>
          <w:numId w:val="1"/>
        </w:numPr>
        <w:spacing w:after="60"/>
      </w:pPr>
      <w:r>
        <w:t xml:space="preserve">ratio = 12/10 = 1.2 → c = lerp(1.2, [1.0,85]→[1.25,100]) = 85 + (1.2-1.0)/(1.25-1.0)×15 = 97.0</w:t>
      </w:r>
    </w:p>
    <w:p>
      <w:pPr>
        <w:pStyle w:val="ListParagraph"/>
        <w:numPr>
          <w:ilvl w:val="0"/>
          <w:numId w:val="1"/>
        </w:numPr>
        <w:spacing w:after="60"/>
      </w:pPr>
      <w:r>
        <w:t xml:space="preserve">P6 = 0.40(50.0) + 0.35(80.0) + 0.25(97.0) = 20.0 + 28.0 + 24.25 = 72.25</w:t>
      </w:r>
    </w:p>
    <w:p>
      <w:pPr>
        <w:pStyle w:val="ListParagraph"/>
        <w:numPr>
          <w:ilvl w:val="0"/>
          <w:numId w:val="1"/>
        </w:numPr>
        <w:spacing w:after="60"/>
      </w:pPr>
      <w:r>
        <w:t xml:space="preserve">NSTS = 0.25(80.0) + 0.20(83.4) + 0.20(71.75) + 0.15(60.0) + 0.10(80.5) + 0.10(72.25)</w:t>
      </w:r>
    </w:p>
    <w:p>
      <w:pPr>
        <w:pStyle w:val="ListParagraph"/>
        <w:numPr>
          <w:ilvl w:val="0"/>
          <w:numId w:val="1"/>
        </w:numPr>
        <w:spacing w:after="60"/>
      </w:pPr>
      <w:r>
        <w:t xml:space="preserve">= 20.0 + 16.69 + 14.35 + 9.0 + 8.05 + 7.23 = 75.3</w:t>
      </w:r>
    </w:p>
    <w:p>
      <w:pPr>
        <w:spacing w:after="160"/>
        <w:jc w:val="center"/>
      </w:pPr>
      <w:r>
        <w:rPr>
          <w:b/>
          <w:bCs/>
        </w:rPr>
        <w:t xml:space="preserve">Result: NSTS 75.3 — Strong, proceed to diligence.</w:t>
      </w:r>
    </w:p>
    <w:p>
      <w:pPr>
        <w:spacing w:after="160"/>
      </w:pPr>
      <w:r>
        <w:t xml:space="preserve">Verification note: these numbers were checked against node scripts/score.js scripts/example-input.json and match the script's actual printed output exactly (P1 80.0, P2 83.4, P3 71.75, P4 60.0, P5 80.5, P6 72.25, composite 75.3, High confidence, 100% complete).</w:t>
      </w:r>
    </w:p>
    <w:p>
      <w:pPr>
        <w:spacing w:after="160"/>
      </w:pPr>
      <w:r>
        <w:t xml:space="preserve">The two pillars carrying the score are P2 (market, 83.4) and P5 (unit economics, 80.5) — a large TAM with a real "why now" story, and unit economics that are already healthy for the stage. The main drag is P4 (product differentiation, 60.0 — "meaningful but not yet exceptional") and P6 (72.25, driven mainly by the ask being priced 20% above the stage benchmark). A sharper diligence question for this company: is the 18x ask negotiable, or is there a reason (an unusually hot round, a competing term sheet) that justifies the premium — if not, this is the one number most likely to move the deal from "Strong" toward "Fast-track" at a slightly better price.</w:t>
      </w:r>
    </w:p>
    <w:p>
      <w:pPr>
        <w:pStyle w:val="Heading1"/>
        <w:spacing w:after="120" w:before="240"/>
      </w:pPr>
      <w:r>
        <w:t xml:space="preserve">Comparative Positioning</w:t>
      </w:r>
    </w:p>
    <w:p>
      <w:pPr>
        <w:spacing w:after="160"/>
      </w:pPr>
      <w:r>
        <w:t xml:space="preserve">NSTS does not exist in isolation. Understanding what it deliberately does differently from its own sibling model, and where it sits relative to the broader tradition of named analyst scoring frameworks, is part of establishing that its design choices are the product of reasoned methodology rather than arbitrary parameter selection — a relevant consideration when assessing the originality and specificity of the work.</w:t>
      </w:r>
    </w:p>
    <w:p>
      <w:pPr>
        <w:pStyle w:val="Heading2"/>
        <w:spacing w:after="120" w:before="240"/>
      </w:pPr>
      <w:r>
        <w:t xml:space="preserve">Relationship to the Nishant Deal Quality Index (NDQI)</w:t>
      </w:r>
    </w:p>
    <w:p>
      <w:pPr>
        <w:spacing w:after="160"/>
      </w:pPr>
      <w:r>
        <w:t xml:space="preserve">NSTS is explicitly documented, in its own specification, as "the pre-revenue sibling of NDQI" — the author's parallel model for private-equity and growth-investment screening, where the target company has an established, multi-year financial trajectory. The two models share a structural skeleton (six weighted pillars, a 0–100 composite, an identical confidence/completeness framework, and the same five-point Likert-to-score anchor table) but diverge deliberately, and specifically, wherever pre-revenue economics make a later-stage assumption inapplicable:</w:t>
      </w:r>
    </w:p>
    <w:p>
      <w:pPr>
        <w:pStyle w:val="ListParagraph"/>
        <w:numPr>
          <w:ilvl w:val="0"/>
          <w:numId w:val="1"/>
        </w:numPr>
        <w:spacing w:after="60"/>
      </w:pPr>
      <w:r>
        <w:rPr>
          <w:b/>
          <w:bCs/>
        </w:rPr>
        <w:t xml:space="preserve">Weight redistribution away from financial trajectory.</w:t>
      </w:r>
      <w:r>
        <w:t xml:space="preserve"> NDQI weights realized Financial Performance &amp; Trajectory (its P1) at 25% because multi-year revenue, margin, and cash-conversion history is measurable and dominant for an established business. NSTS cannot honestly do that at pre-seed through Series B, so it redistributes that weight onto Founder &amp; Team Quality (P1, 25%) and Market Opportunity (P2, 20%) — the two variables that carry real signal before a company has meaningful revenue history. This is the single largest structural difference between the two models, and it is a direct, reasoned consequence of what evidence actually exists at each stage, not an arbitrary re-weighting.</w:t>
      </w:r>
    </w:p>
    <w:p>
      <w:pPr>
        <w:pStyle w:val="ListParagraph"/>
        <w:numPr>
          <w:ilvl w:val="0"/>
          <w:numId w:val="1"/>
        </w:numPr>
        <w:spacing w:after="60"/>
      </w:pPr>
      <w:r>
        <w:rPr>
          <w:b/>
          <w:bCs/>
        </w:rPr>
        <w:t xml:space="preserve">Stage-specific growth anchors, not a shared curve.</w:t>
      </w:r>
      <w:r>
        <w:t xml:space="preserve"> NSTS's traction pillar (P3) anchors month-over-month growth of a primary metric (0→15, 5→45, 10→70, 15→90, 25→100), while NDQI's financial-trajectory pillar anchors a three-year revenue CAGR (≤0%→10, 5%→40, 15%→75, 30%→95, ≥45%→100). These are not the same curve rescaled — a 10% *monthly* growth rate and a 10% *annual* CAGR describe entirely different economic realities, and the specification is explicit that porting one model's growth anchors onto the other's company type would misscore it. Each curve was independently derived from what "good" and "exceptional" growth actually look like at that specific stage.</w:t>
      </w:r>
    </w:p>
    <w:p>
      <w:pPr>
        <w:pStyle w:val="ListParagraph"/>
        <w:numPr>
          <w:ilvl w:val="0"/>
          <w:numId w:val="1"/>
        </w:numPr>
        <w:spacing w:after="60"/>
      </w:pPr>
      <w:r>
        <w:rPr>
          <w:b/>
          <w:bCs/>
        </w:rPr>
        <w:t xml:space="preserve">A single-rubric moat assessment versus a four-factor average.</w:t>
      </w:r>
      <w:r>
        <w:t xml:space="preserve"> NDQI's competitive-moat sub-score (its P3c) averages four independently rated factors — switching costs, IP/technical differentiation, network effects, and brand/regulatory barriers — because an established business typically has all four to evaluate. NSTS's Product &amp; Technology Differentiation pillar (P4) is a single rubric, because an early-stage company usually has only one or two of those moat types yet; averaging in a moat that "will eventually exist" as if it already did would overstate defensibility that hasn't been earned.</w:t>
      </w:r>
    </w:p>
    <w:p>
      <w:pPr>
        <w:pStyle w:val="ListParagraph"/>
        <w:numPr>
          <w:ilvl w:val="0"/>
          <w:numId w:val="1"/>
        </w:numPr>
        <w:spacing w:after="60"/>
      </w:pPr>
      <w:r>
        <w:rPr>
          <w:b/>
          <w:bCs/>
        </w:rPr>
        <w:t xml:space="preserve">Unit economics as optional and confidence-neutral, not a required input.</w:t>
      </w:r>
      <w:r>
        <w:t xml:space="preserve"> NDQI has no equivalent opt-out mechanism because an established business is expected to have measurable unit economics. NSTS's P5 pillar carries an explicit dataAvailable: false escape hatch that scores the pillar as neutral (60) and removes its fields from the completeness denominator — a deliberate acknowledgment that a genuinely pre-revenue company not having LTV:CAC or burn-multiple data yet is a normal condition of the stage, not a gap to be penalized.</w:t>
      </w:r>
    </w:p>
    <w:p>
      <w:pPr>
        <w:pStyle w:val="ListParagraph"/>
        <w:numPr>
          <w:ilvl w:val="0"/>
          <w:numId w:val="1"/>
        </w:numPr>
        <w:spacing w:after="60"/>
      </w:pPr>
      <w:r>
        <w:rPr>
          <w:b/>
          <w:bCs/>
        </w:rPr>
        <w:t xml:space="preserve">A shared baseline-at-70 pricing logic, reused deliberately where the underlying idea transfers.</w:t>
      </w:r>
      <w:r>
        <w:t xml:space="preserve"> NSTS's Round Terms pillar (P6a) and NDQI's Valuation pillar (P2a) use the identical mathematical structure — pricing exactly at the sector/stage benchmark scores 70 (fair, not exceptional), and every 10% paid above benchmark costs 10 points. This is the one place the two models intentionally converge, because the underlying idea (paying a fair multiple is a baseline, not a virtue) is stage-agnostic even though the specific benchmark inputs differ.</w:t>
      </w:r>
    </w:p>
    <w:p>
      <w:pPr>
        <w:spacing w:after="160"/>
      </w:pPr>
      <w:r>
        <w:t xml:space="preserve">Together, these divergences illustrate that NSTS is not a relabeled or lightly-adapted copy of NDQI — it is an independently re-derived model that happens to share NDQI's overall architecture (six weighted pillars, a confidence framework, a Likert anchor table) because that architecture itself is a reusable design pattern, while every weight, anchor, and growth curve specific to pre-revenue economics was re-reasoned from the ground up for this stage of company.</w:t>
      </w:r>
    </w:p>
    <w:p>
      <w:pPr>
        <w:pStyle w:val="Heading2"/>
        <w:spacing w:after="120" w:before="240"/>
      </w:pPr>
      <w:r>
        <w:t xml:space="preserve">Positioning within the broader tradition of named scoring frameworks</w:t>
      </w:r>
    </w:p>
    <w:p>
      <w:pPr>
        <w:spacing w:after="160"/>
      </w:pPr>
      <w:r>
        <w:t xml:space="preserve">NSTS positions itself, in its own specification, within a long-established tradition of named, checkable analyst frameworks — the Altman Z-Score for bankruptcy prediction and the Piotroski F-Score for value-stock quality screening are the two examples the specification itself invokes. What these frameworks have in common, and what NSTS deliberately borrows as a design principle rather than as specific content, is not any shared formula or weighting scheme — the underlying inputs and mathematics are unrelated — but a shared discipline: a fixed, published set of named sub-components, combined by a fixed and disclosed weighting or combination rule, applied consistently so that the same input data yields the same output regardless of who is running the calculation. That discipline is what allows a score to function as a durable, comparable label ("NSTS 71") across analysts, across time, and across an entire deal pipeline, rather than as a one-off analytical opinion that cannot be reproduced or audited after the fact.</w:t>
      </w:r>
    </w:p>
    <w:p>
      <w:pPr>
        <w:spacing w:after="160"/>
      </w:pPr>
      <w:r>
        <w:t xml:space="preserve">NSTS's specific contribution to this tradition is a methodology purpose-built for a market segment — early-stage venture screening — that the more commonly cited named frameworks were not designed to serve: Altman and Piotroski both presume an established, audited financial-statement history, which is precisely the evidence a pre-seed or seed-stage company does not yet have. NSTS's explicit completeness/confidence framework, and its stage-specific reworking of every pillar that would otherwise assume financial history, represent the model's attempt to extend that same discipline of named, checkable, weighted scoring into a segment where the underlying evidence base is thinner and qualitatively different by nature — without pretending that thinner evidence is as reliable as an audited financial statement.</w:t>
      </w:r>
    </w:p>
    <w:p>
      <w:r>
        <w:br w:type="page"/>
      </w:r>
    </w:p>
    <w:p>
      <w:pPr>
        <w:pStyle w:val="Heading1"/>
        <w:spacing w:after="120" w:before="240"/>
      </w:pPr>
      <w:r>
        <w:t xml:space="preserve">Intellectual Property and Defensibility Posture</w:t>
      </w:r>
    </w:p>
    <w:p>
      <w:pPr>
        <w:spacing w:after="160"/>
      </w:pPr>
      <w:r>
        <w:t xml:space="preserve">NSTS is documented as a </w:t>
      </w:r>
      <w:r>
        <w:rPr>
          <w:b/>
          <w:bCs/>
        </w:rPr>
        <w:t xml:space="preserve">proprietary, trade-secret methodology</w:t>
      </w:r>
      <w:r>
        <w:t xml:space="preserve"> — named, versioned, and specified precisely enough to be defensible as original work product. The following is a plain statement of what that does and does not mean, adapted specifically to this algorithm.</w:t>
      </w:r>
    </w:p>
    <w:p>
      <w:pPr>
        <w:pStyle w:val="Heading2"/>
        <w:spacing w:after="120" w:before="240"/>
      </w:pPr>
      <w:r>
        <w:t xml:space="preserve">Trade secret protection</w:t>
      </w:r>
    </w:p>
    <w:p>
      <w:pPr>
        <w:spacing w:after="160"/>
      </w:pPr>
      <w:r>
        <w:t xml:space="preserve">Trade secret protection applies now, automatically, simply by NSTS being original, non-public, and treated as confidential. That is the primary protection this document and the underlying specification are written to support. The strength of that protection rests on three things this document itself demonstrates: </w:t>
      </w:r>
      <w:r>
        <w:rPr>
          <w:b/>
          <w:bCs/>
        </w:rPr>
        <w:t xml:space="preserve">specificity</w:t>
      </w:r>
      <w:r>
        <w:t xml:space="preserve"> (every weight, formula, anchor value, and rubric description is stated exactly, not described in vague terms), </w:t>
      </w:r>
      <w:r>
        <w:rPr>
          <w:b/>
          <w:bCs/>
        </w:rPr>
        <w:t xml:space="preserve">versioning</w:t>
      </w:r>
      <w:r>
        <w:t xml:space="preserve"> (the specification carries an explicit version number and a change-control table — see §9 — so that any future modification is a tracked, dated event rather than an undocumented drift), and </w:t>
      </w:r>
      <w:r>
        <w:rPr>
          <w:b/>
          <w:bCs/>
        </w:rPr>
        <w:t xml:space="preserve">reproducibility</w:t>
      </w:r>
      <w:r>
        <w:t xml:space="preserve"> (the worked example in §7 is not a hypothetical illustration; it is the literal, checkable output of the reference implementation, scripts/score.js, run against a fixed input file). Taken together, specificity, versioning, and reproducibility are what distinguish a genuine trade secret asset — a specific, non-public, valuable method that has been consistently treated as confidential — from an informal practice or a vague "we generally look at team and market" heuristic that would not meet the legal bar for trade secret protection in the first place.</w:t>
      </w:r>
    </w:p>
    <w:p>
      <w:pPr>
        <w:pStyle w:val="Heading2"/>
        <w:spacing w:after="120" w:before="240"/>
      </w:pPr>
      <w:r>
        <w:t xml:space="preserve">Patent eligibility is a separate, harder question</w:t>
      </w:r>
    </w:p>
    <w:p>
      <w:pPr>
        <w:spacing w:after="160"/>
      </w:pPr>
      <w:r>
        <w:t xml:space="preserve">Patent eligibility is a distinct and considerably harder question from trade secret protection, and the honest assessment is that NSTS is more naturally a trade secret than a patent candidate as currently written.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a computation runs, rather than simply "a new way to weight qualitative and quantitative factors about a startup." NSTS, as specified in this document, is a pure scoring model: six weighted pillars, lerp-interpolated anchors, and Likert-to-score rubrics, applied to venture-screening inputs. That places it squarely in the category of methodologies that a patent examiner would likely characterize as an abstract idea — organizing and weighting human judgments and observable metrics into a number — rather than a technical process anchored to a specific computational or system-level improvement.</w:t>
      </w:r>
    </w:p>
    <w:p>
      <w:pPr>
        <w:spacing w:after="160"/>
      </w:pPr>
      <w:r>
        <w:t xml:space="preserve">This assessment should not be read as a claim that NSTS could never be part of a patent filing in any form — only that, as a pure scoring methodology, it is a substantially harder patent-eligibility case than a claim tied to a concrete technical mechanism (a routing algorithm with a measurable output such as distance saved is a more typical example of the latter). Any statement in this document or elsewhere describing an element of NSTS as "patentable" should be read to mean "specified with enough novelty and precision to be a serious patent-counsel conversation," not "patented" or "guaranteed patentable." Actually obtaining a patent requires filing, examination, and often narrowing claims to survive prior-art and eligibility challenges.</w:t>
      </w:r>
    </w:p>
    <w:p>
      <w:pPr>
        <w:pStyle w:val="Heading2"/>
        <w:spacing w:after="120" w:before="240"/>
      </w:pPr>
      <w:r>
        <w:t xml:space="preserve">What makes the trade-secret claim defensible</w:t>
      </w:r>
    </w:p>
    <w:p>
      <w:pPr>
        <w:spacing w:after="160"/>
      </w:pPr>
      <w:r>
        <w:t xml:space="preserve">This document itself is part of the evidentiary record supporting the trade-secret claim: it demonstrates that the methodology is stated with enough specificity to be independently checked (every formula and anchor value is reproduced exactly from the authoritative specification), that it is version-controlled (§11 below), and that it produces reproducible, auditable output via a literal reference implementation rather than existing only as an informal practice. A valuer, licensing counterparty, or diligence reviewer should treat that specificity and reproducibility — not marketing language about the algorithm's sophistication — as the actual basis for assessing the strength of the underlying IP asset.</w:t>
      </w:r>
    </w:p>
    <w:p>
      <w:pPr>
        <w:spacing w:after="160"/>
      </w:pPr>
      <w:r>
        <w:rPr>
          <w:b/>
          <w:bCs/>
        </w:rPr>
        <w:t xml:space="preserve">This is not legal advice.</w:t>
      </w:r>
      <w:r>
        <w:t xml:space="preserve"> The characterizations above are a plain-language orientation to two distinct and well-established legal frameworks (trade secret protection and US patent-eligibility doctrine under Alice/Mayo), not a legal opinion about this specific methodology's protectability. A qualified patent or intellectual-property attorney should be consulted before relying on any characterization in this document for a commercial transaction, licensing negotiation, valuation, or litigation purpose.</w:t>
      </w:r>
    </w:p>
    <w:p>
      <w:pPr>
        <w:pStyle w:val="Heading1"/>
        <w:spacing w:after="120" w:before="240"/>
      </w:pPr>
      <w:r>
        <w:t xml:space="preserve">Known Limitations</w:t>
      </w:r>
    </w:p>
    <w:p>
      <w:pPr>
        <w:pStyle w:val="Heading2"/>
        <w:spacing w:after="120" w:before="240"/>
      </w:pPr>
      <w:r>
        <w:t xml:space="preserve">8. Known Limitations</w:t>
      </w:r>
    </w:p>
    <w:p>
      <w:pPr>
        <w:pStyle w:val="ListParagraph"/>
        <w:numPr>
          <w:ilvl w:val="0"/>
          <w:numId w:val="1"/>
        </w:numPr>
        <w:spacing w:after="60"/>
      </w:pPr>
      <w:r>
        <w:rPr>
          <w:b/>
          <w:bCs/>
        </w:rPr>
        <w:t xml:space="preserve">This model cannot detect founder fraud or misrepresentation.</w:t>
      </w:r>
      <w:r>
        <w:t xml:space="preserve"> It scores what's presented — a founder who fabricates traction numbers or overstates domain expertise will score well on exactly the metrics they lied about. NSTS is not a diligence substitute for reference calls, data-room verification, or checking retention numbers against raw underlying data.</w:t>
      </w:r>
    </w:p>
    <w:p>
      <w:pPr>
        <w:pStyle w:val="ListParagraph"/>
        <w:numPr>
          <w:ilvl w:val="0"/>
          <w:numId w:val="1"/>
        </w:numPr>
        <w:spacing w:after="60"/>
      </w:pPr>
      <w:r>
        <w:rPr>
          <w:b/>
          <w:bCs/>
        </w:rPr>
        <w:t xml:space="preserve">Traction metrics for a very young company are extremely noisy.</w:t>
      </w:r>
      <w:r>
        <w:t xml:space="preserve"> A 6-month-old company's MoM growth rate can legitimately swing 20+ points between successive monthly updates purely from small-sample variance (one large customer signing or churning moves the whole number). Don't over-react to a single re-score; look at the trend across 2–3 updates before treating a P3 move as signal rather than noise.</w:t>
      </w:r>
    </w:p>
    <w:p>
      <w:pPr>
        <w:pStyle w:val="ListParagraph"/>
        <w:numPr>
          <w:ilvl w:val="0"/>
          <w:numId w:val="1"/>
        </w:numPr>
        <w:spacing w:after="60"/>
      </w:pPr>
      <w:r>
        <w:rPr>
          <w:b/>
          <w:bCs/>
        </w:rPr>
        <w:t xml:space="preserve">Team-quality scoring (P1) is genuinely subject to evaluator bias.</w:t>
      </w:r>
      <w:r>
        <w:t xml:space="preserve"> "Domain expertise" and "team completeness" ratings can legitimately land a point apart between two analysts, and are more exposed to pattern-matching bias (e.g. favoring founders who resemble past successes) than the more mechanical pillars. Mitigate by having a second scorer independently rate P1's three sub-rubrics on any deal that's close to a tier boundary, and average.</w:t>
      </w:r>
    </w:p>
    <w:p>
      <w:pPr>
        <w:pStyle w:val="ListParagraph"/>
        <w:numPr>
          <w:ilvl w:val="0"/>
          <w:numId w:val="1"/>
        </w:numPr>
        <w:spacing w:after="60"/>
      </w:pPr>
      <w:r>
        <w:rPr>
          <w:b/>
          <w:bCs/>
        </w:rPr>
        <w:t xml:space="preserve">This model is explicitly not calibrated for hardware, biotech, or other deep-tech startups</w:t>
      </w:r>
      <w:r>
        <w:t xml:space="preserve"> where capital intensity and time-to-market differ fundamentally from software. A biotech company in preclinical trials has a "traction" curve (P3) that looks nothing like a SaaS MoM-growth curve, and its capital efficiency (P5) operates on a completely different timescale and burn profile. Don't force those companies through this model's anchors — build a separate deep-tech-specific variant with its own milestone-based P3/P5 anchors, the same way this model itself was built as a separate sibling to the NDQI rather than a re-skin of it.</w:t>
      </w:r>
    </w:p>
    <w:p>
      <w:pPr>
        <w:pStyle w:val="ListParagraph"/>
        <w:numPr>
          <w:ilvl w:val="0"/>
          <w:numId w:val="1"/>
        </w:numPr>
        <w:spacing w:after="60"/>
      </w:pPr>
      <w:r>
        <w:rPr>
          <w:b/>
          <w:bCs/>
        </w:rPr>
        <w:t xml:space="preserve">Sector/stage benchmarks (P2's TAM read, P6's ask multiple and option-pool benchmarks) must be sourced and dated</w:t>
      </w:r>
      <w:r>
        <w:t xml:space="preserve">, same caveat as the NDQI's sector comps — a stale benchmark set will silently bias P2 and P6 in either direction.</w:t>
      </w:r>
    </w:p>
    <w:p>
      <w:pPr>
        <w:pStyle w:val="ListParagraph"/>
        <w:numPr>
          <w:ilvl w:val="0"/>
          <w:numId w:val="1"/>
        </w:numPr>
        <w:spacing w:after="60"/>
      </w:pPr>
      <w:r>
        <w:rPr>
          <w:b/>
          <w:bCs/>
        </w:rPr>
        <w:t xml:space="preserve">The model rewards clean, well-documented pitches</w:t>
      </w:r>
      <w:r>
        <w:t xml:space="preserve">, and early-stage pitches are frequently not that. A great company presented with a thin deck will score lower on confidence, not on merit — don't conflate the two when presenting results (see §6).</w:t>
      </w:r>
    </w:p>
    <w:p>
      <w:pPr>
        <w:pStyle w:val="Heading1"/>
        <w:spacing w:after="120" w:before="240"/>
      </w:pPr>
      <w:r>
        <w:t xml:space="preserve">Versioning and Change Control</w:t>
      </w:r>
    </w:p>
    <w:p>
      <w:pPr>
        <w:pStyle w:val="Heading2"/>
        <w:spacing w:after="120" w:before="240"/>
      </w:pPr>
      <w:r>
        <w:t xml:space="preserve">9. Versioning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"NSTS 75" means the same thing every time it's quoted. Silent tuning defeats that.</w:t>
      </w:r>
    </w:p>
    <w:p>
      <w:pPr>
        <w:pStyle w:val="Heading1"/>
        <w:spacing w:after="120" w:before="240"/>
      </w:pPr>
      <w:r>
        <w:t xml:space="preserve">Reference Implementation</w:t>
      </w:r>
    </w:p>
    <w:p>
      <w:pPr>
        <w:spacing w:after="160"/>
      </w:pPr>
      <w:r>
        <w:t xml:space="preserve">scripts/score.js is a literal, runnable implementation of every formula in this specification — not a simplified illustration of it. The authoritative-specification note at the top of this document is reciprocal: if the script and this document ever disagree, this document is correct and the script has a bug, but in ordinary operation the two are kept in lockstep, and the worked example in §7 was verified directly against the script's printed output rather than computed by hand. That reproducibility is itself relevant evidence for a valuation or IP-diligence review: a methodology that can be run, on demand, against a fixed input and produce the exact numbers quoted in its own specification is a materially stronger and more auditable asset than a description of a scoring approach that exists only in prose.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2026-08-10T15:57:55.388Z</dcterms:created>
  <dcterms:modified xsi:type="dcterms:W3CDTF">2026-08-10T15:57:55.390Z</dcterms:modified>
</cp:coreProperties>
</file>

<file path=docProps/custom.xml><?xml version="1.0" encoding="utf-8"?>
<Properties xmlns="http://schemas.openxmlformats.org/officeDocument/2006/custom-properties" xmlns:vt="http://schemas.openxmlformats.org/officeDocument/2006/docPropsVTypes"/>
</file>